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0FA90">
      <w:pPr>
        <w:pStyle w:val="2"/>
        <w:bidi w:val="0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V0.9.1版 检查修改意见</w:t>
      </w:r>
    </w:p>
    <w:bookmarkEnd w:id="0"/>
    <w:p w14:paraId="6D524D74"/>
    <w:p w14:paraId="5EA5C381">
      <w:pPr>
        <w:pStyle w:val="2"/>
        <w:keepNext w:val="0"/>
        <w:keepLines w:val="0"/>
        <w:widowControl/>
        <w:suppressLineNumbers w:val="0"/>
        <w:pBdr>
          <w:bottom w:val="single" w:color="E6EDF5" w:sz="18" w:space="0"/>
        </w:pBdr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B1E33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1E33"/>
          <w:spacing w:val="0"/>
        </w:rPr>
        <w:t>第一部分：GDD逻辑漏洞与前后矛盾检查</w:t>
      </w:r>
    </w:p>
    <w:p w14:paraId="6730F6BF">
      <w:pPr>
        <w:keepNext w:val="0"/>
        <w:keepLines w:val="0"/>
        <w:widowControl/>
        <w:suppressLineNumbers w:val="0"/>
        <w:pBdr>
          <w:top w:val="single" w:color="EEF2F6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核心矛盾：管理团队人数与跨部门任命</w:t>
      </w:r>
    </w:p>
    <w:p w14:paraId="23A3D349">
      <w:pPr>
        <w:keepNext w:val="0"/>
        <w:keepLines w:val="0"/>
        <w:widowControl/>
        <w:suppressLineNumbers w:val="0"/>
        <w:pBdr>
          <w:top w:val="single" w:color="EEF2F6" w:sz="4" w:space="0"/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4BD820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当前设计限制每个部门只能任命一位负责人，但同时又提出“跨部门人才”概念，导致无法同时满足“专人专岗”和“灵活调配”的需求。</w:t>
      </w:r>
    </w:p>
    <w:p w14:paraId="28101A92">
      <w:pPr>
        <w:keepNext w:val="0"/>
        <w:keepLines w:val="0"/>
        <w:widowControl/>
        <w:suppressLineNumbers w:val="0"/>
        <w:pBdr>
          <w:top w:val="single" w:color="EEF2F6" w:sz="4" w:space="0"/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建议修正（方案A，更合理）</w:t>
      </w:r>
    </w:p>
    <w:p w14:paraId="438B2C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修改第10章的描述，允许玩家同时任命副手或储备干部。一个部门可以有“正职 + 副职/储备”，跨部门人才可以作为储备或临时顶替人选。</w:t>
      </w:r>
    </w:p>
    <w:p w14:paraId="623DA07D">
      <w:pPr>
        <w:keepNext w:val="0"/>
        <w:keepLines w:val="0"/>
        <w:widowControl/>
        <w:suppressLineNumbers w:val="0"/>
        <w:pBdr>
          <w:top w:val="single" w:color="EEF2F6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数据不一致：董事会席位与股东映射</w:t>
      </w:r>
    </w:p>
    <w:p w14:paraId="1DE620B0">
      <w:pPr>
        <w:keepNext w:val="0"/>
        <w:keepLines w:val="0"/>
        <w:widowControl/>
        <w:suppressLineNumbers w:val="0"/>
        <w:pBdr>
          <w:top w:val="single" w:color="EEF2F6" w:sz="4" w:space="0"/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483DD6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第3.2.4节笼统地用字母列举角色（如A/P/I等），但未与“席位类型”和“股东派系”显式绑定，导致抽卡逻辑与派系归属容易脱节。</w:t>
      </w:r>
    </w:p>
    <w:p w14:paraId="534F4FD2">
      <w:pPr>
        <w:keepNext w:val="0"/>
        <w:keepLines w:val="0"/>
        <w:widowControl/>
        <w:suppressLineNumbers w:val="0"/>
        <w:pBdr>
          <w:top w:val="single" w:color="EEF2F6" w:sz="4" w:space="0"/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建议修正</w:t>
      </w:r>
    </w:p>
    <w:p w14:paraId="224AD5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需要统一角色ID的“派系归属”和“席位类型”。建议在第6章的角色卡池中，为每个角色显式增加两个标签：</w:t>
      </w:r>
      <w:r>
        <w:rPr>
          <w:rFonts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  <w:shd w:val="clear" w:fill="EEF2F6"/>
        </w:rPr>
        <w:t>[席位类型]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 和 </w:t>
      </w: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  <w:shd w:val="clear" w:fill="EEF2F6"/>
        </w:rPr>
        <w:t>[股东派系]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，并在第3.2.4节中直接引用这些标签，而不是笼统地列举几个字母。</w:t>
      </w:r>
    </w:p>
    <w:p w14:paraId="23529D43">
      <w:pPr>
        <w:keepNext w:val="0"/>
        <w:keepLines w:val="0"/>
        <w:widowControl/>
        <w:suppressLineNumbers w:val="0"/>
        <w:pBdr>
          <w:top w:val="single" w:color="EEF2F6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3.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流程衔接缺失：年度预算编制流程</w:t>
      </w:r>
    </w:p>
    <w:p w14:paraId="0ED72A6E">
      <w:pPr>
        <w:keepNext w:val="0"/>
        <w:keepLines w:val="0"/>
        <w:widowControl/>
        <w:suppressLineNumbers w:val="0"/>
        <w:pBdr>
          <w:top w:val="single" w:color="EEF2F6" w:sz="4" w:space="0"/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3D72A3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第2章的流程图直接从“③ 战略规划”跳转到“④ 财年运营”，缺少预算编制与董事会审批的环节，导致治理层（董事会）与执行层（财务部）脱节。</w:t>
      </w:r>
    </w:p>
    <w:p w14:paraId="61190974">
      <w:pPr>
        <w:keepNext w:val="0"/>
        <w:keepLines w:val="0"/>
        <w:widowControl/>
        <w:suppressLineNumbers w:val="0"/>
        <w:pBdr>
          <w:top w:val="single" w:color="EEF2F6" w:sz="4" w:space="0"/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建议修正</w:t>
      </w:r>
    </w:p>
    <w:p w14:paraId="1719A7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在第2章的流程图“④ 财年运营”之前，应增加一个环节：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“④-1 预算编制与董事会审批”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。这能将治理层（董事会）和执行层（财务部）更紧密地串联起来。</w:t>
      </w:r>
    </w:p>
    <w:p w14:paraId="10F2F422">
      <w:pPr>
        <w:keepNext w:val="0"/>
        <w:keepLines w:val="0"/>
        <w:widowControl/>
        <w:suppressLineNumbers w:val="0"/>
        <w:pBdr>
          <w:top w:val="single" w:color="EEF2F6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4.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化学反应触发逻辑的潜在漏洞</w:t>
      </w:r>
    </w:p>
    <w:p w14:paraId="1A0AAE3B">
      <w:pPr>
        <w:keepNext w:val="0"/>
        <w:keepLines w:val="0"/>
        <w:widowControl/>
        <w:suppressLineNumbers w:val="0"/>
        <w:pBdr>
          <w:top w:val="single" w:color="EEF2F6" w:sz="4" w:space="0"/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2817B0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当前限制每个角色“最多参与2个化学反应”，但隐藏组合（B-16至B-23）和冲突组合往往需要特定角色同时参与多个反应，该限制会扼杀剧情核心的化学反应。</w:t>
      </w:r>
    </w:p>
    <w:p w14:paraId="08647243">
      <w:pPr>
        <w:keepNext w:val="0"/>
        <w:keepLines w:val="0"/>
        <w:widowControl/>
        <w:suppressLineNumbers w:val="0"/>
        <w:pBdr>
          <w:top w:val="single" w:color="EEF2F6" w:sz="4" w:space="0"/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建议修正</w:t>
      </w:r>
    </w:p>
    <w:p w14:paraId="54EE40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将“最多参与2个”改为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“最多参与2个非隐藏/非冲突组合”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，允许冲突和隐藏组合（B-16至B-23）的角色参与度不受此限制，因为这些组合是剧情核心。</w:t>
      </w:r>
    </w:p>
    <w:p w14:paraId="4D82B276">
      <w:pPr>
        <w:keepNext w:val="0"/>
        <w:keepLines w:val="0"/>
        <w:widowControl/>
        <w:suppressLineNumbers w:val="0"/>
        <w:pBdr>
          <w:top w:val="single" w:color="EEF2F6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5.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游戏结束条件过于严苛</w:t>
      </w:r>
    </w:p>
    <w:p w14:paraId="7BA835BB">
      <w:pPr>
        <w:keepNext w:val="0"/>
        <w:keepLines w:val="0"/>
        <w:widowControl/>
        <w:suppressLineNumbers w:val="0"/>
        <w:pBdr>
          <w:top w:val="single" w:color="EEF2F6" w:sz="4" w:space="0"/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194351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当前硬性失败条件为“支持率低于40%”即被董事会罢免，但40%的数值缺乏弹性，且与难度选择无关，可能导致非战之罪。</w:t>
      </w:r>
    </w:p>
    <w:p w14:paraId="62A375BA">
      <w:pPr>
        <w:keepNext w:val="0"/>
        <w:keepLines w:val="0"/>
        <w:widowControl/>
        <w:suppressLineNumbers w:val="0"/>
        <w:pBdr>
          <w:top w:val="single" w:color="EEF2F6" w:sz="4" w:space="0"/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建议修正</w:t>
      </w:r>
    </w:p>
    <w:p w14:paraId="554263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将硬性失败条件修改为：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“连续两次未通过董事会续聘投票”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，而非固定40%的数值。这样更符合逻辑，也与难度选择挂钩。</w:t>
      </w:r>
    </w:p>
    <w:p w14:paraId="2B981A1C">
      <w:pPr>
        <w:keepNext w:val="0"/>
        <w:keepLines w:val="0"/>
        <w:widowControl/>
        <w:suppressLineNumbers w:val="0"/>
        <w:pBdr>
          <w:top w:val="single" w:color="EEF2F6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6.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“新游戏+”与“遗产评级”的联动缺失</w:t>
      </w:r>
    </w:p>
    <w:p w14:paraId="6633AFB3">
      <w:pPr>
        <w:keepNext w:val="0"/>
        <w:keepLines w:val="0"/>
        <w:widowControl/>
        <w:suppressLineNumbers w:val="0"/>
        <w:pBdr>
          <w:top w:val="single" w:color="EEF2F6" w:sz="4" w:space="0"/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222352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当前仅提及“新游戏+”可继承部分内容，但未与遗产评级（S/A/B/C）形成具体奖励梯度，缺乏重玩激励。</w:t>
      </w:r>
    </w:p>
    <w:p w14:paraId="07B12EDB">
      <w:pPr>
        <w:keepNext w:val="0"/>
        <w:keepLines w:val="0"/>
        <w:widowControl/>
        <w:suppressLineNumbers w:val="0"/>
        <w:pBdr>
          <w:top w:val="single" w:color="EEF2F6" w:sz="4" w:space="0"/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建议修正</w:t>
      </w:r>
    </w:p>
    <w:p w14:paraId="11774A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建议更具体地联动：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•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S级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通关后，新游戏+可获得 </w:t>
      </w: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  <w:shd w:val="clear" w:fill="EEF2F6"/>
        </w:rPr>
        <w:t>“传奇Buff”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（全属性+10%）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•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A级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通关后，可获得 </w:t>
      </w: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  <w:shd w:val="clear" w:fill="EEF2F6"/>
        </w:rPr>
        <w:t>“行业声誉”Buff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（初始关系+20）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•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B级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通关后，仅解锁基础的新游戏+，无额外Buff。</w:t>
      </w:r>
    </w:p>
    <w:p w14:paraId="49216886"/>
    <w:p w14:paraId="75A54AA5"/>
    <w:p w14:paraId="31209A78"/>
    <w:p w14:paraId="7C9DFB34"/>
    <w:p w14:paraId="3D6D8CA1">
      <w:pPr>
        <w:pStyle w:val="2"/>
        <w:keepNext w:val="0"/>
        <w:keepLines w:val="0"/>
        <w:widowControl/>
        <w:suppressLineNumbers w:val="0"/>
        <w:pBdr>
          <w:bottom w:val="single" w:color="E6EDF5" w:sz="18" w:space="0"/>
        </w:pBdr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B1E33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1E33"/>
          <w:spacing w:val="0"/>
        </w:rPr>
        <w:t>第二部分：基于“实时数据驱动”特色的补充建议</w:t>
      </w:r>
    </w:p>
    <w:p w14:paraId="0905D3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宏观数据与微观运营的深化</w:t>
      </w:r>
    </w:p>
    <w:p w14:paraId="508689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文档已包含油价、汇率、碳价等，以下为更多可实时引入的数据维度：</w:t>
      </w:r>
    </w:p>
    <w:p w14:paraId="6BA6CD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全球航空管制与天气数据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(联动OPS/SAF)</w:t>
      </w:r>
    </w:p>
    <w:p w14:paraId="375352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1E293B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</w:rPr>
        <w:t>实时天气与NOTAM（航行通告）：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bdr w:val="none" w:color="auto" w:sz="0" w:space="0"/>
        </w:rPr>
        <w:t> 接入实时气象数据（如Windy API）和全球NOTAM数据，模拟因火山灰、暴雪、台风导致的真实空域关闭。</w:t>
      </w:r>
    </w:p>
    <w:p w14:paraId="792A4174">
      <w:pPr>
        <w:keepNext w:val="0"/>
        <w:keepLines w:val="0"/>
        <w:widowControl/>
        <w:suppressLineNumbers w:val="0"/>
        <w:pBdr>
          <w:left w:val="single" w:color="8BA0B8" w:sz="12" w:space="0"/>
        </w:pBdr>
        <w:shd w:val="clear" w:fill="F8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shd w:val="clear" w:fill="F8FAFC"/>
          <w:lang w:val="en-US" w:eastAsia="zh-CN" w:bidi="ar"/>
        </w:rPr>
        <w:t>例如：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8FAFC"/>
          <w:lang w:val="en-US" w:eastAsia="zh-CN" w:bidi="ar"/>
        </w:rPr>
        <w:t> “受冰岛火山灰影响，北大西洋航路关闭，所有跨大西洋航班延误”。</w:t>
      </w:r>
    </w:p>
    <w:p w14:paraId="7E235E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1E293B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</w:rPr>
        <w:t>实时流控数据：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bdr w:val="none" w:color="auto" w:sz="0" w:space="0"/>
        </w:rPr>
        <w:t> 模拟真实机场因天气或军事活动导致的流量控制，实时调整航班排序。</w:t>
      </w:r>
    </w:p>
    <w:p w14:paraId="500D4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劳动力市场数据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(联动HR)</w:t>
      </w:r>
    </w:p>
    <w:p w14:paraId="3BF438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1E293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bdr w:val="none" w:color="auto" w:sz="0" w:space="0"/>
        </w:rPr>
        <w:t>接入全球招聘热度指数（如LinkedIn或模拟数据），显示当前飞行员、机务人员的市场紧缺程度。紧缺时招聘成本上升，且挖人成功率下降。</w:t>
      </w:r>
    </w:p>
    <w:p w14:paraId="27734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旅游与消费趋势数据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(联动MKT)</w:t>
      </w:r>
    </w:p>
    <w:p w14:paraId="13F587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1E293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bdr w:val="none" w:color="auto" w:sz="0" w:space="0"/>
        </w:rPr>
        <w:t>接入Google Trends API（模拟版）或实时旅游搜索热度，显示未来3个月的热门目的地。玩家可以根据搜索指数动态调整航班运力。</w:t>
      </w:r>
    </w:p>
    <w:p w14:paraId="09A54B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地缘政治风险指数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(联动STG/SAF)</w:t>
      </w:r>
    </w:p>
    <w:p w14:paraId="0AE157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1E293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bdr w:val="none" w:color="auto" w:sz="0" w:space="0"/>
        </w:rPr>
        <w:t>接入实时全球和平指数或地缘政治风险API，风险指数上升时，飞越特定国家（如中东、东欧）的航路费、保险费飙升，且航权谈判难度增加。</w:t>
      </w:r>
    </w:p>
    <w:p w14:paraId="26762C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运营层与市场层的实时动态</w:t>
      </w:r>
    </w:p>
    <w:p w14:paraId="6A912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动态收益管理</w:t>
      </w:r>
    </w:p>
    <w:p w14:paraId="7B6BBF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1E293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bdr w:val="none" w:color="auto" w:sz="0" w:space="0"/>
        </w:rPr>
        <w:t>不仅依赖内部RPM模型，还可接入实时竞对票价爬虫数据，模拟OTA（在线旅游平台）上的价格战。如果玩家定价高于市场均价20%，系统会发出警告。</w:t>
      </w:r>
    </w:p>
    <w:p w14:paraId="498A0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突发事件链的实时触发</w:t>
      </w:r>
    </w:p>
    <w:p w14:paraId="425CAD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1E293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bdr w:val="none" w:color="auto" w:sz="0" w:space="0"/>
        </w:rPr>
        <w:t>基于真实世界数据触发事件。</w:t>
      </w:r>
    </w:p>
    <w:p w14:paraId="742B9C9C">
      <w:pPr>
        <w:keepNext w:val="0"/>
        <w:keepLines w:val="0"/>
        <w:widowControl/>
        <w:suppressLineNumbers w:val="0"/>
        <w:pBdr>
          <w:left w:val="single" w:color="8BA0B8" w:sz="12" w:space="0"/>
        </w:pBdr>
        <w:shd w:val="clear" w:fill="F8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shd w:val="clear" w:fill="F8FAFC"/>
          <w:lang w:val="en-US" w:eastAsia="zh-CN" w:bidi="ar"/>
        </w:rPr>
        <w:t>例如：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8FAFC"/>
          <w:lang w:val="en-US" w:eastAsia="zh-CN" w:bidi="ar"/>
        </w:rPr>
        <w:t> “供应链警报：因真实世界中波音或空客的交付延迟（可模拟API），你的新飞机交付将推迟6个月”，这能极大增强代入感。</w:t>
      </w:r>
    </w:p>
    <w:p w14:paraId="7EE0E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燃油采购的市场博弈</w:t>
      </w:r>
    </w:p>
    <w:p w14:paraId="1C3171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1E293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bdr w:val="none" w:color="auto" w:sz="0" w:space="0"/>
        </w:rPr>
        <w:t>文档15.12节已提及API，可扩展为“燃油现货市场”。玩家不仅是被动接受价格，还可以在价格波动时手动囤积或抛售燃油合约，模拟真实的航油套期保值。</w:t>
      </w:r>
    </w:p>
    <w:p w14:paraId="419B5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3.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外部生态的实时竞争</w:t>
      </w:r>
    </w:p>
    <w:p w14:paraId="5876B5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实时货运价格指数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(联动MKT/FIN)</w:t>
      </w:r>
    </w:p>
    <w:p w14:paraId="777028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1E293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bdr w:val="none" w:color="auto" w:sz="0" w:space="0"/>
        </w:rPr>
        <w:t>接入全球航空货运价格指数（TAC Index），该指数实时变动。当指数飙升时，客机腹舱利润大增，甚至可触发“临时客改货”决策。</w:t>
      </w:r>
    </w:p>
    <w:p w14:paraId="0B308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竞争对手的真实动态</w:t>
      </w:r>
    </w:p>
    <w:p w14:paraId="68C143F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1E293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bdr w:val="none" w:color="auto" w:sz="0" w:space="0"/>
        </w:rPr>
        <w:t>AI竞争对手的行为可参考真实世界数据。</w:t>
      </w:r>
    </w:p>
    <w:p w14:paraId="203612E4">
      <w:pPr>
        <w:keepNext w:val="0"/>
        <w:keepLines w:val="0"/>
        <w:widowControl/>
        <w:suppressLineNumbers w:val="0"/>
        <w:pBdr>
          <w:left w:val="single" w:color="8BA0B8" w:sz="12" w:space="0"/>
        </w:pBdr>
        <w:shd w:val="clear" w:fill="F8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shd w:val="clear" w:fill="F8FAFC"/>
          <w:lang w:val="en-US" w:eastAsia="zh-CN" w:bidi="ar"/>
        </w:rPr>
        <w:t>例如：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8FAFC"/>
          <w:lang w:val="en-US" w:eastAsia="zh-CN" w:bidi="ar"/>
        </w:rPr>
        <w:t> “竞对动态：根据市场新闻，某低成本航司（AI）刚刚订购了100架737MAX，未来3年其运力将扩张30%，请提前做好防御准备。”</w:t>
      </w:r>
    </w:p>
    <w:p w14:paraId="33D429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4.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技术层面的数据流补充</w:t>
      </w:r>
    </w:p>
    <w:p w14:paraId="7EE4D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数据缓存与延迟策略</w:t>
      </w:r>
    </w:p>
    <w:p w14:paraId="6D2DB2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1E293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bdr w:val="none" w:color="auto" w:sz="0" w:space="0"/>
        </w:rPr>
        <w:t>为确保离线/弱网体验，建议在32.5节补充“数据预测模式”：当API不可用时，游戏引擎启动“机器学习预测模型”，基于过去30天的数据预测未来24小时的波动，确保游戏不中断。</w:t>
      </w:r>
    </w:p>
    <w:p w14:paraId="7BE532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玩家行为数据上云</w:t>
      </w:r>
    </w:p>
    <w:p w14:paraId="6A6048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1E293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bdr w:val="none" w:color="auto" w:sz="0" w:space="0"/>
        </w:rPr>
        <w:t>不仅是遥测，还可以将玩家的“成功策略模型”匿名上传至云端。在新游戏+或社区排行中，AI对手可以学习高玩策略，动态提升游戏难度。</w:t>
      </w:r>
    </w:p>
    <w:p w14:paraId="0560A2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5.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财务与合规层面的深化</w:t>
      </w:r>
    </w:p>
    <w:p w14:paraId="54BB84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实时监管政策推送</w:t>
      </w:r>
    </w:p>
    <w:p w14:paraId="4D156C7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1E293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bdr w:val="none" w:color="auto" w:sz="0" w:space="0"/>
        </w:rPr>
        <w:t>接入模拟的“全球航空监管数据库”（如EASA/FAA实时更新），当真实世界发布新的适航指令（AD）时，游戏中你的机队会收到强制性检查或改装通知，产生非计划性停场。</w:t>
      </w:r>
    </w:p>
    <w:p w14:paraId="39914E6F">
      <w:pPr>
        <w:numPr>
          <w:numId w:val="0"/>
        </w:num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4FABB"/>
    <w:multiLevelType w:val="multilevel"/>
    <w:tmpl w:val="8144FA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D54A9BB"/>
    <w:multiLevelType w:val="multilevel"/>
    <w:tmpl w:val="8D54A9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F04785D"/>
    <w:multiLevelType w:val="multilevel"/>
    <w:tmpl w:val="9F047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8C21954"/>
    <w:multiLevelType w:val="multilevel"/>
    <w:tmpl w:val="A8C219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99E94FB"/>
    <w:multiLevelType w:val="multilevel"/>
    <w:tmpl w:val="A99E94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A1BD810"/>
    <w:multiLevelType w:val="multilevel"/>
    <w:tmpl w:val="AA1BD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49FD20C"/>
    <w:multiLevelType w:val="multilevel"/>
    <w:tmpl w:val="C49FD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651568A"/>
    <w:multiLevelType w:val="multilevel"/>
    <w:tmpl w:val="F6515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00E3E60B"/>
    <w:multiLevelType w:val="multilevel"/>
    <w:tmpl w:val="00E3E6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199A426A"/>
    <w:multiLevelType w:val="multilevel"/>
    <w:tmpl w:val="199A42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254CD00F"/>
    <w:multiLevelType w:val="multilevel"/>
    <w:tmpl w:val="254CD0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2AAB457E"/>
    <w:multiLevelType w:val="multilevel"/>
    <w:tmpl w:val="2AAB45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5ED09419"/>
    <w:multiLevelType w:val="multilevel"/>
    <w:tmpl w:val="5ED09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1"/>
  </w:num>
  <w:num w:numId="2">
    <w:abstractNumId w:val="9"/>
  </w:num>
  <w:num w:numId="3">
    <w:abstractNumId w:val="2"/>
  </w:num>
  <w:num w:numId="4">
    <w:abstractNumId w:val="5"/>
  </w:num>
  <w:num w:numId="5">
    <w:abstractNumId w:val="12"/>
  </w:num>
  <w:num w:numId="6">
    <w:abstractNumId w:val="6"/>
  </w:num>
  <w:num w:numId="7">
    <w:abstractNumId w:val="4"/>
  </w:num>
  <w:num w:numId="8">
    <w:abstractNumId w:val="10"/>
  </w:num>
  <w:num w:numId="9">
    <w:abstractNumId w:val="1"/>
  </w:num>
  <w:num w:numId="10">
    <w:abstractNumId w:val="0"/>
  </w:num>
  <w:num w:numId="11">
    <w:abstractNumId w:val="3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E8662F"/>
    <w:rsid w:val="50E8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2026-07-27T11:41:00Z</dcterms:created>
  <dc:creator>格萨</dc:creator>
  <cp:lastModifiedBy>格萨</cp:lastModifiedBy>
  <dcterms:modified xsi:type="dcterms:W3CDTF">2026-07-27T11:46:55Z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D98D683AEFCF41EAB41F2CB2399217C5_11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