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hint="eastAsia" w:ascii="微软雅黑" w:hAnsi="微软雅黑" w:eastAsia="微软雅黑"/>
          <w:b w:val="1"/>
          <w:color w:val="1A365D"/>
          <w:sz w:val="52"/>
        </w:rPr>
        <w:t>NeoOmni 企业级智能体平台</w:t>
      </w:r>
    </w:p>
    <w:p>
      <w:pPr>
        <w:jc w:val="center"/>
      </w:pPr>
      <w:r>
        <w:rPr>
          <w:rFonts w:hint="eastAsia" w:ascii="微软雅黑" w:hAnsi="微软雅黑" w:eastAsia="微软雅黑"/>
          <w:b w:val="1"/>
          <w:color w:val="2B6CB0"/>
          <w:sz w:val="36"/>
        </w:rPr>
        <w:t>项目立项报告</w:t>
      </w:r>
    </w:p>
    <w:p>
      <w:pPr>
        <w:jc w:val="center"/>
      </w:pPr>
      <w:r>
        <w:rPr>
          <w:rFonts w:hint="eastAsia" w:ascii="微软雅黑" w:hAnsi="微软雅黑" w:eastAsia="微软雅黑"/>
          <w:color w:val="4A5568"/>
          <w:sz w:val="24"/>
        </w:rPr>
        <w:t>多端协同 · 私有化安全合规 · 行业 Know-How 沉淀的 Agent 编排平台</w:t>
      </w:r>
    </w:p>
    <w:p>
      <w:pPr>
        <w:jc w:val="center"/>
      </w:pPr>
      <w:r>
        <w:rPr>
          <w:rFonts w:hint="eastAsia" w:ascii="微软雅黑" w:hAnsi="微软雅黑" w:eastAsia="微软雅黑"/>
          <w:color w:val="4A5568"/>
          <w:sz w:val="20"/>
        </w:rPr>
        <w:t>编制：产品管理团队 ｜ 版本：v1.0 ｜ 日期：2026-08-06 ｜ 密级：内部（立项决策用）</w:t>
      </w:r>
    </w:p>
    <w:p/>
    <w:p>
      <w:pPr>
        <w:keepNext w:val="1"/>
        <w:pBdr>
          <w:bottom w:val="single" w:color="2B6CB0" w:sz="6" w:space="2"/>
        </w:pBdr>
        <w:spacing w:before="200" w:after="120"/>
      </w:pPr>
      <w:r>
        <w:rPr>
          <w:rFonts w:hint="eastAsia"/>
          <w:b w:val="1"/>
          <w:color w:val="1A365D"/>
          <w:sz w:val="32"/>
        </w:rPr>
        <w:t>汇报总览 / 预览</w:t>
      </w:r>
    </w:p>
    <w:p>
      <w:pPr>
        <w:keepNext w:val="1"/>
        <w:spacing w:before="200" w:after="120"/>
      </w:pPr>
      <w:r>
        <w:rPr>
          <w:rFonts w:hint="eastAsia"/>
          <w:b w:val="1"/>
          <w:color w:val="2B6CB0"/>
          <w:sz w:val="23"/>
        </w:rPr>
        <w:t>项目定位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    </w:t>
      </w:r>
      <w:r>
        <w:rPr>
          <w:rFonts w:hint="eastAsia" w:ascii="微软雅黑" w:hAnsi="微软雅黑" w:eastAsia="微软雅黑"/>
          <w:b w:val="0"/>
          <w:i w:val="0"/>
          <w:sz w:val="21"/>
        </w:rPr>
        <w:t>NeoOmni 是一款面向中大型企业 / 政企客户的企业级智能体编排平台，以四端协同架构（BOSS 端 / GPT 端 / Chat 端 / 桌面端）覆盖“租户管理—智能体开发—对话使用—桌面工作流”全链路，并以私有化部署 + 数据不出域 + 行业模板切入制造、化工、能源、金融等高合规场景。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EBF8FF"/>
          </w:tcPr>
          <w:p>
            <w:r>
              <w:rPr>
                <w:rFonts w:hint="eastAsia" w:ascii="微软雅黑" w:hAnsi="微软雅黑" w:eastAsia="微软雅黑"/>
                <w:sz w:val="21"/>
              </w:rPr>
              <w:t>一句话定位：把 Dify 的开发力、Coze 的易用性、WorkBuddy 的桌面入口、Agentar 的合规力，封装进一个私有化、懂制造 / 化工业务的四端平台，填补“既安全合规、又懂产业”的空白带。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>立项本质：不是再造一个聊天机器人，而是填补企业从“试验智能体”到“规模化用好智能体”之间的产品化鸿沟——以可治理、可审计、可私有化、可嵌入工作流的能力构建差异化护城河。</w:t>
      </w:r>
    </w:p>
    <w:p>
      <w:pPr>
        <w:keepNext w:val="1"/>
        <w:spacing w:before="200" w:after="120"/>
      </w:pPr>
      <w:r>
        <w:rPr>
          <w:rFonts w:hint="eastAsia"/>
          <w:b w:val="1"/>
          <w:color w:val="2B6CB0"/>
          <w:sz w:val="23"/>
        </w:rPr>
        <w:t>核心价值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① 私有化安全合规</w:t>
            </w:r>
          </w:p>
        </w:tc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② 四端统一入口</w:t>
            </w:r>
          </w:p>
        </w:tc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③ 行业资产沉淀</w:t>
            </w:r>
          </w:p>
        </w:tc>
      </w:tr>
      <w:tr>
        <w:trPr/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 xml:space="preserve">原生多租户隔离、RBAC 细粒度权限、私有化部署、数据不出域；RAG 强制 + 置信度阈值 + 人工在环三重控幻觉。呼应三部门“决策权限边界 + 注册平台”监管要求 </w:t>
            </w:r>
            <w:r>
              <w:rPr>
                <w:rFonts w:ascii="微软雅黑" w:hAnsi="微软雅黑" w:eastAsia="微软雅黑"/>
                <w:i w:val="1"/>
                <w:color w:val="805AD5"/>
                <w:sz w:val="18"/>
              </w:rPr>
              <w:t>[P2]</w:t>
            </w:r>
            <w:r>
              <w:rPr>
                <w:rFonts w:hint="eastAsia" w:ascii="微软雅黑" w:hAnsi="微软雅黑" w:eastAsia="微软雅黑"/>
                <w:b w:val="0"/>
                <w:sz w:val="18"/>
              </w:rPr>
              <w:t>。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BOSS 端治理、GPT 端开发、Chat 端使用、桌面端工作流——一个平台覆盖“管 / 建 / 用 / 干”，降低企业多工具拼装成本。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以制造 / 化工 / 纺织行业方案包 + 数据集资产形成可复制交付，把项目制交付升级为“平台 + 模板”的产品化模式。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color w:val="4A5568"/>
          <w:sz w:val="19"/>
        </w:rPr>
        <w:t xml:space="preserve">治理即卖点：将 BOSS 端“配额 / 模型管控 / 审计”作为差异化能力，直接回应 Gartner 预警中 40%+ 代理型项目被取消的“风险管控不足”根因 </w:t>
      </w:r>
      <w:r>
        <w:rPr>
          <w:rFonts w:ascii="微软雅黑" w:hAnsi="微软雅黑" w:eastAsia="微软雅黑"/>
          <w:i w:val="1"/>
          <w:color w:val="805AD5"/>
          <w:sz w:val="19"/>
        </w:rPr>
        <w:t>[D2]</w:t>
      </w:r>
      <w:r>
        <w:rPr>
          <w:rFonts w:hint="eastAsia" w:ascii="微软雅黑" w:hAnsi="微软雅黑" w:eastAsia="微软雅黑"/>
          <w:b w:val="0"/>
          <w:i w:val="0"/>
          <w:color w:val="4A5568"/>
          <w:sz w:val="19"/>
        </w:rPr>
        <w:t>。</w:t>
      </w:r>
    </w:p>
    <w:p>
      <w:pPr>
        <w:keepNext w:val="1"/>
        <w:spacing w:before="200" w:after="120"/>
      </w:pPr>
      <w:r>
        <w:rPr>
          <w:rFonts w:hint="eastAsia"/>
          <w:b w:val="1"/>
          <w:color w:val="2B6CB0"/>
          <w:sz w:val="23"/>
        </w:rPr>
        <w:t>关键数字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12"/>
        <w:gridCol w:w="2412"/>
        <w:gridCol w:w="2412"/>
        <w:gridCol w:w="2412"/>
      </w:tblGrid>
      <w:tr>
        <w:trPr/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8"/>
              </w:rPr>
              <w:t>449 亿</w:t>
            </w:r>
          </w:p>
        </w:tc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8"/>
              </w:rPr>
              <w:t>87.5%</w:t>
            </w:r>
          </w:p>
        </w:tc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8"/>
              </w:rPr>
              <w:t>&gt;70%</w:t>
            </w:r>
          </w:p>
        </w:tc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8"/>
              </w:rPr>
              <w:t>18%</w:t>
            </w:r>
          </w:p>
        </w:tc>
      </w:tr>
      <w:tr>
        <w:trPr/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2026 中国企业级 AI 智能体整体市场（CAGR 107%）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IDC</w:t>
            </w:r>
          </w:p>
        </w:tc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私有化占中国智能体开发平台收入比重，主攻赛道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[M2]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IDC</w:t>
            </w:r>
          </w:p>
        </w:tc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制造/能源/金融/政务四大行业占智能体份额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[M1]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 赛迪</w:t>
            </w:r>
          </w:p>
        </w:tc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仅 18% 企业将智能体纳入核心流程——“用好”空间巨大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IDC</w:t>
            </w:r>
          </w:p>
        </w:tc>
      </w:tr>
    </w:tbl>
    <w:p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FFBEB"/>
          </w:tcPr>
          <w:p>
            <w:r>
              <w:rPr>
                <w:rFonts w:hint="eastAsia" w:ascii="微软雅黑" w:hAnsi="微软雅黑" w:eastAsia="微软雅黑"/>
                <w:sz w:val="21"/>
              </w:rPr>
              <w:t>内部测算基线（需决策层核定）：三年累计投入约 1,000 万，基线情景累计营收约 3,000 万、签约客户 30+，净收益约 800–950 万，回收期约第 2.5 年。详见 §4。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hint="eastAsia"/>
          <w:b w:val="1"/>
          <w:color w:val="2B6CB0"/>
          <w:sz w:val="23"/>
        </w:rPr>
        <w:t>决策建议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0FDF4"/>
          </w:tcPr>
          <w:p>
            <w:r>
              <w:rPr>
                <w:rFonts w:hint="eastAsia" w:ascii="微软雅黑" w:hAnsi="微软雅黑" w:eastAsia="微软雅黑"/>
                <w:sz w:val="21"/>
              </w:rPr>
              <w:t xml:space="preserve">建议立项。市场处于渗透率拐点（Gartner 预测 2026 年底 40% 企业软件嵌入智能体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[M4]</w:t>
            </w:r>
            <w:r>
              <w:rPr>
                <w:rFonts w:hint="eastAsia" w:ascii="微软雅黑" w:hAnsi="微软雅黑" w:eastAsia="微软雅黑"/>
                <w:sz w:val="21"/>
              </w:rPr>
              <w:t xml:space="preserve">）；政策强力支持（国务院 2027 普及率 &gt;70%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[P1]</w:t>
            </w:r>
            <w:r>
              <w:rPr>
                <w:rFonts w:hint="eastAsia" w:ascii="微软雅黑" w:hAnsi="微软雅黑" w:eastAsia="微软雅黑"/>
                <w:sz w:val="21"/>
              </w:rPr>
              <w:t>）；且存在“私有化 + 行业 Know-How”的明确空白带。建议以先内后外、聚焦垂直策略推进：短期补齐 P0/P1 功能短板，中期构建 Agent 市场与多租户，长期成为行业级平台。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color w:val="4A5568"/>
          <w:sz w:val="19"/>
        </w:rPr>
        <w:t>立项须以“可量化 ROI”而非“技术炫技”驱动；投入产出数字为内部规划假设，须财务部门核定后作为考核基线。</w:t>
      </w:r>
    </w:p>
    <w:p>
      <w:r>
        <w:br w:type="page"/>
      </w:r>
    </w:p>
    <w:p>
      <w:pPr>
        <w:keepNext w:val="1"/>
        <w:pBdr>
          <w:bottom w:val="single" w:color="2B6CB0" w:sz="6" w:space="2"/>
        </w:pBdr>
        <w:spacing w:before="200" w:after="120"/>
      </w:pPr>
      <w:r>
        <w:rPr>
          <w:rFonts w:ascii="微软雅黑" w:hAnsi="微软雅黑" w:eastAsia="微软雅黑"/>
          <w:b w:val="1"/>
          <w:color w:val="2B6CB0"/>
          <w:sz w:val="30"/>
        </w:rPr>
        <w:t xml:space="preserve">1 </w:t>
      </w:r>
      <w:r>
        <w:rPr>
          <w:rFonts w:hint="eastAsia"/>
          <w:b w:val="1"/>
          <w:color w:val="1A365D"/>
          <w:sz w:val="32"/>
        </w:rPr>
        <w:t>项目预览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1.1 </w:t>
      </w:r>
      <w:r>
        <w:rPr>
          <w:rFonts w:hint="eastAsia"/>
          <w:b w:val="1"/>
          <w:color w:val="2B6CB0"/>
          <w:sz w:val="26"/>
        </w:rPr>
        <w:t>项目背景与 Why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企业智能体正从“尝鲜”走向“生产级部署”。McKinsey 2025 调研显示 </w:t>
      </w:r>
      <w:r>
        <w:rPr>
          <w:rFonts w:ascii="微软雅黑" w:hAnsi="微软雅黑" w:eastAsia="微软雅黑"/>
          <w:i w:val="1"/>
          <w:color w:val="805AD5"/>
          <w:sz w:val="21"/>
        </w:rPr>
        <w:t>[D1]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88% 企业已在至少 1 个职能使用 AI、62% 至少处于智能体试验阶段，但仅 6% 企业从 AI 拿到显著 EBIT、仅 23% 实现规模化。Gartner 更预警 到 2027 年底超过 40% 的代理型 AI 项目将被取消，主因是成本失控、价值不清、风险管控不足 </w:t>
      </w:r>
      <w:r>
        <w:rPr>
          <w:rFonts w:ascii="微软雅黑" w:hAnsi="微软雅黑" w:eastAsia="微软雅黑"/>
          <w:i w:val="1"/>
          <w:color w:val="805AD5"/>
          <w:sz w:val="21"/>
        </w:rPr>
        <w:t>[D2]</w:t>
      </w:r>
      <w:r>
        <w:rPr>
          <w:rFonts w:hint="eastAsia" w:ascii="微软雅黑" w:hAnsi="微软雅黑" w:eastAsia="微软雅黑"/>
          <w:b w:val="0"/>
          <w:i w:val="0"/>
          <w:sz w:val="21"/>
        </w:rPr>
        <w:t>。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>矛盾点在于：需求侧已验证，但供给侧呈“哑铃型”——一端轻量但强绑公有云（Coze / 元器），一端重但昂贵（蚂蚁 Agentar / 华为）。中间存在一个空白带：既私有化安全合规、又深耕制造业 / 化工业务 Know-How、且提供从开发到桌面端统一入口的产品。NeoOmni 四端架构正是为填补这一空白而生。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1.2 </w:t>
      </w:r>
      <w:r>
        <w:rPr>
          <w:rFonts w:hint="eastAsia"/>
          <w:b w:val="1"/>
          <w:color w:val="2B6CB0"/>
          <w:sz w:val="26"/>
        </w:rPr>
        <w:t>项目目标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EBF8FF"/>
          </w:tcPr>
          <w:p>
            <w:r>
              <w:rPr>
                <w:rFonts w:hint="eastAsia" w:ascii="微软雅黑" w:hAnsi="微软雅黑" w:eastAsia="微软雅黑"/>
                <w:sz w:val="21"/>
              </w:rPr>
              <w:t xml:space="preserve">北极星指标：私有化部署的月活跃智能体调用次数——衡量平台是否真正进入企业生产流程，而非“搭了不用”。该指标直接对应 IDC“仅 18% 纳入核心流程”的差距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[M3]</w:t>
            </w:r>
            <w:r>
              <w:rPr>
                <w:rFonts w:hint="eastAsia" w:ascii="微软雅黑" w:hAnsi="微软雅黑" w:eastAsia="微软雅黑"/>
                <w:sz w:val="21"/>
              </w:rPr>
              <w:t>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>业务目标（3 年）：① 成为制造 / 化工行业私有化智能体平台的差异化标杆；② 打通“开发—治理—使用—桌面”全链路四端体验；③ 形成可复制的行业方案包与数据集资产（详见 §4 产出）。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>驱动指标：四端开通率、上线智能体数、行业模板复用率、私有化部署数、单客户 ARR、续约率。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1.3 </w:t>
      </w:r>
      <w:r>
        <w:rPr>
          <w:rFonts w:hint="eastAsia"/>
          <w:b w:val="1"/>
          <w:color w:val="2B6CB0"/>
          <w:sz w:val="26"/>
        </w:rPr>
        <w:t>四端架构与产品范围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12"/>
        <w:gridCol w:w="2412"/>
        <w:gridCol w:w="2412"/>
        <w:gridCol w:w="2412"/>
      </w:tblGrid>
      <w:tr>
        <w:trPr/>
        <w:tc>
          <w:tcPr>
            <w:tcW w:w="144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端</w:t>
            </w:r>
          </w:p>
        </w:tc>
        <w:tc>
          <w:tcPr>
            <w:tcW w:w="2304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对标对象</w:t>
            </w:r>
          </w:p>
        </w:tc>
        <w:tc>
          <w:tcPr>
            <w:tcW w:w="3168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核心职责</w:t>
            </w:r>
          </w:p>
        </w:tc>
        <w:tc>
          <w:tcPr>
            <w:tcW w:w="288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关键能力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BOSS 端</w:t>
            </w:r>
          </w:p>
        </w:tc>
        <w:tc>
          <w:tcPr>
            <w:tcW w:w="2304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企业租户管理后台</w:t>
            </w:r>
          </w:p>
        </w:tc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租户 / 配额 / 模型管控 / 审计</w:t>
            </w:r>
          </w:p>
        </w:tc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多租户、RBAC、成本分摊、合规审计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GPT 端</w:t>
            </w:r>
          </w:p>
        </w:tc>
        <w:tc>
          <w:tcPr>
            <w:tcW w:w="2304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Dify</w:t>
            </w:r>
          </w:p>
        </w:tc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智能体可视化开发</w:t>
            </w:r>
          </w:p>
        </w:tc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多模型接入、RAG、工作流、MCP、模板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Chat 端</w:t>
            </w:r>
          </w:p>
        </w:tc>
        <w:tc>
          <w:tcPr>
            <w:tcW w:w="2304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Coze 网页端</w:t>
            </w:r>
          </w:p>
        </w:tc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智能体对话使用</w:t>
            </w:r>
          </w:p>
        </w:tc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对话流、发布渠道、知识问答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桌面端</w:t>
            </w:r>
          </w:p>
        </w:tc>
        <w:tc>
          <w:tcPr>
            <w:tcW w:w="2304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WorkBuddy</w:t>
            </w:r>
          </w:p>
        </w:tc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桌面工作流编排</w:t>
            </w:r>
          </w:p>
        </w:tc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本地文件 / 应用交互、跨系统执行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1.4 </w:t>
      </w:r>
      <w:r>
        <w:rPr>
          <w:rFonts w:hint="eastAsia"/>
          <w:b w:val="1"/>
          <w:color w:val="2B6CB0"/>
          <w:sz w:val="26"/>
        </w:rPr>
        <w:t>非目标（Non-goals · 范围控制）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>明确不做：① 不直接做通用 C 端流量产品，避开与巨头的正面竞争；② 不自研底层大模型，采用多模型热插拔接入；③ 首期不铺公有云大规模 SaaS，聚焦私有化政企。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>边界说明：以“平台 + 行业模板”模式交付，行业深度由样板客户共建沉淀，而非一次性全行业铺开。技术可行性优先，不承诺当前工程无法实现的泛化能力。</w:t>
      </w:r>
    </w:p>
    <w:p>
      <w:r>
        <w:br w:type="page"/>
      </w:r>
    </w:p>
    <w:p>
      <w:pPr>
        <w:keepNext w:val="1"/>
        <w:pBdr>
          <w:bottom w:val="single" w:color="2B6CB0" w:sz="6" w:space="2"/>
        </w:pBdr>
        <w:spacing w:before="200" w:after="120"/>
      </w:pPr>
      <w:r>
        <w:rPr>
          <w:rFonts w:ascii="微软雅黑" w:hAnsi="微软雅黑" w:eastAsia="微软雅黑"/>
          <w:b w:val="1"/>
          <w:color w:val="2B6CB0"/>
          <w:sz w:val="30"/>
        </w:rPr>
        <w:t xml:space="preserve">2 </w:t>
      </w:r>
      <w:r>
        <w:rPr>
          <w:rFonts w:hint="eastAsia"/>
          <w:b w:val="1"/>
          <w:color w:val="1A365D"/>
          <w:sz w:val="32"/>
        </w:rPr>
        <w:t>市场论证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5F3FF"/>
          </w:tcPr>
          <w:p>
            <w:r>
              <w:rPr>
                <w:rFonts w:hint="eastAsia" w:ascii="微软雅黑" w:hAnsi="微软雅黑" w:eastAsia="微软雅黑"/>
                <w:sz w:val="21"/>
              </w:rPr>
              <w:t>本章所有外部市场 / 政策 / 竞品数据均标注来源代码 [M/P/D/C]，完整来源与链接见 §5 来源附录。内部规划数字不在本章出现。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2.1 </w:t>
      </w:r>
      <w:r>
        <w:rPr>
          <w:rFonts w:hint="eastAsia"/>
          <w:b w:val="1"/>
          <w:color w:val="2B6CB0"/>
          <w:sz w:val="26"/>
        </w:rPr>
        <w:t>市场规模与增速（TAM / SAM / SOM）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12"/>
        <w:gridCol w:w="2412"/>
        <w:gridCol w:w="2412"/>
        <w:gridCol w:w="2412"/>
      </w:tblGrid>
      <w:tr>
        <w:trPr/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8"/>
              </w:rPr>
              <w:t>449 亿</w:t>
            </w:r>
          </w:p>
        </w:tc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8"/>
              </w:rPr>
              <w:t>17.5 亿</w:t>
            </w:r>
          </w:p>
        </w:tc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8"/>
              </w:rPr>
              <w:t>135.3 亿</w:t>
            </w:r>
          </w:p>
        </w:tc>
        <w:tc>
          <w:tcPr>
            <w:tcW w:w="24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8"/>
              </w:rPr>
              <w:t>2,026 亿</w:t>
            </w:r>
          </w:p>
        </w:tc>
      </w:tr>
      <w:tr>
        <w:trPr/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2026 企业级 AI 智能体市场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</w:p>
        </w:tc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2025 私有化平台层（占 87.5%）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[M2]</w:t>
            </w:r>
          </w:p>
        </w:tc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2026 中国智能体市场（赛迪 +70%）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[M1]</w:t>
            </w:r>
          </w:p>
        </w:tc>
        <w:tc>
          <w:tcPr>
            <w:tcW w:w="2412" w:type="dxa"/>
            <w:shd w:val="clear" w:color="auto" w:fill="EFF3F8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7"/>
              </w:rPr>
              <w:t>2029 预测（CAGR 107%）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</w:p>
        </w:tc>
      </w:tr>
    </w:tbl>
    <w:p>
      <w:pPr>
        <w:spacing w:after="40"/>
      </w:pP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12"/>
        <w:gridCol w:w="2412"/>
        <w:gridCol w:w="2412"/>
        <w:gridCol w:w="2412"/>
      </w:tblGrid>
      <w:tr>
        <w:trPr/>
        <w:tc>
          <w:tcPr>
            <w:tcW w:w="1728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层级</w:t>
            </w:r>
          </w:p>
        </w:tc>
        <w:tc>
          <w:tcPr>
            <w:tcW w:w="2736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定义</w:t>
            </w:r>
          </w:p>
        </w:tc>
        <w:tc>
          <w:tcPr>
            <w:tcW w:w="3744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规模 / 增速</w:t>
            </w:r>
          </w:p>
        </w:tc>
        <w:tc>
          <w:tcPr>
            <w:tcW w:w="2304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覆盖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TAM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总潜在市场</w:t>
            </w:r>
          </w:p>
        </w:tc>
        <w:tc>
          <w:tcPr>
            <w:tcW w:w="273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中国企业级 AI 智能体整体市场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2026 ≈ 449 亿，2029 ≈ 2,026 亿（CAGR 107%）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IDC</w:t>
            </w:r>
          </w:p>
        </w:tc>
        <w:tc>
          <w:tcPr>
            <w:tcW w:w="230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所有行业、所有形态智能体支出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SAM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可服务市场</w:t>
            </w:r>
          </w:p>
        </w:tc>
        <w:tc>
          <w:tcPr>
            <w:tcW w:w="273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需私有化 / 高合规部署、具备复杂业务系统的中大型企业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私有化平台层 ≈ 17.5 亿（2025）→ 预计 2026 超 40 亿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[M2]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 IDC；叠加政务 / 制造 / 能源 / 金融四大行业（占智能体份额 &gt;70%）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[M1]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 赛迪</w:t>
            </w:r>
          </w:p>
        </w:tc>
        <w:tc>
          <w:tcPr>
            <w:tcW w:w="230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强合规 + 多系统 + 数据不出域客户</w:t>
            </w:r>
          </w:p>
        </w:tc>
      </w:tr>
      <w:tr>
        <w:trPr/>
        <w:tc>
          <w:tcPr>
            <w:tcW w:w="1728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SOM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可获取市场</w:t>
            </w:r>
          </w:p>
        </w:tc>
        <w:tc>
          <w:tcPr>
            <w:tcW w:w="273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化工 / 化纤 / 纺织 / 制造行业 + 已验证对外案例行业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以正凯产业链为锚点的行业垂直切入（具体商业目标见 §4，属内部规划假设）</w:t>
            </w:r>
          </w:p>
        </w:tc>
        <w:tc>
          <w:tcPr>
            <w:tcW w:w="230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私有化 + 行业模板 + 治理管控的差异化路径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平台软件层（NeoOmni 直接赛道）：据 IDC《中国智能体开发平台市场份额，2025》，2025 年智能体开发平台软件产品总收入约 20 亿元，其中私有化 17.5 亿（87.5%）、公有云 2.5 亿。私有化已初具规模，是当下收入主战场 </w:t>
      </w:r>
      <w:r>
        <w:rPr>
          <w:rFonts w:ascii="微软雅黑" w:hAnsi="微软雅黑" w:eastAsia="微软雅黑"/>
          <w:i w:val="1"/>
          <w:color w:val="805AD5"/>
          <w:sz w:val="21"/>
        </w:rPr>
        <w:t>[M2]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IDC。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2.2 </w:t>
      </w:r>
      <w:r>
        <w:rPr>
          <w:rFonts w:hint="eastAsia"/>
          <w:b w:val="1"/>
          <w:color w:val="2B6CB0"/>
          <w:sz w:val="26"/>
        </w:rPr>
        <w:t>政策红利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216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政策</w:t>
            </w:r>
          </w:p>
        </w:tc>
        <w:tc>
          <w:tcPr>
            <w:tcW w:w="7488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要点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 xml:space="preserve">国务院《人工智能+行动意见》 </w:t>
            </w:r>
            <w:r>
              <w:rPr>
                <w:rFonts w:ascii="微软雅黑" w:hAnsi="微软雅黑" w:eastAsia="微软雅黑"/>
                <w:i w:val="1"/>
                <w:color w:val="805AD5"/>
                <w:sz w:val="18"/>
              </w:rPr>
              <w:t>[P1]</w:t>
            </w:r>
          </w:p>
        </w:tc>
        <w:tc>
          <w:tcPr>
            <w:tcW w:w="748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明确 2027 年智能体普及率 &gt;70%、2030 年 &gt;90%，从国家层面确立智能体战略地位。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 xml:space="preserve">三部门《智能体实施意见》 </w:t>
            </w:r>
            <w:r>
              <w:rPr>
                <w:rFonts w:ascii="微软雅黑" w:hAnsi="微软雅黑" w:eastAsia="微软雅黑"/>
                <w:i w:val="1"/>
                <w:color w:val="805AD5"/>
                <w:sz w:val="18"/>
              </w:rPr>
              <w:t>[P2]</w:t>
            </w:r>
          </w:p>
        </w:tc>
        <w:tc>
          <w:tcPr>
            <w:tcW w:w="748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2026-05-08 发布，5 方向 19 场景，首次厘清“用户本人 / 授权 / 自主”决策边界、探索智能体注册平台——直接利好合规型私有化平台。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2.3 </w:t>
      </w:r>
      <w:r>
        <w:rPr>
          <w:rFonts w:hint="eastAsia"/>
          <w:b w:val="1"/>
          <w:color w:val="2B6CB0"/>
          <w:sz w:val="26"/>
        </w:rPr>
        <w:t>需求验证（无需假设，权威实证）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2016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维度</w:t>
            </w:r>
          </w:p>
        </w:tc>
        <w:tc>
          <w:tcPr>
            <w:tcW w:w="547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数据</w:t>
            </w:r>
          </w:p>
        </w:tc>
        <w:tc>
          <w:tcPr>
            <w:tcW w:w="216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来源</w:t>
            </w:r>
          </w:p>
        </w:tc>
      </w:tr>
      <w:tr>
        <w:trPr/>
        <w:tc>
          <w:tcPr>
            <w:tcW w:w="201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采用广度</w:t>
            </w:r>
          </w:p>
        </w:tc>
        <w:tc>
          <w:tcPr>
            <w:tcW w:w="54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88% 企业已在至少 1 个职能使用 AI；62% 企业“至少在试验”智能体</w:t>
            </w:r>
          </w:p>
        </w:tc>
        <w:tc>
          <w:tcPr>
            <w:tcW w:w="2160" w:type="dxa"/>
          </w:tcPr>
          <w:p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[D1]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McKinsey</w:t>
            </w:r>
          </w:p>
        </w:tc>
      </w:tr>
      <w:tr>
        <w:trPr/>
        <w:tc>
          <w:tcPr>
            <w:tcW w:w="201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规模化鸿沟</w:t>
            </w:r>
          </w:p>
        </w:tc>
        <w:tc>
          <w:tcPr>
            <w:tcW w:w="54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仅 23% 实现规模化、仅 6% 获显著 EBIT</w:t>
            </w:r>
          </w:p>
        </w:tc>
        <w:tc>
          <w:tcPr>
            <w:tcW w:w="2160" w:type="dxa"/>
          </w:tcPr>
          <w:p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[D1]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McKinsey</w:t>
            </w:r>
          </w:p>
        </w:tc>
      </w:tr>
      <w:tr>
        <w:trPr/>
        <w:tc>
          <w:tcPr>
            <w:tcW w:w="201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渗透率拐点</w:t>
            </w:r>
          </w:p>
        </w:tc>
        <w:tc>
          <w:tcPr>
            <w:tcW w:w="54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2026 年底 40% 企业软件嵌入智能体（2025 不足 5%）；2031 年达 3.5 亿活跃智能体</w:t>
            </w:r>
          </w:p>
        </w:tc>
        <w:tc>
          <w:tcPr>
            <w:tcW w:w="2160" w:type="dxa"/>
          </w:tcPr>
          <w:p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[M4]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Gartner /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IDC</w:t>
            </w:r>
          </w:p>
        </w:tc>
      </w:tr>
      <w:tr>
        <w:trPr/>
        <w:tc>
          <w:tcPr>
            <w:tcW w:w="201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失败预警</w:t>
            </w:r>
          </w:p>
        </w:tc>
        <w:tc>
          <w:tcPr>
            <w:tcW w:w="54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到 2027 年底 &gt;40% 代理型 AI 项目将被取消，主因成本失控 / 价值不清 / 风险管控不足</w:t>
            </w:r>
          </w:p>
        </w:tc>
        <w:tc>
          <w:tcPr>
            <w:tcW w:w="2160" w:type="dxa"/>
          </w:tcPr>
          <w:p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[D2]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Gartner</w:t>
            </w:r>
          </w:p>
        </w:tc>
      </w:tr>
      <w:tr>
        <w:trPr/>
        <w:tc>
          <w:tcPr>
            <w:tcW w:w="201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供给侧膨胀</w:t>
            </w:r>
          </w:p>
        </w:tc>
        <w:tc>
          <w:tcPr>
            <w:tcW w:w="54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2026-02 国内智能体服务商突破 300 家，但仅 18% 企业纳入核心流程</w:t>
            </w:r>
          </w:p>
        </w:tc>
        <w:tc>
          <w:tcPr>
            <w:tcW w:w="2160" w:type="dxa"/>
          </w:tcPr>
          <w:p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[M3]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IDC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2.4 </w:t>
      </w:r>
      <w:r>
        <w:rPr>
          <w:rFonts w:hint="eastAsia"/>
          <w:b w:val="1"/>
          <w:color w:val="2B6CB0"/>
          <w:sz w:val="26"/>
        </w:rPr>
        <w:t>竞争格局与空白带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2025 私有化市场前五：火山引擎 HiAgent（17.8%） &gt; 腾讯云 ADP（8.8%）&gt; 阿里云百炼专属版（8.6%）&gt; 蚂蚁数科 Agentar（非云厂商第一）&gt; 电信 AI </w:t>
      </w:r>
      <w:r>
        <w:rPr>
          <w:rFonts w:ascii="微软雅黑" w:hAnsi="微软雅黑" w:eastAsia="微软雅黑"/>
          <w:i w:val="1"/>
          <w:color w:val="805AD5"/>
          <w:sz w:val="21"/>
        </w:rPr>
        <w:t>[C4]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IDC 2025。公有云前三：火山引擎扣子、百度智能云千帆、腾讯云 ADP。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187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阵营</w:t>
            </w:r>
          </w:p>
        </w:tc>
        <w:tc>
          <w:tcPr>
            <w:tcW w:w="3744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代表</w:t>
            </w:r>
          </w:p>
        </w:tc>
        <w:tc>
          <w:tcPr>
            <w:tcW w:w="403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与 NeoOmni 关系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开源灵活型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Dify（148K+ Stars、280+ 企业客户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[C1]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）、LangChain、n8n</w:t>
            </w:r>
          </w:p>
        </w:tc>
        <w:tc>
          <w:tcPr>
            <w:tcW w:w="403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对应 NeoOmni 的 GPT 端（类 Dify 编排），但缺企业级多租户 / 安全治理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轻量绑云型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Coze（1 亿+ Agent、月活 1500 万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[C2]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）、元器</w:t>
            </w:r>
          </w:p>
        </w:tc>
        <w:tc>
          <w:tcPr>
            <w:tcW w:w="403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强绑公有云、数据合规存疑、行业 Know-How 浅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桌面入口型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腾讯 WorkBuddy（PC 月访问 2097 万、国内第一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[C3]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w="403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对应 NeoOmni 桌面端，但偏 C 端通用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全栈高合规型</w:t>
            </w:r>
          </w:p>
        </w:tc>
        <w:tc>
          <w:tcPr>
            <w:tcW w:w="374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蚂蚁 Agentar、华为盘古</w:t>
            </w:r>
          </w:p>
        </w:tc>
        <w:tc>
          <w:tcPr>
            <w:tcW w:w="403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直接对标 NeoOmni 主航道，但价格高昂、行业 Know-How 弱</w:t>
            </w:r>
          </w:p>
        </w:tc>
      </w:tr>
    </w:tbl>
    <w:p>
      <w:pPr>
        <w:spacing w:after="4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EBF8FF"/>
          </w:tcPr>
          <w:p>
            <w:r>
              <w:rPr>
                <w:rFonts w:hint="eastAsia" w:ascii="微软雅黑" w:hAnsi="微软雅黑" w:eastAsia="微软雅黑"/>
                <w:sz w:val="21"/>
              </w:rPr>
              <w:t>关键洞察：现有阵营缺少“既私有化安全合规、又深耕制造业 / 化工业务、且提供开发到桌面统一入口”的产品。NeoOmni 以“数据不出域 + 行业样板 + 四端协同”切入，错位竞争，避开 C 端流量战。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2.5 </w:t>
      </w:r>
      <w:r>
        <w:rPr>
          <w:rFonts w:hint="eastAsia"/>
          <w:b w:val="1"/>
          <w:color w:val="2B6CB0"/>
          <w:sz w:val="26"/>
        </w:rPr>
        <w:t>市场论证结论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0FDF4"/>
          </w:tcPr>
          <w:p>
            <w:r>
              <w:rPr>
                <w:rFonts w:hint="eastAsia" w:ascii="微软雅黑" w:hAnsi="微软雅黑" w:eastAsia="微软雅黑"/>
                <w:sz w:val="21"/>
              </w:rPr>
              <w:t xml:space="preserve">市场成立，且窗口期明确。① 规模高速增长（CAGR 107%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[M3]</w:t>
            </w:r>
            <w:r>
              <w:rPr>
                <w:rFonts w:hint="eastAsia" w:ascii="微软雅黑" w:hAnsi="微软雅黑" w:eastAsia="微软雅黑"/>
                <w:sz w:val="21"/>
              </w:rPr>
              <w:t xml:space="preserve">）；② 私有化是当下收入主战场（占 87.5%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[M2]</w:t>
            </w:r>
            <w:r>
              <w:rPr>
                <w:rFonts w:hint="eastAsia" w:ascii="微软雅黑" w:hAnsi="微软雅黑" w:eastAsia="微软雅黑"/>
                <w:sz w:val="21"/>
              </w:rPr>
              <w:t xml:space="preserve">）；③ 政策强力托底（2027 &gt;70% 普及率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[P1]</w:t>
            </w:r>
            <w:r>
              <w:rPr>
                <w:rFonts w:hint="eastAsia" w:ascii="微软雅黑" w:hAnsi="微软雅黑" w:eastAsia="微软雅黑"/>
                <w:sz w:val="21"/>
              </w:rPr>
              <w:t xml:space="preserve">）；④ 需求已实证但“用好”存在巨大产品化空间（仅 18% 纳入核心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[M3]</w:t>
            </w:r>
            <w:r>
              <w:rPr>
                <w:rFonts w:hint="eastAsia" w:ascii="微软雅黑" w:hAnsi="微软雅黑" w:eastAsia="微软雅黑"/>
                <w:sz w:val="21"/>
              </w:rPr>
              <w:t>）；⑤ 竞争存在“私有化 + 行业 Know-How”空白带。NeoOmni 的产品定义与这一空白带高度契合，立项具备充分的市场依据。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 w:val="1"/>
        <w:pBdr>
          <w:bottom w:val="single" w:color="2B6CB0" w:sz="6" w:space="2"/>
        </w:pBdr>
        <w:spacing w:before="200" w:after="120"/>
      </w:pPr>
      <w:r>
        <w:rPr>
          <w:rFonts w:ascii="微软雅黑" w:hAnsi="微软雅黑" w:eastAsia="微软雅黑"/>
          <w:b w:val="1"/>
          <w:color w:val="2B6CB0"/>
          <w:sz w:val="30"/>
        </w:rPr>
        <w:t xml:space="preserve">3 </w:t>
      </w:r>
      <w:r>
        <w:rPr>
          <w:rFonts w:hint="eastAsia"/>
          <w:b w:val="1"/>
          <w:color w:val="1A365D"/>
          <w:sz w:val="32"/>
        </w:rPr>
        <w:t>里程碑规划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color w:val="4A5568"/>
          <w:sz w:val="19"/>
        </w:rPr>
        <w:t>里程碑为项目实施计划（内部规划），交付物与节奏基于产品现状与资源假设设定，须随资源到位情况滚动修订。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3.1 </w:t>
      </w:r>
      <w:r>
        <w:rPr>
          <w:rFonts w:hint="eastAsia"/>
          <w:b w:val="1"/>
          <w:color w:val="2B6CB0"/>
          <w:sz w:val="26"/>
        </w:rPr>
        <w:t>三期实施路线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144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阶段</w:t>
            </w:r>
          </w:p>
        </w:tc>
        <w:tc>
          <w:tcPr>
            <w:tcW w:w="259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时间窗</w:t>
            </w:r>
          </w:p>
        </w:tc>
        <w:tc>
          <w:tcPr>
            <w:tcW w:w="5616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重点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第一期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 Q3 – 2027 Q1</w:t>
            </w:r>
          </w:p>
        </w:tc>
        <w:tc>
          <w:tcPr>
            <w:tcW w:w="5616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基础能力建设：BOSS 端核心、GPT 端基础开发环境、Chat 端基础对话、模型接入 3+、基础 RAG、私有化 V1。聚焦私有化 + 治理底座。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第二期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2027 Q2 – 2028 Q2</w:t>
            </w:r>
          </w:p>
        </w:tc>
        <w:tc>
          <w:tcPr>
            <w:tcW w:w="5616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能力增强与规模化：知识图谱引擎、多 Agent 协作、高级 RAG、成本管控、组织权限完善、ERP/MES 集成；目标 50+ 智能体上线。</w:t>
            </w:r>
          </w:p>
        </w:tc>
      </w:tr>
      <w:tr>
        <w:trPr/>
        <w:tc>
          <w:tcPr>
            <w:tcW w:w="144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第三期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2028 Q3 – 2030</w:t>
            </w:r>
          </w:p>
        </w:tc>
        <w:tc>
          <w:tcPr>
            <w:tcW w:w="5616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生态构建与商业化：多租户 SaaS、智能体市场、行业解决方案包、外部商业化输出、生态合作伙伴体系。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3.2 </w:t>
      </w:r>
      <w:r>
        <w:rPr>
          <w:rFonts w:hint="eastAsia"/>
          <w:b w:val="1"/>
          <w:color w:val="2B6CB0"/>
          <w:sz w:val="26"/>
        </w:rPr>
        <w:t>详细里程碑表（交付物 / 退出标准）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12"/>
        <w:gridCol w:w="2412"/>
        <w:gridCol w:w="2412"/>
        <w:gridCol w:w="2412"/>
      </w:tblGrid>
      <w:tr>
        <w:trPr/>
        <w:tc>
          <w:tcPr>
            <w:tcW w:w="187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里程碑</w:t>
            </w:r>
          </w:p>
        </w:tc>
        <w:tc>
          <w:tcPr>
            <w:tcW w:w="2016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时间窗</w:t>
            </w:r>
          </w:p>
        </w:tc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关键交付物</w:t>
            </w:r>
          </w:p>
        </w:tc>
        <w:tc>
          <w:tcPr>
            <w:tcW w:w="2448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退出标准（可验收）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M0 立项启动</w:t>
            </w:r>
          </w:p>
        </w:tc>
        <w:tc>
          <w:tcPr>
            <w:tcW w:w="2016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2026 Q3 初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立项获批、团队组建、技术选型锁定</w:t>
            </w:r>
          </w:p>
        </w:tc>
        <w:tc>
          <w:tcPr>
            <w:tcW w:w="2448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预算 / 人力到位，架构蓝图评审通过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M1 治理底座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2026 Q3–Q4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BOSS 端核心（多租户 / RBAC / 审计）、私有化 V1</w:t>
            </w:r>
          </w:p>
        </w:tc>
        <w:tc>
          <w:tcPr>
            <w:tcW w:w="2448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单租户私有化部署跑通，权限 / 审计可用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M2 开发闭环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2026 Q4–2027 Q1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GPT 端（单 / 多 Agent、工作流、RAG、MCP）、Chat 端基础</w:t>
            </w:r>
          </w:p>
        </w:tc>
        <w:tc>
          <w:tcPr>
            <w:tcW w:w="2448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P0/P1 功能清单达标，可搭建行业智能体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M3 桌面入口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2027 Q1–Q2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桌面端工作流、ERP/MES 集成试点</w:t>
            </w:r>
          </w:p>
        </w:tc>
        <w:tc>
          <w:tcPr>
            <w:tcW w:w="2448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端到端链路打通，样板客户内测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M4 规模化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2027 Q2–2028 Q2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高级 RAG、多 Agent 协作、成本管控、模板市场</w:t>
            </w:r>
          </w:p>
        </w:tc>
        <w:tc>
          <w:tcPr>
            <w:tcW w:w="2448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50+ 智能体上线，续约 / 调用指标达标</w:t>
            </w:r>
          </w:p>
        </w:tc>
      </w:tr>
      <w:tr>
        <w:trPr/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M5 商业化生态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7"/>
              </w:rPr>
              <w:t>2028 Q3–2030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多租户 SaaS、Agent 市场、行业方案包、伙伴体系</w:t>
            </w:r>
          </w:p>
        </w:tc>
        <w:tc>
          <w:tcPr>
            <w:tcW w:w="2448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外部签约客户数 / ARR 达 §4 基线目标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3.3 </w:t>
      </w:r>
      <w:r>
        <w:rPr>
          <w:rFonts w:hint="eastAsia"/>
          <w:b w:val="1"/>
          <w:color w:val="2B6CB0"/>
          <w:sz w:val="26"/>
        </w:rPr>
        <w:t>MVP 三阶段（产品化聚焦）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MVP-A · 补齐标配</w:t>
            </w:r>
          </w:p>
        </w:tc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MVP-B · 强化治理</w:t>
            </w:r>
          </w:p>
        </w:tc>
        <w:tc>
          <w:tcPr>
            <w:tcW w:w="331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MVP-C · 行业样板</w:t>
            </w:r>
          </w:p>
        </w:tc>
      </w:tr>
      <w:tr>
        <w:trPr/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优先 P0/P1：单 Agent、对话流、工作流、模板市场、MCP。让“能搭”达到行业基准，消除选型硬伤。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 xml:space="preserve">补齐统计看板、API Key 管理、安全护栏、Token 成本分摊。呼应 IDC“治理侧”竞争焦点 </w:t>
            </w:r>
            <w:r>
              <w:rPr>
                <w:rFonts w:ascii="微软雅黑" w:hAnsi="微软雅黑" w:eastAsia="微软雅黑"/>
                <w:i w:val="1"/>
                <w:color w:val="805AD5"/>
                <w:sz w:val="18"/>
              </w:rPr>
              <w:t>[M2]</w:t>
            </w:r>
            <w:r>
              <w:rPr>
                <w:rFonts w:hint="eastAsia" w:ascii="微软雅黑" w:hAnsi="微软雅黑" w:eastAsia="微软雅黑"/>
                <w:b w:val="0"/>
                <w:sz w:val="18"/>
              </w:rPr>
              <w:t>，凸显企业级差异。</w:t>
            </w:r>
          </w:p>
        </w:tc>
        <w:tc>
          <w:tcPr>
            <w:tcW w:w="331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打包“化工 / 化纤 / 纺织行业解决方案 + 数据集资产 + 桌面端”，形成对外可复制的一站式交付。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3.4 </w:t>
      </w:r>
      <w:r>
        <w:rPr>
          <w:rFonts w:hint="eastAsia"/>
          <w:b w:val="1"/>
          <w:color w:val="2B6CB0"/>
          <w:sz w:val="26"/>
        </w:rPr>
        <w:t>关键依赖与前提</w:t>
      </w: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① 资源前提：核心研发团队按计划到位（人力规划见 §4）；② 技术前提：多模型接入抽象层、信创 / 私有化部署环境就绪；③ 业务前提：至少 1 个行业样板客户共建，沉淀可复制资产；④ 合规前提：满足三部门“决策权限边界 + 注册平台”监管要求 </w:t>
      </w:r>
      <w:r>
        <w:rPr>
          <w:rFonts w:ascii="微软雅黑" w:hAnsi="微软雅黑" w:eastAsia="微软雅黑"/>
          <w:i w:val="1"/>
          <w:color w:val="805AD5"/>
          <w:sz w:val="21"/>
        </w:rPr>
        <w:t>[P2]</w:t>
      </w:r>
      <w:r>
        <w:rPr>
          <w:rFonts w:hint="eastAsia" w:ascii="微软雅黑" w:hAnsi="微软雅黑" w:eastAsia="微软雅黑"/>
          <w:b w:val="0"/>
          <w:i w:val="0"/>
          <w:sz w:val="21"/>
        </w:rPr>
        <w:t>。</w:t>
      </w:r>
    </w:p>
    <w:p>
      <w:r>
        <w:br w:type="page"/>
      </w:r>
    </w:p>
    <w:p>
      <w:pPr>
        <w:keepNext w:val="1"/>
        <w:pBdr>
          <w:bottom w:val="single" w:color="2B6CB0" w:sz="6" w:space="2"/>
        </w:pBdr>
        <w:spacing w:before="200" w:after="120"/>
      </w:pPr>
      <w:r>
        <w:rPr>
          <w:rFonts w:ascii="微软雅黑" w:hAnsi="微软雅黑" w:eastAsia="微软雅黑"/>
          <w:b w:val="1"/>
          <w:color w:val="2B6CB0"/>
          <w:sz w:val="30"/>
        </w:rPr>
        <w:t xml:space="preserve">4 </w:t>
      </w:r>
      <w:r>
        <w:rPr>
          <w:rFonts w:hint="eastAsia"/>
          <w:b w:val="1"/>
          <w:color w:val="1A365D"/>
          <w:sz w:val="32"/>
        </w:rPr>
        <w:t>投入产出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FFBEB"/>
          </w:tcPr>
          <w:p>
            <w:r>
              <w:rPr>
                <w:rFonts w:hint="eastAsia" w:ascii="微软雅黑" w:hAnsi="微软雅黑" w:eastAsia="微软雅黑"/>
                <w:sz w:val="21"/>
              </w:rPr>
              <w:t>重要声明：本章投入与收益数字为内部测算假设（基线情景），用于立项论证与资源申请，非外部权威数据，须经财务部门与决策层核定后作为正式考核基线。所有外部市场参照已在 §2 标注来源。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4.1 </w:t>
      </w:r>
      <w:r>
        <w:rPr>
          <w:rFonts w:hint="eastAsia"/>
          <w:b w:val="1"/>
          <w:color w:val="2B6CB0"/>
          <w:sz w:val="26"/>
        </w:rPr>
        <w:t>投入结构（三年累计，内部假设）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3168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投入项</w:t>
            </w:r>
          </w:p>
        </w:tc>
        <w:tc>
          <w:tcPr>
            <w:tcW w:w="2016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测算（万元）</w:t>
            </w:r>
          </w:p>
        </w:tc>
        <w:tc>
          <w:tcPr>
            <w:tcW w:w="4464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人力（核心团队 15–18 人）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700</w:t>
            </w:r>
          </w:p>
        </w:tc>
        <w:tc>
          <w:tcPr>
            <w:tcW w:w="4464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研发 / 算法 / 前后端 / 测试 / 实施，分三期扩张</w:t>
            </w:r>
          </w:p>
        </w:tc>
      </w:tr>
      <w:tr>
        <w:trPr/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基础设施与算力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200</w:t>
            </w:r>
          </w:p>
        </w:tc>
        <w:tc>
          <w:tcPr>
            <w:tcW w:w="4464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私有化部署、模型推理资源、信创适配、安全合规认证</w:t>
            </w:r>
          </w:p>
        </w:tc>
      </w:tr>
      <w:tr>
        <w:trPr/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市场 / 销售 / 生态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100</w:t>
            </w:r>
          </w:p>
        </w:tc>
        <w:tc>
          <w:tcPr>
            <w:tcW w:w="4464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行业样板共建、渠道、伙伴体系</w:t>
            </w:r>
          </w:p>
        </w:tc>
      </w:tr>
      <w:tr>
        <w:trPr/>
        <w:tc>
          <w:tcPr>
            <w:tcW w:w="3168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三年累计投入</w:t>
            </w:r>
          </w:p>
        </w:tc>
        <w:tc>
          <w:tcPr>
            <w:tcW w:w="2016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1,000</w:t>
            </w:r>
          </w:p>
        </w:tc>
        <w:tc>
          <w:tcPr>
            <w:tcW w:w="4464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基线假设，按资源到位滚动修订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4.2 </w:t>
      </w:r>
      <w:r>
        <w:rPr>
          <w:rFonts w:hint="eastAsia"/>
          <w:b w:val="1"/>
          <w:color w:val="2B6CB0"/>
          <w:sz w:val="26"/>
        </w:rPr>
        <w:t>产出与收益模型（内部假设）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475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直接产出（能力资产）</w:t>
            </w:r>
          </w:p>
        </w:tc>
        <w:tc>
          <w:tcPr>
            <w:tcW w:w="475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商业回报模型</w:t>
            </w:r>
          </w:p>
        </w:tc>
      </w:tr>
      <w:tr>
        <w:trPr/>
        <w:tc>
          <w:tcPr>
            <w:tcW w:w="475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① 四端平台（BOSS/GPT/Chat/桌面）私有化可用；② 行业方案包（化工 / 化纤 / 纺织）+ 数据集资产；③ 可复制交付模板与实施方法论；④ 标杆案例与生态伙伴。</w:t>
            </w:r>
          </w:p>
        </w:tc>
        <w:tc>
          <w:tcPr>
            <w:tcW w:w="475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① 平台授权（私有化一次性 / 订阅授权，主力）；② 定制实施（行业方案包 + 定制开发）；③ 运维 / 订阅（ARR）（续费与增购）；三类收入叠加形成可持续现金流。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4.3 </w:t>
      </w:r>
      <w:r>
        <w:rPr>
          <w:rFonts w:hint="eastAsia"/>
          <w:b w:val="1"/>
          <w:color w:val="2B6CB0"/>
          <w:sz w:val="26"/>
        </w:rPr>
        <w:t>ROI 三情景测算（内部假设）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12"/>
        <w:gridCol w:w="2412"/>
        <w:gridCol w:w="2412"/>
        <w:gridCol w:w="2412"/>
      </w:tblGrid>
      <w:tr>
        <w:trPr/>
        <w:tc>
          <w:tcPr>
            <w:tcW w:w="288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指标</w:t>
            </w:r>
          </w:p>
        </w:tc>
        <w:tc>
          <w:tcPr>
            <w:tcW w:w="187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悲观</w:t>
            </w:r>
          </w:p>
        </w:tc>
        <w:tc>
          <w:tcPr>
            <w:tcW w:w="259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基线（申请基准）</w:t>
            </w:r>
          </w:p>
        </w:tc>
        <w:tc>
          <w:tcPr>
            <w:tcW w:w="1872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乐观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三年累计营收（万元）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1,500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3,000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5,000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签约客户数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15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30+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60+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毛利率假设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55%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60%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65%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毛利（万元）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825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1,800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3,250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净收益＝毛利－投入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-175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800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2,250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ROI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-17%</w:t>
            </w:r>
          </w:p>
        </w:tc>
        <w:tc>
          <w:tcPr>
            <w:tcW w:w="259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+80%</w:t>
            </w:r>
          </w:p>
        </w:tc>
        <w:tc>
          <w:tcPr>
            <w:tcW w:w="1872" w:type="dxa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≈ +225%</w:t>
            </w:r>
          </w:p>
        </w:tc>
      </w:tr>
      <w:tr>
        <w:trPr/>
        <w:tc>
          <w:tcPr>
            <w:tcW w:w="2880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回收期</w:t>
            </w:r>
          </w:p>
        </w:tc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＞3 年</w:t>
            </w:r>
          </w:p>
        </w:tc>
        <w:tc>
          <w:tcPr>
            <w:tcW w:w="259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≈ 第 2.5 年</w:t>
            </w:r>
          </w:p>
        </w:tc>
        <w:tc>
          <w:tcPr>
            <w:tcW w:w="1872" w:type="dxa"/>
          </w:tcPr>
          <w:p>
            <w:r>
              <w:rPr>
                <w:rFonts w:hint="eastAsia" w:ascii="微软雅黑" w:hAnsi="微软雅黑" w:eastAsia="微软雅黑"/>
                <w:b w:val="0"/>
                <w:sz w:val="18"/>
              </w:rPr>
              <w:t>≈ 第 1.5 年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hint="eastAsia" w:ascii="微软雅黑" w:hAnsi="微软雅黑" w:eastAsia="微软雅黑"/>
          <w:b w:val="0"/>
          <w:i w:val="0"/>
          <w:color w:val="4A5568"/>
          <w:sz w:val="19"/>
        </w:rPr>
        <w:t>基线情景净收益约 800 万（与历史内部测算 950 万区间一致，差异源于毛利率假设口径）。悲观情景下仍可通过“先内后外、控制扩张节奏”将回收期控制在可承受范围——即立项风险可控。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4.4 </w:t>
      </w:r>
      <w:r>
        <w:rPr>
          <w:rFonts w:hint="eastAsia"/>
          <w:b w:val="1"/>
          <w:color w:val="2B6CB0"/>
          <w:sz w:val="26"/>
        </w:rPr>
        <w:t>立项回报逻辑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EBF8FF"/>
          </w:tcPr>
          <w:p>
            <w:r>
              <w:rPr>
                <w:rFonts w:hint="eastAsia" w:ascii="微软雅黑" w:hAnsi="微软雅黑" w:eastAsia="微软雅黑"/>
                <w:sz w:val="21"/>
              </w:rPr>
              <w:t xml:space="preserve">为什么值得投：① 市场处于 CAGR 107% 的高速赛道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[M3]</w:t>
            </w:r>
            <w:r>
              <w:rPr>
                <w:rFonts w:hint="eastAsia" w:ascii="微软雅黑" w:hAnsi="微软雅黑" w:eastAsia="微软雅黑"/>
                <w:sz w:val="21"/>
              </w:rPr>
              <w:t xml:space="preserve">，先发占位价值高；② 私有化占收入 87.5% </w:t>
            </w:r>
            <w:r>
              <w:rPr>
                <w:rFonts w:ascii="微软雅黑" w:hAnsi="微软雅黑" w:eastAsia="微软雅黑"/>
                <w:i w:val="1"/>
                <w:color w:val="805AD5"/>
                <w:sz w:val="21"/>
              </w:rPr>
              <w:t>[M2]</w:t>
            </w:r>
            <w:r>
              <w:rPr>
                <w:rFonts w:hint="eastAsia" w:ascii="微软雅黑" w:hAnsi="微软雅黑" w:eastAsia="微软雅黑"/>
                <w:sz w:val="21"/>
              </w:rPr>
              <w:t>，主攻赛道现金流属性好；③ 以“行业样板 + 平台授权”模式，单位客户价值与续约率随模板复用提升；④ 即便悲观情景，投入规模（≈1,000 万）相对市场机会仍属可控赌注。建议以基线情景作为资源申请与考核基准，设悲观情景为红线预警。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 w:val="1"/>
        <w:pBdr>
          <w:bottom w:val="single" w:color="2B6CB0" w:sz="6" w:space="2"/>
        </w:pBdr>
        <w:spacing w:before="200" w:after="120"/>
      </w:pPr>
      <w:r>
        <w:rPr>
          <w:rFonts w:ascii="微软雅黑" w:hAnsi="微软雅黑" w:eastAsia="微软雅黑"/>
          <w:b w:val="1"/>
          <w:color w:val="2B6CB0"/>
          <w:sz w:val="30"/>
        </w:rPr>
        <w:t xml:space="preserve">5 </w:t>
      </w:r>
      <w:r>
        <w:rPr>
          <w:rFonts w:hint="eastAsia"/>
          <w:b w:val="1"/>
          <w:color w:val="1A365D"/>
          <w:sz w:val="32"/>
        </w:rPr>
        <w:t>风险与假设来源</w:t>
      </w: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5.1 </w:t>
      </w:r>
      <w:r>
        <w:rPr>
          <w:rFonts w:hint="eastAsia"/>
          <w:b w:val="1"/>
          <w:color w:val="2B6CB0"/>
          <w:sz w:val="26"/>
        </w:rPr>
        <w:t>风险矩阵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16"/>
        <w:gridCol w:w="3216"/>
        <w:gridCol w:w="3216"/>
      </w:tblGrid>
      <w:tr>
        <w:trPr/>
        <w:tc>
          <w:tcPr>
            <w:tcW w:w="1584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维度</w:t>
            </w:r>
          </w:p>
        </w:tc>
        <w:tc>
          <w:tcPr>
            <w:tcW w:w="432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风险 / 依据</w:t>
            </w:r>
          </w:p>
        </w:tc>
        <w:tc>
          <w:tcPr>
            <w:tcW w:w="3600" w:type="dxa"/>
            <w:shd w:val="clear" w:color="auto" w:fill="1A365D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19"/>
              </w:rPr>
              <w:t>应对</w:t>
            </w:r>
          </w:p>
        </w:tc>
      </w:tr>
      <w:tr>
        <w:trPr/>
        <w:tc>
          <w:tcPr>
            <w:tcW w:w="158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市场风险</w:t>
            </w:r>
          </w:p>
        </w:tc>
        <w:tc>
          <w:tcPr>
            <w:tcW w:w="432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Gartner 预警 40%+ 代理型项目 2027 前取消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[D2]</w:t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；McKinsey 显示仅 6% 企业从 AI 拿到显著 EBIT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[D1]</w:t>
            </w:r>
          </w:p>
        </w:tc>
        <w:tc>
          <w:tcPr>
            <w:tcW w:w="360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以“可量化 ROI”而非“技术炫技”驱动签约；设悲观情景红线</w:t>
            </w:r>
          </w:p>
        </w:tc>
      </w:tr>
      <w:tr>
        <w:trPr/>
        <w:tc>
          <w:tcPr>
            <w:tcW w:w="158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合规风险</w:t>
            </w:r>
          </w:p>
        </w:tc>
        <w:tc>
          <w:tcPr>
            <w:tcW w:w="432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 xml:space="preserve">三部门要求厘清“用户 / 授权 / 自主”决策边界并探索注册平台 </w:t>
            </w:r>
            <w:r>
              <w:rPr>
                <w:rFonts w:ascii="微软雅黑" w:hAnsi="微软雅黑" w:eastAsia="微软雅黑"/>
                <w:i w:val="1"/>
                <w:color w:val="805AD5"/>
                <w:sz w:val="17"/>
              </w:rPr>
              <w:t>[P2]</w:t>
            </w:r>
          </w:p>
        </w:tc>
        <w:tc>
          <w:tcPr>
            <w:tcW w:w="360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内置决策权限与审计能力（BOSS 端），提前对齐监管</w:t>
            </w:r>
          </w:p>
        </w:tc>
      </w:tr>
      <w:tr>
        <w:trPr/>
        <w:tc>
          <w:tcPr>
            <w:tcW w:w="158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竞争风险</w:t>
            </w:r>
          </w:p>
        </w:tc>
        <w:tc>
          <w:tcPr>
            <w:tcW w:w="432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字节 / 腾讯 / 阿里 / 火山在资本、生态、流量全面占优</w:t>
            </w:r>
          </w:p>
        </w:tc>
        <w:tc>
          <w:tcPr>
            <w:tcW w:w="360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错位竞争：私有化政企 + 行业模板，避开 C 端通用赛道</w:t>
            </w:r>
          </w:p>
        </w:tc>
      </w:tr>
      <w:tr>
        <w:trPr/>
        <w:tc>
          <w:tcPr>
            <w:tcW w:w="1584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技术风险</w:t>
            </w:r>
          </w:p>
        </w:tc>
        <w:tc>
          <w:tcPr>
            <w:tcW w:w="432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模型迭代快，自建能力易被追平</w:t>
            </w:r>
          </w:p>
        </w:tc>
        <w:tc>
          <w:tcPr>
            <w:tcW w:w="360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抽象层热插拔、多模型接入、行业资产沉淀形成护城河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ascii="微软雅黑" w:hAnsi="微软雅黑" w:eastAsia="微软雅黑"/>
          <w:b w:val="1"/>
          <w:color w:val="2B6CB0"/>
          <w:sz w:val="26"/>
        </w:rPr>
        <w:t xml:space="preserve">5.2 </w:t>
      </w:r>
      <w:r>
        <w:rPr>
          <w:rFonts w:hint="eastAsia"/>
          <w:b w:val="1"/>
          <w:color w:val="2B6CB0"/>
          <w:sz w:val="26"/>
        </w:rPr>
        <w:t>数据来源与假设声明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5F3FF"/>
          </w:tcPr>
          <w:p>
            <w:r>
              <w:rPr>
                <w:rFonts w:hint="eastAsia" w:ascii="微软雅黑" w:hAnsi="微软雅黑" w:eastAsia="微软雅黑"/>
                <w:sz w:val="21"/>
              </w:rPr>
              <w:t>两类数据严格区分：① 外部权威数据（§2 市场论证）— 来源代码 [M/P/D/C] 见下方附录，均来自 Gartner、IDC、McKinsey、赛迪顾问、国务院、国家网信办 / 发改委 / 工信部，及 Dify / Coze / WorkBuddy / HiAgent 官方或权威媒体披露；② 内部规划假设（§1.2 / §3 / §4 的预览、里程碑、投入产出数字）— 为立项测算基线，非外部数据，须经财务与决策层核定。</w:t>
            </w:r>
          </w:p>
        </w:tc>
      </w:tr>
    </w:tbl>
    <w:p>
      <w:pPr>
        <w:spacing w:after="40"/>
      </w:pPr>
    </w:p>
    <w:p>
      <w:pPr>
        <w:keepNext w:val="1"/>
        <w:spacing w:before="200" w:after="120"/>
      </w:pPr>
      <w:r>
        <w:rPr>
          <w:rFonts w:hint="eastAsia"/>
          <w:b w:val="1"/>
          <w:color w:val="2B6CB0"/>
          <w:sz w:val="26"/>
        </w:rPr>
        <w:t>来源附录（外部权威数据）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M1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赛迪顾问 — 中国智能体市场 2026E 135.3 亿元（同比 +70%）；制造 / 能源 / 金融 / 政务四大行业占比超 70%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http://cms.ccidconsulting.com/article/8130 ｜ https://www.21jingji.com/article/20260508/herald/5749e520050cbe04fcd735c0df1d7623.html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M2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IDC —《中国智能体开发平台市场份额，2025》：私有化 17.5 亿（占 87.5%）、公有云 2.5 亿；AI 应用公有云 137.3 亿 vs 大模型训推 79.4 亿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https://ifnews.com/news.html?aid=841918 ｜ https://qa.idc.com/resource-center/press-releases/idc%e9%a6%96%e5%8f%91%e6%99%ba%e8%83%bd%e4%bd%93%e5%bc%80%e5%8f%91%e5%b9%b3%e5%8f%b0%e5%b8%82%e5%9c%ba%e4%bb%bd%e9%a2%9d%e6%8a%a5%e5%91%8a-%e7%a7%81%e6%9c%89%e5%8c%96%e5%88%9d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M3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IDC — 中国企业级 AI 智能体整体市场：2025 年 212 亿 → 2026 年 449 亿 → 2029 年 2,026 亿（CAGR 107%）；2031 年 3.5 亿活跃智能体；仅 18% 企业纳入核心流程；2026-02 服务商突破 300 家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https://qa.idc.com/resource-center/press-releases/idc%e9%a6%96%e5%8f%91%e6%99%ba%e8%83%bd%e4%bd%93%e5%bc%80%e5%8f%91%e5%b9%b3%e5%8f%b0%e5%b8%82%e5%9c%ba%e4%bb%bd%e9%a2%9d%e6%8a%a5%e5%91%8a-%e7%a7%81%e6%9c%89%e5%8c%96%e5%88%9d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M4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Gartner — 2026 年底 40% 企业软件将嵌入智能体（2025 不足 5%）；2028 年 45% IT 交互经智能体完成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https://gartner.com/en/articles/3-bold-and-actionable-predictions-for-the-future-of-genai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P1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国务院 —《关于深入实施“人工智能+”行动的意见》（2025-08）：2027 年智能体普及率 &gt;70%、2030 年 &gt;90%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https://www.gov.cn/zhengce/202508/content_7037929.htm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P2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国家网信办 / 发改委 / 工信部 —《智能体规范应用与创新发展实施意见》（2026-05-08）：5 方向 19 场景、决策权限边界、注册平台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https://www.cac.gov.cn/2026-05/08/c_1779979789523320.htm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D1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McKinsey — The State of AI 2025：88% 用 AI、62% 试智能体、23% 规模化、6% 高绩效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https://www.mckinsey.com/our-insights/the-state-of-ai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D2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Gartner — 到 2027 年底超过 40% 代理型 AI 项目将被取消（成本失控 / 价值不清 / 风险管控不足）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https://www.gartner.com/en/newsroom/press-releases/2025-06-25-gartner-predicts-over-40-percent-of-agentic-ai-projects-will-be-canceled-by-end-of-2027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C1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Dify — 148K+ GitHub Stars、$30M Pre-A（红杉中国领投，估值 ~$180M）、280+ 企业客户、140 万+ 部署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https://www.dify.ai/zh/about-us ｜ https://aiqicha.baidu.com/details/ugknowledge?id=4a36c04fa06da6768c6e2b2e6eb4b5ce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C2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Coze 扣子 — 100,512,211 个 Agent 工作中、Web 月活 1500 万、开发者 300 万+、企业 8 万+；Coze Studio 开源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https://www.coze.cn ｜ https://adg.csdn.net/6a66bc7010ee7a33f292b611.html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C3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腾讯 WorkBuddy — 2026-06 PC 端月访问 2097 万次（国内第一，易观 Q2）、日活 1300 万+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sz w:val="17"/>
              </w:rPr>
              <w:t>https://m.10jqka.com.cn/20260804/c678660998.shtml ｜ https://xueqiu.com/8196113483/403798050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4824"/>
        <w:gridCol w:w="4824"/>
      </w:tblGrid>
      <w:tr>
        <w:trPr/>
        <w:tc>
          <w:tcPr>
            <w:tcW w:w="864" w:type="dxa"/>
            <w:shd w:val="clear" w:color="auto" w:fill="1A365D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FFFFFF"/>
                <w:sz w:val="20"/>
              </w:rPr>
              <w:t>C4</w:t>
            </w:r>
          </w:p>
        </w:tc>
        <w:tc>
          <w:tcPr>
            <w:tcW w:w="8640" w:type="dxa"/>
          </w:tcPr>
          <w:p>
            <w:r>
              <w:rPr>
                <w:rFonts w:hint="eastAsia" w:ascii="微软雅黑" w:hAnsi="微软雅黑" w:eastAsia="微软雅黑"/>
                <w:b w:val="0"/>
                <w:sz w:val="17"/>
              </w:rPr>
              <w:t>火山引擎 HiAgent — IDC 2025 中国智能体开发平台私有化市场份额第一（17.8%）；私有化前三：HiAgent、腾讯云 ADP（8.8%）、阿里云百炼专属版（8.6%）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https://ifnews.com/news.html?aid=841918</w:t>
            </w:r>
          </w:p>
        </w:tc>
      </w:tr>
    </w:tbl>
    <w:p>
      <w:pPr>
        <w:spacing w:after="20"/>
      </w:pP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9648"/>
      </w:tblGrid>
      <w:tr>
        <w:trPr/>
        <w:tc>
          <w:tcPr>
            <w:tcW w:w="9648" w:type="dxa"/>
            <w:shd w:val="clear" w:color="auto" w:fill="FFFBEB"/>
          </w:tcPr>
          <w:p>
            <w:r>
              <w:rPr>
                <w:rFonts w:hint="eastAsia" w:ascii="微软雅黑" w:hAnsi="微软雅黑" w:eastAsia="微软雅黑"/>
                <w:sz w:val="21"/>
              </w:rPr>
              <w:t>内部规划假设（非外部数据，待核定）：§1.2 北极星 / 驱动指标、§3 里程碑时间窗与交付物、§4 投入（≈1,000 万）与收益（基线营收 ≈3,000 万 / 客户 30+ / 净收益 800–950 万 / 回收期 ≈2.5 年）均为基于产品现状的测算基线，须经财务与决策层核定后生效。</w:t>
            </w:r>
          </w:p>
        </w:tc>
      </w:tr>
    </w:tbl>
    <w:p>
      <w:pPr>
        <w:spacing w:after="40"/>
      </w:pPr>
    </w:p>
    <w:sectPr w:rsidRPr="0006063C" w:rsidR="00FC693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2">
    <w:abstractNumId w:val="0"/>
  </w:num>
  <w:num w:numId="3">
    <w:abstractNumId w:val="1"/>
  </w:num>
  <w:num w:numId="1">
    <w:abstractNumId w:val="4"/>
  </w:num>
  <w:num w:numId="5">
    <w:abstractNumId w:val="2"/>
  </w:num>
  <w:num w:numId="4">
    <w:abstractNumId w:val="3"/>
  </w:num>
  <w:num w:numId="6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 Accent 5" w:uiPriority="64" w:semiHidden="0" w:unhideWhenUsed="0"/>
    <w:lsdException w:name="Dark List Accent 4" w:uiPriority="70" w:semiHidden="0" w:unhideWhenUsed="0"/>
    <w:lsdException w:name="Medium Shading 1 Accent 1" w:uiPriority="63" w:semiHidden="0" w:unhideWhenUsed="0"/>
    <w:lsdException w:name="Colorful Grid Accent 3" w:uiPriority="73" w:semiHidden="0" w:unhideWhenUsed="0"/>
    <w:lsdException w:name="Medium Grid 1 Accent 2" w:uiPriority="67" w:semiHidden="0" w:unhideWhenUsed="0"/>
    <w:lsdException w:name="Medium List 1 Accent 5" w:uiPriority="65" w:semiHidden="0" w:unhideWhenUsed="0"/>
    <w:lsdException w:name="Medium Shading 1 Accent 2" w:uiPriority="63" w:semiHidden="0" w:unhideWhenUsed="0"/>
    <w:lsdException w:name="Medium Shading 1 Accent 6" w:uiPriority="63" w:semiHidden="0" w:unhideWhenUsed="0"/>
    <w:lsdException w:name="toc 3" w:uiPriority="39"/>
    <w:lsdException w:name="Colorful Grid Accent 2" w:uiPriority="73" w:semiHidden="0" w:unhideWhenUsed="0"/>
    <w:lsdException w:name="Colorful List Accent 1" w:uiPriority="72" w:semiHidden="0" w:unhideWhenUsed="0"/>
    <w:lsdException w:name="Emphasis" w:uiPriority="20" w:semiHidden="0" w:unhideWhenUsed="0" w:qFormat="1"/>
    <w:lsdException w:name="Light Shading Accent 3" w:uiPriority="60" w:semiHidden="0" w:unhideWhenUsed="0"/>
    <w:lsdException w:name="Colorful Grid Accent 6" w:uiPriority="73" w:semiHidden="0" w:unhideWhenUsed="0"/>
    <w:lsdException w:name="Medium Shading 2 Accent 1" w:uiPriority="64" w:semiHidden="0" w:unhideWhenUsed="0"/>
    <w:lsdException w:name="Light Grid Accent 6" w:uiPriority="62" w:semiHidden="0" w:unhideWhenUsed="0"/>
    <w:lsdException w:name="toc 4" w:uiPriority="39"/>
    <w:lsdException w:name="Colorful Shading Accent 3" w:uiPriority="71" w:semiHidden="0" w:unhideWhenUsed="0"/>
    <w:lsdException w:name="Medium Shading 1 Accent 5" w:uiPriority="63" w:semiHidden="0" w:unhideWhenUsed="0"/>
    <w:lsdException w:name="Colorful List Accent 4" w:uiPriority="72" w:semiHidden="0" w:unhideWhenUsed="0"/>
    <w:lsdException w:name="Medium Grid 3 Accent 2" w:uiPriority="69" w:semiHidden="0" w:unhideWhenUsed="0"/>
    <w:lsdException w:name="Light List Accent 4" w:uiPriority="61" w:semiHidden="0" w:unhideWhenUsed="0"/>
    <w:lsdException w:name="Light Shading Accent 2" w:uiPriority="60" w:semiHidden="0" w:unhideWhenUsed="0"/>
    <w:lsdException w:name="Light Grid Accent 1" w:uiPriority="62" w:semiHidden="0" w:unhideWhenUsed="0"/>
    <w:lsdException w:name="heading 5" w:uiPriority="9" w:qFormat="1"/>
    <w:lsdException w:name="Light Shading Accent 6" w:uiPriority="60" w:semiHidden="0" w:unhideWhenUsed="0"/>
    <w:lsdException w:name="heading 9" w:uiPriority="9" w:qFormat="1"/>
    <w:lsdException w:name="Colorful Shading Accent 2" w:uiPriority="71" w:semiHidden="0" w:unhideWhenUsed="0"/>
    <w:lsdException w:name="Medium Grid 1 Accent 5" w:uiPriority="67" w:semiHidden="0" w:unhideWhenUsed="0"/>
    <w:lsdException w:name="Medium Shading 1 Accent 4" w:uiPriority="63" w:semiHidden="0" w:unhideWhenUsed="0"/>
    <w:lsdException w:name="Light Grid Accent 2" w:uiPriority="62" w:semiHidden="0" w:unhideWhenUsed="0"/>
    <w:lsdException w:name="heading 6" w:uiPriority="9" w:qFormat="1"/>
    <w:lsdException w:name="Quote" w:uiPriority="29" w:semiHidden="0" w:unhideWhenUsed="0" w:qFormat="1"/>
    <w:lsdException w:name="Medium Shading 2" w:uiPriority="64" w:semiHidden="0" w:unhideWhenUsed="0"/>
    <w:lsdException w:name="Light List Accent 3" w:uiPriority="61" w:semiHidden="0" w:unhideWhenUsed="0"/>
    <w:lsdException w:name="Medium List 2 Accent 4" w:uiPriority="66" w:semiHidden="0" w:unhideWhenUsed="0"/>
    <w:lsdException w:name="Intense Emphasis" w:uiPriority="21" w:semiHidden="0" w:unhideWhenUsed="0" w:qFormat="1"/>
    <w:lsdException w:name="toc 7" w:uiPriority="39"/>
    <w:lsdException w:name="Medium List 1 Accent 4" w:uiPriority="65" w:semiHidden="0" w:unhideWhenUsed="0"/>
    <w:lsdException w:name="Medium Grid 3 Accent 3" w:uiPriority="69" w:semiHidden="0" w:unhideWhenUsed="0"/>
    <w:lsdException w:name="Medium List 2 Accent 1" w:uiPriority="66" w:semiHidden="0" w:unhideWhenUsed="0"/>
    <w:lsdException w:name="Light List Accent 5" w:uiPriority="61" w:semiHidden="0" w:unhideWhenUsed="0"/>
    <w:lsdException w:name="Medium Grid 3 Accent 1" w:uiPriority="69" w:semiHidden="0" w:unhideWhenUsed="0"/>
    <w:lsdException w:name="List Paragraph" w:uiPriority="34" w:semiHidden="0" w:unhideWhenUsed="0" w:qFormat="1"/>
    <w:lsdException w:name="toc 6" w:uiPriority="39"/>
    <w:lsdException w:name="Medium Grid 2 Accent 1" w:uiPriority="68" w:semiHidden="0" w:unhideWhenUsed="0"/>
    <w:lsdException w:name="Medium Grid 3 Accent 6" w:uiPriority="69" w:semiHidden="0" w:unhideWhenUsed="0"/>
    <w:lsdException w:name="TOC Heading" w:uiPriority="39" w:qFormat="1"/>
    <w:lsdException w:name="Medium List 1 Accent 3" w:uiPriority="65" w:semiHidden="0" w:unhideWhenUsed="0"/>
    <w:lsdException w:name="Colorful Shading Accent 6" w:uiPriority="71" w:semiHidden="0" w:unhideWhenUsed="0"/>
    <w:lsdException w:name="Placeholder Text" w:unhideWhenUsed="0"/>
    <w:lsdException w:name="Medium Grid 3 Accent 5" w:uiPriority="69" w:semiHidden="0" w:unhideWhenUsed="0"/>
    <w:lsdException w:name="heading 8" w:uiPriority="9" w:qFormat="1"/>
    <w:lsdException w:name="Medium Grid 2 Accent 6" w:uiPriority="68" w:semiHidden="0" w:unhideWhenUsed="0"/>
    <w:lsdException w:name="Medium Grid 1 Accent 1" w:uiPriority="67" w:semiHidden="0" w:unhideWhenUsed="0"/>
    <w:lsdException w:name="Medium List 1 Accent 2" w:uiPriority="65" w:semiHidden="0" w:unhideWhenUsed="0"/>
    <w:lsdException w:name="Colorful Grid Accent 5" w:uiPriority="73" w:semiHidden="0" w:unhideWhenUsed="0"/>
    <w:lsdException w:name="Medium Grid 2 Accent 5" w:uiPriority="68" w:semiHidden="0" w:unhideWhenUsed="0"/>
    <w:lsdException w:name="Subtle Reference" w:uiPriority="31" w:semiHidden="0" w:unhideWhenUsed="0" w:qFormat="1"/>
    <w:lsdException w:name="Medium Grid 1" w:uiPriority="67" w:semiHidden="0" w:unhideWhenUsed="0"/>
    <w:lsdException w:name="Medium List 2 Accent 5" w:uiPriority="66" w:semiHidden="0" w:unhideWhenUsed="0"/>
    <w:lsdException w:name="Colorful List Accent 3" w:uiPriority="72" w:semiHidden="0" w:unhideWhenUsed="0"/>
    <w:lsdException w:name="Medium Grid 2 Accent 2" w:uiPriority="68" w:semiHidden="0" w:unhideWhenUsed="0"/>
    <w:lsdException w:name="Light Shading Accent 5" w:uiPriority="60" w:semiHidden="0" w:unhideWhenUsed="0"/>
    <w:lsdException w:name="Book Title" w:uiPriority="33" w:semiHidden="0" w:unhideWhenUsed="0" w:qFormat="1"/>
    <w:lsdException w:name="toc 2" w:uiPriority="39"/>
    <w:lsdException w:name="No Spacing" w:uiPriority="1" w:semiHidden="0" w:unhideWhenUsed="0" w:qFormat="1"/>
    <w:lsdException w:name="Light Grid Accent 4" w:uiPriority="62" w:semiHidden="0" w:unhideWhenUsed="0"/>
    <w:lsdException w:name="Colorful Shading Accent 1" w:uiPriority="71" w:semiHidden="0" w:unhideWhenUsed="0"/>
    <w:lsdException w:name="Dark List Accent 2" w:uiPriority="70" w:semiHidden="0" w:unhideWhenUsed="0"/>
    <w:lsdException w:name="heading 4" w:uiPriority="9" w:qFormat="1"/>
    <w:lsdException w:name="toc 8" w:uiPriority="39"/>
    <w:lsdException w:name="Colorful List Accent 2" w:uiPriority="72" w:semiHidden="0" w:unhideWhenUsed="0"/>
    <w:lsdException w:name="Colorful List Accent 6" w:uiPriority="72" w:semiHidden="0" w:unhideWhenUsed="0"/>
    <w:lsdException w:name="caption" w:uiPriority="35" w:qFormat="1"/>
    <w:lsdException w:name="Medium Shading 2 Accent 6" w:uiPriority="64" w:semiHidden="0" w:unhideWhenUsed="0"/>
    <w:lsdException w:name="Dark List" w:uiPriority="70" w:semiHidden="0" w:unhideWhenUsed="0"/>
    <w:lsdException w:name="Medium Shading 2 Accent 4" w:uiPriority="64" w:semiHidden="0" w:unhideWhenUsed="0"/>
    <w:lsdException w:name="Default Paragraph Font" w:uiPriority="1"/>
    <w:lsdException w:name="Colorful Shading" w:uiPriority="71" w:semiHidden="0" w:unhideWhenUsed="0"/>
    <w:lsdException w:name="Dark List Accent 1" w:uiPriority="70" w:semiHidden="0" w:unhideWhenUsed="0"/>
    <w:lsdException w:name="Medium List 1" w:uiPriority="65" w:semiHidden="0" w:unhideWhenUsed="0"/>
    <w:lsdException w:name="Dark List Accent 5" w:uiPriority="70" w:semiHidden="0" w:unhideWhenUsed="0"/>
    <w:lsdException w:name="Light Shading" w:uiPriority="60" w:semiHidden="0" w:unhideWhenUsed="0"/>
    <w:lsdException w:name="Medium List 1 Accent 6" w:uiPriority="65" w:semiHidden="0" w:unhideWhenUsed="0"/>
    <w:lsdException w:name="Medium Grid 1 Accent 3" w:uiPriority="67" w:semiHidden="0" w:unhideWhenUsed="0"/>
    <w:lsdException w:name="Colorful Grid" w:uiPriority="73" w:semiHidden="0" w:unhideWhenUsed="0"/>
    <w:lsdException w:name="Light List" w:uiPriority="61" w:semiHidden="0" w:unhideWhenUsed="0"/>
    <w:lsdException w:name="Medium Shading 2 Accent 3" w:uiPriority="64" w:semiHidden="0" w:unhideWhenUsed="0"/>
    <w:lsdException w:name="Light List Accent 1" w:uiPriority="61" w:semiHidden="0" w:unhideWhenUsed="0"/>
    <w:lsdException w:name="Dark List Accent 6" w:uiPriority="70" w:semiHidden="0" w:unhideWhenUsed="0"/>
    <w:lsdException w:name="Medium List 2 Accent 6" w:uiPriority="66" w:semiHidden="0" w:unhideWhenUsed="0"/>
    <w:lsdException w:name="Strong" w:uiPriority="22" w:semiHidden="0" w:unhideWhenUsed="0" w:qFormat="1"/>
    <w:lsdException w:name="Medium List 2 Accent 2" w:uiPriority="66" w:semiHidden="0" w:unhideWhenUsed="0"/>
    <w:lsdException w:name="Revision" w:unhideWhenUsed="0"/>
    <w:lsdException w:name="Medium Grid 1 Accent 4" w:uiPriority="67" w:semiHidden="0" w:unhideWhenUsed="0"/>
    <w:lsdException w:name="Colorful Grid Accent 1" w:uiPriority="73" w:semiHidden="0" w:unhideWhenUsed="0"/>
    <w:lsdException w:name="Light List Accent 6" w:uiPriority="61" w:semiHidden="0" w:unhideWhenUsed="0"/>
    <w:lsdException w:name="Light Grid Accent 5" w:uiPriority="62" w:semiHidden="0" w:unhideWhenUsed="0"/>
    <w:lsdException w:name="Light List Accent 2" w:uiPriority="61" w:semiHidden="0" w:unhideWhenUsed="0"/>
    <w:lsdException w:name="Medium Shading 1" w:uiPriority="63" w:semiHidden="0" w:unhideWhenUsed="0"/>
    <w:lsdException w:name="Dark List Accent 3" w:uiPriority="70" w:semiHidden="0" w:unhideWhenUsed="0"/>
    <w:lsdException w:name="heading 1" w:uiPriority="9" w:semiHidden="0" w:unhideWhenUsed="0" w:qFormat="1"/>
    <w:lsdException w:name="toc 5" w:uiPriority="39"/>
    <w:lsdException w:name="toc 9" w:uiPriority="39"/>
    <w:lsdException w:name="Colorful List" w:uiPriority="72" w:semiHidden="0" w:unhideWhenUsed="0"/>
    <w:lsdException w:name="Normal" w:uiPriority="0" w:semiHidden="0" w:unhideWhenUsed="0" w:qFormat="1"/>
    <w:lsdException w:name="Subtle Emphasis" w:uiPriority="19" w:semiHidden="0" w:unhideWhenUsed="0" w:qFormat="1"/>
    <w:lsdException w:name="Subtitle" w:uiPriority="11" w:semiHidden="0" w:unhideWhenUsed="0" w:qFormat="1"/>
    <w:lsdException w:name="Medium List 2 Accent 3" w:uiPriority="66" w:semiHidden="0" w:unhideWhenUsed="0"/>
    <w:lsdException w:name="Colorful Grid Accent 4" w:uiPriority="73" w:semiHidden="0" w:unhideWhenUsed="0"/>
    <w:lsdException w:name="Light Shading Accent 1" w:uiPriority="60" w:semiHidden="0" w:unhideWhenUsed="0"/>
    <w:lsdException w:name="Intense Reference" w:uiPriority="32" w:semiHidden="0" w:unhideWhenUsed="0" w:qFormat="1"/>
    <w:lsdException w:name="Medium Grid 2" w:uiPriority="68" w:semiHidden="0" w:unhideWhenUsed="0"/>
    <w:lsdException w:name="Title" w:uiPriority="10" w:semiHidden="0" w:unhideWhenUsed="0" w:qFormat="1"/>
    <w:lsdException w:name="Colorful Shading Accent 5" w:uiPriority="71" w:semiHidden="0" w:unhideWhenUsed="0"/>
    <w:lsdException w:name="Medium List 2" w:uiPriority="66" w:semiHidden="0" w:unhideWhenUsed="0"/>
    <w:lsdException w:name="Medium List 1 Accent 1" w:uiPriority="65" w:semiHidden="0" w:unhideWhenUsed="0"/>
    <w:lsdException w:name="Light Shading Accent 4" w:uiPriority="60" w:semiHidden="0" w:unhideWhenUsed="0"/>
    <w:lsdException w:name="Light Grid Accent 3" w:uiPriority="62" w:semiHidden="0" w:unhideWhenUsed="0"/>
    <w:lsdException w:name="heading 7" w:uiPriority="9" w:qFormat="1"/>
    <w:lsdException w:name="Medium Grid 1 Accent 6" w:uiPriority="67" w:semiHidden="0" w:unhideWhenUsed="0"/>
    <w:lsdException w:name="Medium Grid 3" w:uiPriority="69" w:semiHidden="0" w:unhideWhenUsed="0"/>
    <w:lsdException w:name="Medium Grid 2 Accent 4" w:uiPriority="68" w:semiHidden="0" w:unhideWhenUsed="0"/>
    <w:lsdException w:name="Intense Quote" w:uiPriority="30" w:semiHidden="0" w:unhideWhenUsed="0" w:qFormat="1"/>
    <w:lsdException w:name="Medium Grid 3 Accent 4" w:uiPriority="69" w:semiHidden="0" w:unhideWhenUsed="0"/>
    <w:lsdException w:name="Medium Shading 1 Accent 3" w:uiPriority="63" w:semiHidden="0" w:unhideWhenUsed="0"/>
    <w:lsdException w:name="heading 3" w:uiPriority="9" w:qFormat="1"/>
    <w:lsdException w:name="Colorful List Accent 5" w:uiPriority="72" w:semiHidden="0" w:unhideWhenUsed="0"/>
    <w:lsdException w:name="toc 1" w:uiPriority="39"/>
    <w:lsdException w:name="Medium Grid 2 Accent 3" w:uiPriority="68" w:semiHidden="0" w:unhideWhenUsed="0"/>
    <w:lsdException w:name="heading 2" w:uiPriority="9" w:qFormat="1"/>
    <w:lsdException w:name="Colorful Shading Accent 4" w:uiPriority="71" w:semiHidden="0" w:unhideWhenUsed="0"/>
    <w:lsdException w:name="Table Grid" w:uiPriority="59" w:semiHidden="0" w:unhideWhenUsed="0"/>
    <w:lsdException w:name="Medium Shading 2 Accent 2" w:uiPriority="64" w:semiHidden="0" w:unhideWhenUsed="0"/>
    <w:lsdException w:name="Light Grid" w:uiPriority="62" w:semiHidden="0" w:unhideWhenUsed="0"/>
    <w:lsdException w:name="Bibliography" w:uiPriority="37"/>
  </w:latentStyles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2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paragraph" w:styleId="0000b8" w:default="1">
    <w:name w:val="Normal"/>
    <w:qFormat w:val="1"/>
    <w:rsid w:val="00FC693F"/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numbering" w:styleId="0000cd" w:default="1">
    <w:name w:val="No List"/>
    <w:uiPriority w:val="99"/>
    <w:semiHidden w:val="1"/>
    <w:unhideWhenUsed w:val="1"/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2026-08-07T09:35:19Z</dcterms:created>
  <dcterms:modified xsi:type="dcterms:W3CDTF">2026-08-07T09:35:19Z</dcterms:modified>
</cp:coreProperties>
</file>