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仓储机器人表面材质识别</w:t>
        <w:br/>
        <w:t>第一周周报</w:t>
      </w:r>
    </w:p>
    <w:p>
      <w:r>
        <w:t>MirrorSpace × AIE3905 课程项目  |  报告日期 2026年09月26日</w:t>
      </w:r>
    </w:p>
    <w:p>
      <w:r>
        <w:t>本周完成公开数据整理、ResNet-18 小样本与完整数据训练、验证评估和 ROI 展示流程。完整数据验证准确率为 75.20%，Macro-F1 为 0.7480。公开数据线已具备第一周交付条件；现场数据线仍等待企业图像与标注导出样例。</w:t>
      </w:r>
    </w:p>
    <w:p>
      <w:pPr>
        <w:pStyle w:val="Heading1"/>
      </w:pPr>
      <w:r>
        <w:t>第一周指标与完成状态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6912"/>
        <w:gridCol w:w="1296"/>
      </w:tblGrid>
      <w:tr>
        <w:trPr>
          <w:cantSplit/>
          <w:tblHeader/>
        </w:trPr>
        <w:tc>
          <w:tcPr>
            <w:tcW w:type="dxa" w:w="1584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验收项</w:t>
            </w:r>
          </w:p>
        </w:tc>
        <w:tc>
          <w:tcPr>
            <w:tcW w:type="dxa" w:w="6912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实际完成情况</w:t>
            </w:r>
          </w:p>
        </w:tc>
        <w:tc>
          <w:tcPr>
            <w:tcW w:type="dxa" w:w="1296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公开数据</w:t>
            </w:r>
          </w:p>
        </w:tc>
        <w:tc>
          <w:tcPr>
            <w:tcW w:type="dxa" w:w="691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五类共 12,500 张，保留官方划分；图片可解码且跨划分无字节级重复</w:t>
            </w:r>
          </w:p>
        </w:tc>
        <w:tc>
          <w:tcPr>
            <w:tcW w:type="dxa" w:w="129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完成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模型基线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完整训练集 10,625 张，验证集 625 张；完成 3 轮训练并保存最佳权重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完成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评估证据</w:t>
            </w:r>
          </w:p>
        </w:tc>
        <w:tc>
          <w:tcPr>
            <w:tcW w:type="dxa" w:w="691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逐类指标、混淆矩阵、训练曲线及逐图预测记录</w:t>
            </w:r>
          </w:p>
        </w:tc>
        <w:tc>
          <w:tcPr>
            <w:tcW w:type="dxa" w:w="129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完成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展示与规范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上传已裁剪 ROI；统一五类标签；清单模板和初版标注规范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完成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现场数据接入</w:t>
            </w:r>
          </w:p>
        </w:tc>
        <w:tc>
          <w:tcPr>
            <w:tcW w:type="dxa" w:w="691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待收到现有标注格式、ROI 和 SKU 字段；新 SKU 测试尚未实施</w:t>
            </w:r>
          </w:p>
        </w:tc>
        <w:tc>
          <w:tcPr>
            <w:tcW w:type="dxa" w:w="1296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待数据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GPU 环境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Python 3.12 CUDA 环境已跑通 200/50 张小样本训练；完整基线使用 CPU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完成验证</w:t>
            </w:r>
          </w:p>
        </w:tc>
      </w:tr>
    </w:tbl>
    <w:p>
      <w:pPr>
        <w:spacing w:after="20"/>
      </w:pPr>
    </w:p>
    <w:p>
      <w:pPr>
        <w:pStyle w:val="Heading1"/>
      </w:pPr>
      <w:r>
        <w:t>数据与运行环境</w:t>
      </w:r>
    </w:p>
    <w:p>
      <w:r>
        <w:t>公开数据为 MINC-2500 split 1，选取 paper、plastic、metal、wood、fabric。训练集 10,625 张，验证集 625 张，保留测试集 1,250 张；五类在每个集合中均衡。本周未使用测试集进行选模或评分。</w:t>
      </w:r>
    </w:p>
    <w:p>
      <w:r>
        <w:t>完整基线使用 Python 3.11、PyTorch 2.8.0+cpu、CPU。另在已有 Python 3.12.12 / PyTorch 2.9.1+cu128 / CUDA 12.8 环境，使用 RTX 4050 6 GB 跑通小规模 GPU 训练。显卡连续测速较慢，32 张批量前反向约 14 秒，系统报告低频与限速；原因尚未确认。</w:t>
      </w:r>
    </w:p>
    <w:p>
      <w:r>
        <w:br w:type="page"/>
      </w:r>
    </w:p>
    <w:p>
      <w:pPr>
        <w:pStyle w:val="Heading1"/>
      </w:pPr>
      <w:r>
        <w:t>完整数据训练与验证结果</w:t>
      </w:r>
    </w:p>
    <w:p>
      <w:r>
        <w:t>采用 ImageNet 预训练 ResNet-18，输入 224 × 224，替换五类分类头。先训练分类头 2 轮，学习率 0.001；再从分类头最佳权重初始化，微调整个网络 1 轮，学习率 0.0001。批量大小 32，两个阶段随机种子均为 42，优化器 AdamW。分类头阶段冻结骨干及其 BatchNorm 统计。</w:t>
      </w:r>
    </w:p>
    <w:p>
      <w:r>
        <w:t>按验证集 Macro-F1 选择最佳权重，最佳为总第 3 轮。累计训练与每轮验证耗时约 17.2 分钟，不含环境排查和最终图表制作。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5472"/>
      </w:tblGrid>
      <w:tr>
        <w:trPr>
          <w:cantSplit/>
          <w:tblHeader/>
        </w:trPr>
        <w:tc>
          <w:tcPr>
            <w:tcW w:type="dxa" w:w="2160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5472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样本范围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Accuracy</w:t>
            </w:r>
          </w:p>
        </w:tc>
        <w:tc>
          <w:tcPr>
            <w:tcW w:type="dxa" w:w="216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75.20%</w:t>
            </w:r>
          </w:p>
        </w:tc>
        <w:tc>
          <w:tcPr>
            <w:tcW w:type="dxa" w:w="547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625 张公开验证图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Macro-F1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0.7480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五类等权平均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测试集结果</w:t>
            </w:r>
          </w:p>
        </w:tc>
        <w:tc>
          <w:tcPr>
            <w:tcW w:type="dxa" w:w="216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未评估</w:t>
            </w:r>
          </w:p>
        </w:tc>
        <w:tc>
          <w:tcPr>
            <w:tcW w:type="dxa" w:w="547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保留 1,250 张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新 SKU 泛化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未评估</w:t>
            </w:r>
          </w:p>
        </w:tc>
        <w:tc>
          <w:tcPr>
            <w:tcW w:type="dxa" w:w="54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需现场数据和 SKU 字段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GPU 小样本 Accuracy</w:t>
            </w:r>
          </w:p>
        </w:tc>
        <w:tc>
          <w:tcPr>
            <w:tcW w:type="dxa" w:w="216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54.00%</w:t>
            </w:r>
          </w:p>
        </w:tc>
        <w:tc>
          <w:tcPr>
            <w:tcW w:type="dxa" w:w="547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200 张训练、50 张验证，独立演示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2329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32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曲线用于检查训练趋势与验证表现。验证集参与选模，因此以上结果是开发阶段指标，不能作为独立最终测试成绩。此前 250 张小样本试验的验证准确率为 52%，仅用于确认流程；由于验证样本不同，不直接计算两者的提升幅度。</w:t>
      </w:r>
    </w:p>
    <w:p>
      <w:r>
        <w:br w:type="page"/>
      </w:r>
    </w:p>
    <w:p>
      <w:pPr>
        <w:pStyle w:val="Heading1"/>
      </w:pPr>
      <w:r>
        <w:t>逐类表现与混淆分析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728"/>
        <w:gridCol w:w="1728"/>
        <w:gridCol w:w="1728"/>
        <w:gridCol w:w="1584"/>
      </w:tblGrid>
      <w:tr>
        <w:trPr>
          <w:cantSplit/>
          <w:tblHeader/>
        </w:trPr>
        <w:tc>
          <w:tcPr>
            <w:tcW w:type="dxa" w:w="3024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材质</w:t>
            </w:r>
          </w:p>
        </w:tc>
        <w:tc>
          <w:tcPr>
            <w:tcW w:type="dxa" w:w="1728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Precision</w:t>
            </w:r>
          </w:p>
        </w:tc>
        <w:tc>
          <w:tcPr>
            <w:tcW w:type="dxa" w:w="1728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Recall</w:t>
            </w:r>
          </w:p>
        </w:tc>
        <w:tc>
          <w:tcPr>
            <w:tcW w:type="dxa" w:w="1728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F1</w:t>
            </w:r>
          </w:p>
        </w:tc>
        <w:tc>
          <w:tcPr>
            <w:tcW w:type="dxa" w:w="1584"/>
            <w:vAlign w:val="center"/>
            <w:shd w:fill="244A6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/>
                <w:color w:val="FFFFFF"/>
                <w:sz w:val="21"/>
              </w:rPr>
              <w:t>样本数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纸质 paper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0.840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0.672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0.747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125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塑料 plastic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0.782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0.544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0.642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125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金属 metal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0.653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0.872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0.747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125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木材 wood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0.795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0.840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0.817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125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织物 fabric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0.748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0.832</w:t>
            </w:r>
          </w:p>
        </w:tc>
        <w:tc>
          <w:tcPr>
            <w:tcW w:type="dxa" w:w="172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0.788</w:t>
            </w:r>
          </w:p>
        </w:tc>
        <w:tc>
          <w:tcPr>
            <w:tcW w:type="dxa" w:w="15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sz w:val="21"/>
              </w:rPr>
              <w:t>125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混淆矩阵的行为真实类别，列为预测类别。最常见的错误包括：塑料误判为金属 30 张；塑料误判为织物 14 张；纸质误判为金属 14 张。</w:t>
      </w:r>
    </w:p>
    <w:p>
      <w:r>
        <w:t>当前召回率最低的类别为塑料。下一阶段应检查这类错误中的反光、纹理、覆膜和混合表面，并在统一验证协议下比较局部 ROI 与完整商品图像。公开验证成绩本身不能证明模型识别了真实物理材质。</w:t>
      </w:r>
    </w:p>
    <w:p>
      <w:r>
        <w:br w:type="page"/>
      </w:r>
    </w:p>
    <w:p>
      <w:pPr>
        <w:pStyle w:val="Heading1"/>
      </w:pPr>
      <w:r>
        <w:t>预测样例与本周限制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05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_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0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上排选取每类一个预测正确的样本，下排选取模型分数较高的错误样本，便于分析失败原因；它们并非随机抽样。图中分数为 softmax 输出，未做概率校准，也未实现完整未知材质拒识。</w:t>
      </w:r>
    </w:p>
    <w:p>
      <w:r>
        <w:t>Demo 输入为已裁剪的单材质接触面 RGB ROI，未完成自动物体定位。MINC 图像仍可能包含背景与多种表面，需结合局部 ROI 分析错误。MINC 不含现场 SKU，尚不能验证新商品泛化；织物标签也不能推断为纯棉。双线模型切换和真空吸盘验证尚未完成。</w:t>
      </w:r>
    </w:p>
    <w:p>
      <w:pPr>
        <w:pStyle w:val="Heading1"/>
      </w:pPr>
      <w:r>
        <w:t>第二周计划</w:t>
      </w:r>
    </w:p>
    <w:p>
      <w:pPr>
        <w:pStyle w:val="ListBullet"/>
      </w:pPr>
      <w:r>
        <w:t>检查显卡低频与限速状态，恢复后复核完整数据 GPU 训练；固定数据划分并记录设备与训练预算。</w:t>
      </w:r>
    </w:p>
    <w:p>
      <w:pPr>
        <w:pStyle w:val="ListBullet"/>
      </w:pPr>
      <w:r>
        <w:t>收到现场数据和标注导出样例后，适配 ROI、SKU、采集批次及人工确认状态，固定最终测试 SKU，建立现场基线。</w:t>
      </w:r>
    </w:p>
    <w:p>
      <w:pPr>
        <w:pStyle w:val="ListBullet"/>
      </w:pPr>
      <w:r>
        <w:t>完善模型来源与版本展示，分析错误样例；按计划冻结公开 POC 配置后再进行保留测试，区分公开与现场成绩。</w:t>
      </w:r>
    </w:p>
    <w:p>
      <w:pPr>
        <w:pStyle w:val="Heading1"/>
      </w:pPr>
      <w:r>
        <w:t>交付与复现位置</w:t>
      </w:r>
    </w:p>
    <w:p>
      <w:r>
        <w:t>项目目录 E:\AIE3905。训练权重、配置与历史在 runs/week1_resnet18；逐图预测在该目录 evaluation；图表在 docs/week1_results。运行方法见 README.md，标注边界见 docs/annotation_guideline.md。数据与模型文件保留在本地，不进入代码仓库。</w:t>
      </w:r>
    </w:p>
    <w:p>
      <w:r>
        <w:t>数据来源 https://huggingface.co/datasets/mcimpoi/minc-2500_split_1；版本 5ac92ad1af8ef34f9ecd8d54d60a73c0289fe0c3。周报指标来自本地保存的训练历史和验证结果。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仓储机器人表面材质识别第一周周报</dc:title>
  <dc:subject/>
  <dc:creator>MirrorSpace × AIE3905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