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The Electrical Body Clock:</w:t>
      </w:r>
      <w:r>
        <w:br/>
      </w:r>
      <w:r>
        <w:rPr>
          <w:b/>
          <w:bCs/>
        </w:rPr>
        <w:t xml:space="preserve">subsystem-resolved ECG aging clocks localize disease to its</w:t>
      </w:r>
      <w:r>
        <w:br/>
      </w:r>
      <w:r>
        <w:rPr>
          <w:b/>
          <w:bCs/>
        </w:rPr>
        <w:t xml:space="preserve">electrical substrate, and the same organ-resolved</w:t>
      </w:r>
      <w:r>
        <w:br/>
      </w:r>
      <w:r>
        <w:rPr>
          <w:b/>
          <w:bCs/>
        </w:rPr>
        <w:t xml:space="preserve">principle predicts mortality</w:t>
      </w:r>
    </w:p>
    <w:p>
      <w:pPr>
        <w:pStyle w:val="Author"/>
      </w:pPr>
      <w:r>
        <w:t xml:space="preserve">Jaron Mar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Deep-learning</w:t>
      </w:r>
      <w:r>
        <w:t xml:space="preserve"> </w:t>
      </w:r>
      <w:r>
        <w:t xml:space="preserve">“ECG-age”</w:t>
      </w:r>
      <w:r>
        <w:t xml:space="preserve"> </w:t>
      </w:r>
      <w:r>
        <w:t xml:space="preserve">models estimate a single biological age for the whole</w:t>
      </w:r>
      <w:r>
        <w:t xml:space="preserve"> </w:t>
      </w:r>
      <w:r>
        <w:t xml:space="preserve">heart, discarding the fact that the heart is an assembly of electrically distinct</w:t>
      </w:r>
      <w:r>
        <w:t xml:space="preserve"> </w:t>
      </w:r>
      <w:r>
        <w:t xml:space="preserve">subsystems — the atria, the atrioventricular (AV) conduction axis, the ventricular</w:t>
      </w:r>
      <w:r>
        <w:t xml:space="preserve"> </w:t>
      </w:r>
      <w:r>
        <w:t xml:space="preserve">myocardium, and the repolarization apparatus — that can age at different rates and fail</w:t>
      </w:r>
      <w:r>
        <w:t xml:space="preserve"> </w:t>
      </w:r>
      <w:r>
        <w:t xml:space="preserve">independently. We decompose ECG age into four subsystem clocks by training separate 1D</w:t>
      </w:r>
      <w:r>
        <w:t xml:space="preserve"> </w:t>
      </w:r>
      <w:r>
        <w:t xml:space="preserve">convolutional age regressors on segment-masked 10-second ECG waveforms (P wave, PR segment,</w:t>
      </w:r>
      <w:r>
        <w:t xml:space="preserve"> </w:t>
      </w:r>
      <w:r>
        <w:t xml:space="preserve">QRS complex, ST–T segment) from 21373 adult PTB-XL recordings. Each subsystem carries</w:t>
      </w:r>
      <w:r>
        <w:t xml:space="preserve"> </w:t>
      </w:r>
      <w:r>
        <w:t xml:space="preserve">a genuine but partial age signal (test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0.24–0.54) that is weaker than a whole-strip</w:t>
      </w:r>
      <w:r>
        <w:t xml:space="preserve"> </w:t>
      </w:r>
      <w:r>
        <w:t xml:space="preserve">global clock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0.63</m:t>
        </m:r>
      </m:oMath>
      <w:r>
        <w:t xml:space="preserve">), confirming that no single subsystem contains all cardiac age</w:t>
      </w:r>
      <w:r>
        <w:t xml:space="preserve"> </w:t>
      </w:r>
      <w:r>
        <w:t xml:space="preserve">information. The scientific payoff is the</w:t>
      </w:r>
      <w:r>
        <w:t xml:space="preserve"> </w:t>
      </w:r>
      <w:r>
        <w:rPr>
          <w:i/>
          <w:iCs/>
        </w:rPr>
        <w:t xml:space="preserve">decomposition</w:t>
      </w:r>
      <w:r>
        <w:t xml:space="preserve">: the four-dimensional</w:t>
      </w:r>
      <w:r>
        <w:t xml:space="preserve"> </w:t>
      </w:r>
      <w:r>
        <w:t xml:space="preserve">electrical-age fingerprint localizes to the diseased substrate. In a disease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subsystem specificity analysis against strictly-normal controls (age- and sex-adjusted,</w:t>
      </w:r>
      <w:r>
        <w:t xml:space="preserve"> </w:t>
      </w:r>
      <w:r>
        <w:t xml:space="preserve">FDR-controlled, patient-cluster bootstrap confidence intervals), diseases with a single</w:t>
      </w:r>
      <w:r>
        <w:t xml:space="preserve"> </w:t>
      </w:r>
      <w:r>
        <w:t xml:space="preserve">unambiguous electrical substrate map onto their canonical subsystem — bundle-branch block</w:t>
      </w:r>
      <w:r>
        <w:t xml:space="preserve"> </w:t>
      </w:r>
      <w:r>
        <w:t xml:space="preserve">onto ventricular age and ischemia onto repolarization age through a cross-disease</w:t>
      </w:r>
      <w:r>
        <w:t xml:space="preserve"> </w:t>
      </w:r>
      <w:r>
        <w:t xml:space="preserve">interaction lens, and AV block onto AV-conduction age through a within-patient lens — while</w:t>
      </w:r>
      <w:r>
        <w:t xml:space="preserve"> </w:t>
      </w:r>
      <w:r>
        <w:t xml:space="preserve">multi-substrate diseases (atrial fibrillation, hypertrophy, myocardial infarction) show</w:t>
      </w:r>
      <w:r>
        <w:t xml:space="preserve"> </w:t>
      </w:r>
      <w:r>
        <w:t xml:space="preserve">physiologically-expected cross-substrate aging. Two negative controls establish that the</w:t>
      </w:r>
      <w:r>
        <w:t xml:space="preserve"> </w:t>
      </w:r>
      <w:r>
        <w:t xml:space="preserve">signal is physiological, not artifactual. Finally, in a parallel population cohort (NHANES,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15844</m:t>
        </m:r>
      </m:oMath>
      <w:r>
        <w:t xml:space="preserve">, 2002 deaths) we show the same organ-resolved-aging method generalizes</w:t>
      </w:r>
      <w:r>
        <w:t xml:space="preserve"> </w:t>
      </w:r>
      <w:r>
        <w:t xml:space="preserve">from the heart’s electrical subsystems to whole-body physiology: six organ-system age-gaps</w:t>
      </w:r>
      <w:r>
        <w:t xml:space="preserve"> </w:t>
      </w:r>
      <w:r>
        <w:t xml:space="preserve">predict all-cause mortality, and their multi-system profile improves prediction over</w:t>
      </w:r>
      <w:r>
        <w:t xml:space="preserve"> </w:t>
      </w:r>
      <w:r>
        <w:t xml:space="preserve">chronological age (C-index</w:t>
      </w:r>
      <w:r>
        <w:t xml:space="preserve"> </w:t>
      </w:r>
      <m:oMath>
        <m:r>
          <m:t>0.817</m:t>
        </m:r>
        <m:r>
          <m:rPr>
            <m:sty m:val="p"/>
          </m:rPr>
          <m:t>→</m:t>
        </m:r>
        <m:r>
          <m:t>0.845</m:t>
        </m:r>
      </m:oMath>
      <w:r>
        <w:t xml:space="preserve">). The result reframes biological aging</w:t>
      </w:r>
      <w:r>
        <w:t xml:space="preserve"> </w:t>
      </w:r>
      <w:r>
        <w:t xml:space="preserve">from one number into an interpretable, per-system fingerprint.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electrocardiography, biological age, deep learning, cardiac</w:t>
      </w:r>
      <w:r>
        <w:t xml:space="preserve"> </w:t>
      </w:r>
      <w:r>
        <w:t xml:space="preserve">aging, organ-specific aging, mortality prediction, PTB-XL, NHANES.</w:t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electrocardiogram ages. Models trained to predict chronological age from the raw 12-lead</w:t>
      </w:r>
      <w:r>
        <w:t xml:space="preserve"> </w:t>
      </w:r>
      <w:r>
        <w:t xml:space="preserve">ECG achieve mean absolute errors of 6–7 years, and the residual — the gap between</w:t>
      </w:r>
      <w:r>
        <w:t xml:space="preserve"> </w:t>
      </w:r>
      <w:r>
        <w:t xml:space="preserve">ECG-predicted age and true age — predicts mortality and incident cardiovascular disease</w:t>
      </w:r>
      <w:r>
        <w:t xml:space="preserve"> </w:t>
      </w:r>
      <w:r>
        <w:t xml:space="preserve">(Attia et al. 2019;</w:t>
      </w:r>
      <w:r>
        <w:t xml:space="preserve"> </w:t>
      </w:r>
      <w:r>
        <w:t xml:space="preserve">Lima et al.</w:t>
      </w:r>
      <w:r>
        <w:t xml:space="preserve"> </w:t>
      </w:r>
      <w:r>
        <w:t xml:space="preserve">2021; Ladejobi et al. 2021)</w:t>
      </w:r>
      <w:r>
        <w:t xml:space="preserve">. These models now span multiple</w:t>
      </w:r>
      <w:r>
        <w:t xml:space="preserve"> </w:t>
      </w:r>
      <w:r>
        <w:t xml:space="preserve">architectures and freely-available cohorts</w:t>
      </w:r>
      <w:r>
        <w:t xml:space="preserve"> </w:t>
      </w:r>
      <w:r>
        <w:t xml:space="preserve">(Barros et al. 2024; Wang et al. 2025)</w:t>
      </w:r>
      <w:r>
        <w:t xml:space="preserve">, but they</w:t>
      </w:r>
      <w:r>
        <w:t xml:space="preserve"> </w:t>
      </w:r>
      <w:r>
        <w:t xml:space="preserve">share a common design: they collapse the entire cardiac cycle into a single scalar.</w:t>
      </w:r>
      <w:r>
        <w:t xml:space="preserve"> </w:t>
      </w:r>
      <w:r>
        <w:t xml:space="preserve">Physiologically this is a strong simplification. The P wave reflects atrial depolarization,</w:t>
      </w:r>
      <w:r>
        <w:t xml:space="preserve"> </w:t>
      </w:r>
      <w:r>
        <w:t xml:space="preserve">the PR segment the AV-nodal conduction delay, the QRS complex ventricular depolarization, and</w:t>
      </w:r>
      <w:r>
        <w:t xml:space="preserve"> </w:t>
      </w:r>
      <w:r>
        <w:t xml:space="preserve">the ST–T segment ventricular repolarization. These subsystems have distinct cell types,</w:t>
      </w:r>
      <w:r>
        <w:t xml:space="preserve"> </w:t>
      </w:r>
      <w:r>
        <w:t xml:space="preserve">distinct blood supplies, and distinct disease processes. A patient with isolated AV-nodal</w:t>
      </w:r>
      <w:r>
        <w:t xml:space="preserve"> </w:t>
      </w:r>
      <w:r>
        <w:t xml:space="preserve">disease and a patient with a healed anterior infarct may share an identical whole-heart ECG</w:t>
      </w:r>
      <w:r>
        <w:t xml:space="preserve"> </w:t>
      </w:r>
      <w:r>
        <w:t xml:space="preserve">age while being old in completely different places.</w:t>
      </w:r>
    </w:p>
    <w:p>
      <w:pPr>
        <w:pStyle w:val="BodyText"/>
      </w:pPr>
      <w:r>
        <w:t xml:space="preserve">We ask whether ECG age can be</w:t>
      </w:r>
      <w:r>
        <w:t xml:space="preserve"> </w:t>
      </w:r>
      <w:r>
        <w:rPr>
          <w:b/>
          <w:bCs/>
        </w:rPr>
        <w:t xml:space="preserve">decomposed</w:t>
      </w:r>
      <w:r>
        <w:t xml:space="preserve"> </w:t>
      </w:r>
      <w:r>
        <w:t xml:space="preserve">into subsystem-resolved clocks, and whether</w:t>
      </w:r>
      <w:r>
        <w:t xml:space="preserve"> </w:t>
      </w:r>
      <w:r>
        <w:t xml:space="preserve">the resulting divergence between a patient’s subsystem ages localizes to their diseased</w:t>
      </w:r>
      <w:r>
        <w:t xml:space="preserve"> </w:t>
      </w:r>
      <w:r>
        <w:t xml:space="preserve">substrate (</w:t>
      </w:r>
      <w:r>
        <w:rPr>
          <w:b/>
          <w:bCs/>
        </w:rPr>
        <w:t xml:space="preserve">Act I</w:t>
      </w:r>
      <w:r>
        <w:t xml:space="preserve">, PTB-XL). We then ask whether the same organizing principle —</w:t>
      </w:r>
      <w:r>
        <w:t xml:space="preserve"> </w:t>
      </w:r>
      <w:r>
        <w:t xml:space="preserve">biological age as a</w:t>
      </w:r>
      <w:r>
        <w:t xml:space="preserve"> </w:t>
      </w:r>
      <w:r>
        <w:rPr>
          <w:i/>
          <w:iCs/>
        </w:rPr>
        <w:t xml:space="preserve">profile</w:t>
      </w:r>
      <w:r>
        <w:t xml:space="preserve"> </w:t>
      </w:r>
      <w:r>
        <w:t xml:space="preserve">of per-system clocks that diverge, localize, and predict</w:t>
      </w:r>
      <w:r>
        <w:t xml:space="preserve"> </w:t>
      </w:r>
      <w:r>
        <w:t xml:space="preserve">outcomes — generalizes beyond the heart’s electrical anatomy to whole-body physiology and</w:t>
      </w:r>
      <w:r>
        <w:t xml:space="preserve"> </w:t>
      </w:r>
      <w:r>
        <w:t xml:space="preserve">predicts death (</w:t>
      </w:r>
      <w:r>
        <w:rPr>
          <w:b/>
          <w:bCs/>
        </w:rPr>
        <w:t xml:space="preserve">Act II</w:t>
      </w:r>
      <w:r>
        <w:t xml:space="preserve">, NHANES). To our knowledge this is the first</w:t>
      </w:r>
      <w:r>
        <w:t xml:space="preserve"> </w:t>
      </w:r>
      <w:r>
        <w:t xml:space="preserve">subsystem-decomposed ECG aging clock, in contrast to the several-thousand-paper whole-heart</w:t>
      </w:r>
      <w:r>
        <w:t xml:space="preserve"> </w:t>
      </w:r>
      <w:r>
        <w:t xml:space="preserve">ECG-age literature that this work extends. The whole-body organ-age-gap idea has independent</w:t>
      </w:r>
      <w:r>
        <w:t xml:space="preserve"> </w:t>
      </w:r>
      <w:r>
        <w:t xml:space="preserve">precedent in the biobank and plasma-proteome literature</w:t>
      </w:r>
      <w:r>
        <w:t xml:space="preserve"> </w:t>
      </w:r>
      <w:r>
        <w:t xml:space="preserve">(Tian et al. 2023; Oh et al. 2023)</w:t>
      </w:r>
      <w:r>
        <w:t xml:space="preserve">, which Act II uses as a bridge rather than a novelty claim. The methodological</w:t>
      </w:r>
      <w:r>
        <w:t xml:space="preserve"> </w:t>
      </w:r>
      <w:r>
        <w:t xml:space="preserve">scaffold — read a model’s residual as an age-gap, bias-correct it, and ask what it predicts</w:t>
      </w:r>
      <w:r>
        <w:t xml:space="preserve"> </w:t>
      </w:r>
      <w:r>
        <w:t xml:space="preserve">— is inherited directly from the brain-age literature</w:t>
      </w:r>
      <w:r>
        <w:t xml:space="preserve"> </w:t>
      </w:r>
      <w:r>
        <w:t xml:space="preserve">(</w:t>
      </w:r>
      <w:r>
        <w:t xml:space="preserve">Cole et al.</w:t>
      </w:r>
      <w:r>
        <w:t xml:space="preserve"> </w:t>
      </w:r>
      <w:r>
        <w:t xml:space="preserve">2017; Beheshti et al. 2019; Lange and Cole 2020)</w:t>
      </w:r>
      <w:r>
        <w:t xml:space="preserve">.</w:t>
      </w:r>
    </w:p>
    <w:bookmarkEnd w:id="10"/>
    <w:bookmarkStart w:id="11" w:name="data-and-cohort"/>
    <w:p>
      <w:pPr>
        <w:pStyle w:val="Heading1"/>
      </w:pPr>
      <w:r>
        <w:t xml:space="preserve">Data and cohort</w:t>
      </w:r>
    </w:p>
    <w:p>
      <w:pPr>
        <w:pStyle w:val="FirstParagraph"/>
      </w:pPr>
      <w:r>
        <w:t xml:space="preserve">We used PTB-XL (v1.0.3), 21799 clinical 12-lead ECGs (500 Hz, 10 s) from 18869</w:t>
      </w:r>
      <w:r>
        <w:t xml:space="preserve"> </w:t>
      </w:r>
      <w:r>
        <w:t xml:space="preserve">patients, each with a cardiologist-validated set of diagnostic statements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scp_codes</w:t>
      </w:r>
      <w:r>
        <w:t xml:space="preserve">), distributed openly through PhysioNet</w:t>
      </w:r>
      <w:r>
        <w:t xml:space="preserve"> </w:t>
      </w:r>
      <w:r>
        <w:t xml:space="preserve">(Wagner et al. 2020; Goldberger et al. 2000)</w:t>
      </w:r>
      <w:r>
        <w:t xml:space="preserve">. We restricted to adults with a valid age label (excluding the</w:t>
      </w:r>
      <w:r>
        <w:t xml:space="preserve"> </w:t>
      </w:r>
      <w:r>
        <w:t xml:space="preserve">PTB-XL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89 anonymization code and pediatric records), yielding a modeling cohort of</w:t>
      </w:r>
      <w:r>
        <w:t xml:space="preserve"> </w:t>
      </w:r>
      <w:r>
        <w:rPr>
          <w:b/>
          <w:bCs/>
        </w:rPr>
        <w:t xml:space="preserve">21373 ECGs from 18495 patients</w:t>
      </w:r>
      <w:r>
        <w:t xml:space="preserve"> </w:t>
      </w:r>
      <w:r>
        <w:t xml:space="preserve">(age</w:t>
      </w:r>
      <w:r>
        <w:t xml:space="preserve"> </w:t>
      </w:r>
      <m:oMath>
        <m:r>
          <m:t>59.8</m:t>
        </m:r>
        <m:r>
          <m:rPr>
            <m:sty m:val="p"/>
          </m:rPr>
          <m:t>±</m:t>
        </m:r>
        <m:r>
          <m:t>16.4</m:t>
        </m:r>
      </m:oMath>
      <w:r>
        <w:t xml:space="preserve"> </w:t>
      </w:r>
      <w:r>
        <w:t xml:space="preserve">years, range 18–89).</w:t>
      </w:r>
      <w:r>
        <w:t xml:space="preserve"> </w:t>
      </w:r>
      <w:r>
        <w:t xml:space="preserve">We used the canonical patient-stratified 10-fold split — folds 1–8 for training</w:t>
      </w:r>
      <w:r>
        <w:t xml:space="preserve"> </w:t>
      </w:r>
      <w:r>
        <w:t xml:space="preserve">(17090 ECGs), fold 9 for validation (2132), fold 10 for test (2151) — with</w:t>
      </w:r>
      <w:r>
        <w:t xml:space="preserve"> </w:t>
      </w:r>
      <w:r>
        <w:rPr>
          <w:b/>
          <w:bCs/>
        </w:rPr>
        <w:t xml:space="preserve">zero patients spanning splits</w:t>
      </w:r>
      <w:r>
        <w:t xml:space="preserve">.</w:t>
      </w:r>
    </w:p>
    <w:p>
      <w:pPr>
        <w:pStyle w:val="BodyText"/>
      </w:pPr>
      <w:r>
        <w:t xml:space="preserve">Six disease groups were parsed from</w:t>
      </w:r>
      <w:r>
        <w:t xml:space="preserve"> </w:t>
      </w:r>
      <w:r>
        <w:rPr>
          <w:rStyle w:val="VerbatimChar"/>
        </w:rPr>
        <w:t xml:space="preserve">scp_codes</w:t>
      </w:r>
      <w:r>
        <w:t xml:space="preserve">: atrial disease (AF/flutter, atrial</w:t>
      </w:r>
      <w:r>
        <w:t xml:space="preserve"> </w:t>
      </w:r>
      <w:r>
        <w:t xml:space="preserve">ectopy, SVT), AV conduction disease (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AV block, LPR, WPW),</w:t>
      </w:r>
      <w:r>
        <w:t xml:space="preserve"> </w:t>
      </w:r>
      <w:r>
        <w:t xml:space="preserve">bundle-branch block / ventricular conduction defect, hypertrophy (LVH/RVH/septal), ischemia /</w:t>
      </w:r>
      <w:r>
        <w:t xml:space="preserve"> </w:t>
      </w:r>
      <w:r>
        <w:t xml:space="preserve">ST–T change, and myocardial infarction. A strict normal-control group (</w:t>
      </w:r>
      <m:oMath>
        <m:r>
          <m:t>n</m:t>
        </m:r>
        <m:r>
          <m:rPr>
            <m:sty m:val="p"/>
          </m:rPr>
          <m:t>=</m:t>
        </m:r>
        <m:r>
          <m:t>1340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analyzed validation+test partition) comprised records with a 100%-likelihood NORM statement</w:t>
      </w:r>
      <w:r>
        <w:t xml:space="preserve"> </w:t>
      </w:r>
      <w:r>
        <w:t xml:space="preserve">and no disease code. Groups are not mutually exclusive, reflecting real comorbidity — a fact</w:t>
      </w:r>
      <w:r>
        <w:t xml:space="preserve"> </w:t>
      </w:r>
      <w:r>
        <w:t xml:space="preserve">we exploit directly in the substrate-pure analysis (§</w:t>
      </w:r>
      <w:hyperlink w:anchor="sec:pure">
        <w:r>
          <w:rPr>
            <w:rStyle w:val="Hyperlink"/>
          </w:rPr>
          <w:t xml:space="preserve">4.3</w:t>
        </w:r>
      </w:hyperlink>
      <w:r>
        <w:t xml:space="preserve">).</w:t>
      </w:r>
    </w:p>
    <w:bookmarkEnd w:id="11"/>
    <w:bookmarkStart w:id="16" w:name="methods"/>
    <w:p>
      <w:pPr>
        <w:pStyle w:val="Heading1"/>
      </w:pPr>
      <w:r>
        <w:t xml:space="preserve">Methods</w:t>
      </w:r>
    </w:p>
    <w:bookmarkStart w:id="12" w:name="subsystem-window-extraction."/>
    <w:p>
      <w:pPr>
        <w:pStyle w:val="Heading4"/>
      </w:pPr>
      <w:r>
        <w:t xml:space="preserve">Subsystem window extraction.</w:t>
      </w:r>
    </w:p>
    <w:p>
      <w:pPr>
        <w:pStyle w:val="FirstParagraph"/>
      </w:pPr>
      <w:r>
        <w:t xml:space="preserve">For each ECG we delineated every beat on lead II with a discrete-wavelet delineator</w:t>
      </w:r>
      <w:r>
        <w:t xml:space="preserve"> </w:t>
      </w:r>
      <w:r>
        <w:t xml:space="preserve">(NeuroKit2)</w:t>
      </w:r>
      <w:r>
        <w:t xml:space="preserve"> </w:t>
      </w:r>
      <w:r>
        <w:t xml:space="preserve">(Makowski et al. 2021)</w:t>
      </w:r>
      <w:r>
        <w:t xml:space="preserve">, deriving per-beat fiducials (P onset/offset, QRS</w:t>
      </w:r>
      <w:r>
        <w:t xml:space="preserve"> </w:t>
      </w:r>
      <w:r>
        <w:t xml:space="preserve">on/offset anchored on Q/S peaks, T offset). Bounds were set from measured offset distributions</w:t>
      </w:r>
      <w:r>
        <w:t xml:space="preserve"> </w:t>
      </w:r>
      <w:r>
        <w:t xml:space="preserve">across disease groups so that genuinely prolonged intervals (e.g. AV-block PR) are not</w:t>
      </w:r>
      <w:r>
        <w:t xml:space="preserve"> </w:t>
      </w:r>
      <w:r>
        <w:t xml:space="preserve">truncated. Four</w:t>
      </w:r>
      <w:r>
        <w:t xml:space="preserve"> </w:t>
      </w:r>
      <w:r>
        <w:rPr>
          <w:b/>
          <w:bCs/>
        </w:rPr>
        <w:t xml:space="preserve">non-overlapping</w:t>
      </w:r>
      <w:r>
        <w:t xml:space="preserve"> </w:t>
      </w:r>
      <w:r>
        <w:t xml:space="preserve">per-sample masks tile the beat: P</w:t>
      </w:r>
      <w:r>
        <w:t xml:space="preserve"> </w:t>
      </w:r>
      <w:r>
        <w:t xml:space="preserve">(P-onset </w:t>
      </w:r>
      <m:oMath>
        <m:r>
          <m:rPr>
            <m:sty m:val="p"/>
          </m:rPr>
          <m:t>→</m:t>
        </m:r>
      </m:oMath>
      <w:r>
        <w:t xml:space="preserve"> P-offset), PR segment (P-offset </w:t>
      </w:r>
      <m:oMath>
        <m:r>
          <m:rPr>
            <m:sty m:val="p"/>
          </m:rPr>
          <m:t>→</m:t>
        </m:r>
      </m:oMath>
      <w:r>
        <w:t xml:space="preserve"> QRS-onset, the</w:t>
      </w:r>
      <w:r>
        <w:t xml:space="preserve"> </w:t>
      </w:r>
      <w:r>
        <w:t xml:space="preserve">isoelectric AV delay), QRS (</w:t>
      </w:r>
      <m:oMath>
        <m:r>
          <m:t>Q</m:t>
        </m:r>
        <m:r>
          <m:rPr>
            <m:sty m:val="p"/>
          </m:rPr>
          <m:t>−</m:t>
        </m:r>
        <m:r>
          <m:t>8</m:t>
        </m:r>
      </m:oMath>
      <w:r>
        <w:t xml:space="preserve"> ms </w:t>
      </w:r>
      <m:oMath>
        <m:r>
          <m:rPr>
            <m:sty m:val="p"/>
          </m:rPr>
          <m:t>→</m:t>
        </m:r>
      </m:oMath>
      <w:r>
        <w:t xml:space="preserve"> </w:t>
      </w:r>
      <m:oMath>
        <m:r>
          <m:t>S</m:t>
        </m:r>
        <m:r>
          <m:rPr>
            <m:sty m:val="p"/>
          </m:rPr>
          <m:t>+</m:t>
        </m:r>
        <m:r>
          <m:t>24</m:t>
        </m:r>
      </m:oMath>
      <w:r>
        <w:t xml:space="preserve"> ms), and ST–T</w:t>
      </w:r>
      <w:r>
        <w:t xml:space="preserve"> </w:t>
      </w:r>
      <w:r>
        <w:t xml:space="preserve">(QRS-offset </w:t>
      </w:r>
      <m:oMath>
        <m:r>
          <m:rPr>
            <m:sty m:val="p"/>
          </m:rPr>
          <m:t>→</m:t>
        </m:r>
      </m:oMath>
      <w:r>
        <w:t xml:space="preserve"> T-offset). Masks are placed around every detected R peak across</w:t>
      </w:r>
      <w:r>
        <w:t xml:space="preserve"> </w:t>
      </w:r>
      <w:r>
        <w:t xml:space="preserve">the full 10-second strip, so rhythm information (RR-interval variability, fibrillatory</w:t>
      </w:r>
      <w:r>
        <w:t xml:space="preserve"> </w:t>
      </w:r>
      <w:r>
        <w:t xml:space="preserve">activity) is preserved within each subsystem’s masked signal. Extraction succeeded on 99.86%</w:t>
      </w:r>
      <w:r>
        <w:t xml:space="preserve"> </w:t>
      </w:r>
      <w:r>
        <w:t xml:space="preserve">of records.</w:t>
      </w:r>
    </w:p>
    <w:bookmarkEnd w:id="12"/>
    <w:bookmarkStart w:id="13" w:name="subsystem-clocks."/>
    <w:p>
      <w:pPr>
        <w:pStyle w:val="Heading4"/>
      </w:pPr>
      <w:r>
        <w:t xml:space="preserve">Subsystem clocks.</w:t>
      </w:r>
    </w:p>
    <w:p>
      <w:pPr>
        <w:pStyle w:val="FirstParagraph"/>
      </w:pPr>
      <w:r>
        <w:t xml:space="preserve">For each subsystem we trained a compact 1D ResNet (four stages, base width 32,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1.1 M</w:t>
      </w:r>
      <w:r>
        <w:t xml:space="preserve"> </w:t>
      </w:r>
      <w:r>
        <w:t xml:space="preserve">parameters) to regress chronological age from the masked 12-lead waveform: the strip is</w:t>
      </w:r>
      <w:r>
        <w:t xml:space="preserve"> </w:t>
      </w:r>
      <w:r>
        <w:t xml:space="preserve">multiplied by the subsystem’s per-sample mask before the network, zeroing all other regions</w:t>
      </w:r>
      <w:r>
        <w:t xml:space="preserve"> </w:t>
      </w:r>
      <w:r>
        <w:t xml:space="preserve">while preserving in-window morphology and rhythm. A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clock sees the unmasked</w:t>
      </w:r>
      <w:r>
        <w:t xml:space="preserve"> </w:t>
      </w:r>
      <w:r>
        <w:t xml:space="preserve">strip. Networks were trained with SmoothL1 loss, AdamW, one-cycle learning rate, and early</w:t>
      </w:r>
      <w:r>
        <w:t xml:space="preserve"> </w:t>
      </w:r>
      <w:r>
        <w:t xml:space="preserve">stopping. We also trained handcrafted baselines (elastic-net and gradient-boosting regressors</w:t>
      </w:r>
      <w:r>
        <w:t xml:space="preserve"> </w:t>
      </w:r>
      <w:r>
        <w:t xml:space="preserve">on nine ECG-interval biomarkers) and a chronological-null baseline, forming a four-rung</w:t>
      </w:r>
      <w:r>
        <w:t xml:space="preserve"> </w:t>
      </w:r>
      <w:r>
        <w:rPr>
          <w:b/>
          <w:bCs/>
        </w:rPr>
        <w:t xml:space="preserve">added-value ladder</w:t>
      </w:r>
      <w:r>
        <w:t xml:space="preserve"> </w:t>
      </w:r>
      <w:r>
        <w:t xml:space="preserve">(Table </w:t>
      </w:r>
      <w:hyperlink w:anchor="tab:ladder">
        <w:r>
          <w:rPr>
            <w:rStyle w:val="Hyperlink"/>
          </w:rPr>
          <w:t xml:space="preserve">1</w:t>
        </w:r>
      </w:hyperlink>
      <w:r>
        <w:t xml:space="preserve">).</w:t>
      </w:r>
    </w:p>
    <w:bookmarkEnd w:id="13"/>
    <w:bookmarkStart w:id="15" w:name="age-gap-and-specificity-analysis."/>
    <w:p>
      <w:pPr>
        <w:pStyle w:val="Heading4"/>
      </w:pPr>
      <w:r>
        <w:t xml:space="preserve">Age-gap and specificity analysis.</w:t>
      </w:r>
    </w:p>
    <w:p>
      <w:pPr>
        <w:pStyle w:val="FirstParagraph"/>
      </w:pPr>
      <w:r>
        <w:t xml:space="preserve">For each clock the age-gap is predicted minus chronological age. Gaps were bias-corrected by</w:t>
      </w:r>
      <w:r>
        <w:t xml:space="preserve"> </w:t>
      </w:r>
      <w:r>
        <w:t xml:space="preserve">removing the within-control age trend — standard in aging-clock work and necessary because an</w:t>
      </w:r>
      <w:r>
        <w:t xml:space="preserve"> </w:t>
      </w:r>
      <w:r>
        <w:t xml:space="preserve">uncorrected age-gap is systematically biased by regression to the mean</w:t>
      </w:r>
      <w:r>
        <w:t xml:space="preserve"> </w:t>
      </w:r>
      <w:r>
        <w:t xml:space="preserve">(Beheshti et al. 2019; Lange and Cole 2020)</w:t>
      </w:r>
      <w:r>
        <w:t xml:space="preserve"> </w:t>
      </w:r>
      <w:r>
        <w:t xml:space="preserve">— and standardized to control-group SD</w:t>
      </w:r>
      <w:r>
        <w:t xml:space="preserve"> </w:t>
      </w:r>
      <w:r>
        <w:t xml:space="preserve">units for cross-subsystem comparability. The correction was fit on the training/validation</w:t>
      </w:r>
      <w:r>
        <w:t xml:space="preserve"> </w:t>
      </w:r>
      <w:r>
        <w:t xml:space="preserve">partitions only, never on test, and residual age-level bias was checked to persist minimally</w:t>
      </w:r>
      <w:r>
        <w:t xml:space="preserve"> </w:t>
      </w:r>
      <w:r>
        <w:t xml:space="preserve">after correction</w:t>
      </w:r>
      <w:r>
        <w:t xml:space="preserve"> </w:t>
      </w:r>
      <w:r>
        <w:t xml:space="preserve">(Zhang et al. 2023)</w:t>
      </w:r>
      <w:r>
        <w:t xml:space="preserve">. The disease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subsystem</w:t>
      </w:r>
      <w:r>
        <w:t xml:space="preserve"> </w:t>
      </w:r>
      <w:r>
        <w:rPr>
          <w:b/>
          <w:bCs/>
        </w:rPr>
        <w:t xml:space="preserve">specificity matrix</w:t>
      </w:r>
      <w:r>
        <w:t xml:space="preserve"> </w:t>
      </w:r>
      <w:r>
        <w:t xml:space="preserve">regresses each subsystem’s standardized gap on disease status</w:t>
      </w:r>
      <w:r>
        <w:t xml:space="preserve"> </w:t>
      </w:r>
      <w:r>
        <w:t xml:space="preserve">against normal controls, adjusting for age and sex, with Benjamini–Hochberg FDR across all 24</w:t>
      </w:r>
      <w:r>
        <w:t xml:space="preserve"> </w:t>
      </w:r>
      <w:r>
        <w:t xml:space="preserve">tests</w:t>
      </w:r>
      <w:r>
        <w:t xml:space="preserve"> </w:t>
      </w:r>
      <w:r>
        <w:t xml:space="preserve">(Benjamini and Hochberg 1995)</w:t>
      </w:r>
      <w:r>
        <w:t xml:space="preserve">. To isolate localization from overall disease severity and</w:t>
      </w:r>
      <w:r>
        <w:t xml:space="preserve"> </w:t>
      </w:r>
      <w:r>
        <w:t xml:space="preserve">subsystem-baseline differences we</w:t>
      </w:r>
      <w:r>
        <w:t xml:space="preserve"> </w:t>
      </w:r>
      <w:r>
        <w:rPr>
          <w:b/>
          <w:bCs/>
        </w:rPr>
        <w:t xml:space="preserve">double-centered</w:t>
      </w:r>
      <w:r>
        <w:t xml:space="preserve"> </w:t>
      </w:r>
      <w:r>
        <w:t xml:space="preserve">the matrix (removing row and column</w:t>
      </w:r>
      <w:r>
        <w:t xml:space="preserve"> </w:t>
      </w:r>
      <w:r>
        <w:t xml:space="preserve">means), yielding the pure disease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subsystem interaction, and computed 95% confidence</w:t>
      </w:r>
      <w:r>
        <w:t xml:space="preserve"> </w:t>
      </w:r>
      <w:r>
        <w:t xml:space="preserve">intervals by a</w:t>
      </w:r>
      <w:r>
        <w:t xml:space="preserve"> </w:t>
      </w:r>
      <w:r>
        <w:rPr>
          <w:b/>
          <w:bCs/>
        </w:rPr>
        <w:t xml:space="preserve">patient-cluster bootstrap</w:t>
      </w:r>
      <w:r>
        <w:t xml:space="preserve"> </w:t>
      </w:r>
      <w:r>
        <w:t xml:space="preserve">(1000 resamples of patients). Because the</w:t>
      </w:r>
      <w:r>
        <w:t xml:space="preserve"> </w:t>
      </w:r>
      <w:r>
        <w:t xml:space="preserve">disease groups overlap, we avoided a single mutually-adjusted model — which risks the</w:t>
      </w:r>
      <w:r>
        <w:t xml:space="preserve"> </w:t>
      </w:r>
      <w:r>
        <w:t xml:space="preserve">Table 2 fallacy and overadjustment when diseases are causally sequential</w:t>
      </w:r>
      <w:r>
        <w:t xml:space="preserve"> </w:t>
      </w:r>
      <w:r>
        <w:t xml:space="preserve">(Westreich and Greenland 2013)</w:t>
      </w:r>
      <w:r>
        <w:t xml:space="preserve"> </w:t>
      </w:r>
      <w:r>
        <w:t xml:space="preserve">— in favor of a per-pair confounder set and an explicit test of</w:t>
      </w:r>
      <w:r>
        <w:t xml:space="preserve"> </w:t>
      </w:r>
      <w:r>
        <w:t xml:space="preserve">the off-diagonal nulls. A within-patient contrast (expected subsystem gap minus the patient’s</w:t>
      </w:r>
      <w:r>
        <w:t xml:space="preserve"> </w:t>
      </w:r>
      <w:r>
        <w:t xml:space="preserve">own mean of the other three) provides a paired test that sidesteps cross-subsystem scaling.</w:t>
      </w:r>
      <w:r>
        <w:t xml:space="preserve"> </w:t>
      </w:r>
      <w:r>
        <w:t xml:space="preserve">All models and extraction ran on cloud A10G GPUs; the full five-clock training completes in</w:t>
      </w:r>
      <w:r>
        <w:t xml:space="preserve"> </w:t>
      </w:r>
      <w:r>
        <w:t xml:space="preserve">under 20 minutes.</w:t>
      </w:r>
    </w:p>
    <w:bookmarkStart w:id="14" w:name="tab:ladder"/>
    <w:p>
      <w:pPr>
        <w:pStyle w:val="TableCaption"/>
      </w:pPr>
      <w:r>
        <w:rPr>
          <w:b/>
          <w:bCs/>
        </w:rPr>
        <w:t xml:space="preserve">Added-value ladder (Act I, held-out test set,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2151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Each rung must</w:t>
      </w:r>
      <w:r>
        <w:t xml:space="preserve"> </w:t>
      </w:r>
      <w:r>
        <w:t xml:space="preserve">beat the simpler rung below it for the decomposition to earn its place. The deep global clock</w:t>
      </w:r>
      <w:r>
        <w:t xml:space="preserve"> </w:t>
      </w:r>
      <w:r>
        <w:t xml:space="preserve">beats the best interval-biomarker model by 3.4 years. Each subsystem clock carries a real but</w:t>
      </w:r>
      <w:r>
        <w:t xml:space="preserve"> </w:t>
      </w:r>
      <w:r>
        <w:t xml:space="preserve">partial age signal, weaker than the global clock — the subsystem clocks are instruments of</w:t>
      </w:r>
      <w:r>
        <w:t xml:space="preserve"> </w:t>
      </w:r>
      <w:r>
        <w:t xml:space="preserve">decomposition, not competitors on accuracy.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ded-value ladder (Act I, held-out test set, n=\num{2151}). Each rung must beat the simpler rung below it for the decomposition to earn its place. The deep global clock beats the best interval-biomarker model by 3.4 years. Each subsystem clock carries a real but partial age signal, weaker than the global clock — the subsystem clocks are instruments of decomposition, not competitors on accurac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MAE (years)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Chronological null (mean)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 biomarkers (elastic-net)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 biomarkers (grad. boosting)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global clock (whole strip)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 — ventricular (QRS)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 — repolarization (ST–T)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 — atrial (P)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 — AV-conduction (PR)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</w:tr>
    </w:tbl>
    <w:bookmarkEnd w:id="14"/>
    <w:bookmarkEnd w:id="15"/>
    <w:bookmarkEnd w:id="16"/>
    <w:bookmarkStart w:id="41" w:name="results-act-i-the-electrical-body-clock"/>
    <w:p>
      <w:pPr>
        <w:pStyle w:val="Heading1"/>
      </w:pPr>
      <w:r>
        <w:t xml:space="preserve">Results — Act I: the electrical body clock</w:t>
      </w:r>
    </w:p>
    <w:bookmarkStart w:id="21" w:name="X3bde95e0449adf94e444a4295e5abdaf703031f"/>
    <w:p>
      <w:pPr>
        <w:pStyle w:val="Heading2"/>
      </w:pPr>
      <w:r>
        <w:t xml:space="preserve">Each subsystem carries a partial, non-redundant age signal</w:t>
      </w:r>
    </w:p>
    <w:p>
      <w:pPr>
        <w:pStyle w:val="FirstParagraph"/>
      </w:pPr>
      <w:r>
        <w:t xml:space="preserve">The added-value ladder (Fig. </w:t>
      </w:r>
      <w:hyperlink w:anchor="fig:ladder">
        <w:r>
          <w:rPr>
            <w:rStyle w:val="Hyperlink"/>
          </w:rPr>
          <w:t xml:space="preserve">1</w:t>
        </w:r>
      </w:hyperlink>
      <w:r>
        <w:t xml:space="preserve">b, Table </w:t>
      </w:r>
      <w:hyperlink w:anchor="tab:ladder">
        <w:r>
          <w:rPr>
            <w:rStyle w:val="Hyperlink"/>
          </w:rPr>
          <w:t xml:space="preserve">1</w:t>
        </w:r>
      </w:hyperlink>
      <w:r>
        <w:t xml:space="preserve">) is monotonic: the</w:t>
      </w:r>
      <w:r>
        <w:t xml:space="preserve"> </w:t>
      </w:r>
      <w:r>
        <w:t xml:space="preserve">chronological-null baseline gives a test MAE of 14.0 years; handcrafted interval biomarkers</w:t>
      </w:r>
      <w:r>
        <w:t xml:space="preserve"> </w:t>
      </w:r>
      <w:r>
        <w:t xml:space="preserve">reach 13.2 (elastic-net) and 11.5 years (gradient boosting); and the deep global clock reaches</w:t>
      </w:r>
      <w:r>
        <w:t xml:space="preserve"> </w:t>
      </w:r>
      <w:r>
        <w:rPr>
          <w:b/>
          <w:bCs/>
        </w:rPr>
        <w:t xml:space="preserve">8.1 years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0.63</m:t>
        </m:r>
      </m:oMath>
      <w:r>
        <w:t xml:space="preserve">), a 3.4-year improvement over the best biomarker model</w:t>
      </w:r>
      <w:r>
        <w:t xml:space="preserve"> </w:t>
      </w:r>
      <w:r>
        <w:t xml:space="preserve">(Fig. </w:t>
      </w:r>
      <w:hyperlink w:anchor="fig:ladder">
        <w:r>
          <w:rPr>
            <w:rStyle w:val="Hyperlink"/>
          </w:rPr>
          <w:t xml:space="preserve">1</w:t>
        </w:r>
      </w:hyperlink>
      <w:r>
        <w:t xml:space="preserve">c). Each subsystem clock carries a real but partial age signal</w:t>
      </w:r>
      <w:r>
        <w:t xml:space="preserve"> </w:t>
      </w:r>
      <w:r>
        <w:t xml:space="preserve">(ventricular/QRS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</m:t>
        </m:r>
      </m:oMath>
      <w:r>
        <w:t xml:space="preserve">, repolarization/ST–T</w:t>
      </w:r>
      <w:r>
        <w:t xml:space="preserve"> </w:t>
      </w:r>
      <m:oMath>
        <m:r>
          <m:t>0.39</m:t>
        </m:r>
      </m:oMath>
      <w:r>
        <w:t xml:space="preserve">, atrial/P</w:t>
      </w:r>
      <w:r>
        <w:t xml:space="preserve"> </w:t>
      </w:r>
      <m:oMath>
        <m:r>
          <m:t>0.38</m:t>
        </m:r>
      </m:oMath>
      <w:r>
        <w:t xml:space="preserve">, AV-conduction/PR</w:t>
      </w:r>
      <w:r>
        <w:t xml:space="preserve"> </w:t>
      </w:r>
      <m:oMath>
        <m:r>
          <m:t>0.24</m:t>
        </m:r>
      </m:oMath>
      <w:r>
        <w:t xml:space="preserve">). Every subsystem is less accurate than the global clock, confirming that age</w:t>
      </w:r>
      <w:r>
        <w:t xml:space="preserve"> </w:t>
      </w:r>
      <w:r>
        <w:t xml:space="preserve">information is distributed across the beat rather than concentrated in one region — the</w:t>
      </w:r>
      <w:r>
        <w:t xml:space="preserve"> </w:t>
      </w:r>
      <w:r>
        <w:t xml:space="preserve">premise that makes decomposition meaningful. An independent pipeline built for this project</w:t>
      </w:r>
      <w:r>
        <w:t xml:space="preserve"> </w:t>
      </w:r>
      <w:r>
        <w:t xml:space="preserve">(median-beat inputs, CPU training, HDF5 storage) reproduces the ladder within noise (whole-beat</w:t>
      </w:r>
      <w:r>
        <w:t xml:space="preserve"> </w:t>
      </w:r>
      <w:r>
        <w:t xml:space="preserve">MAE 8.0 vs 8.1; QRS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0.56 vs 0.54; PR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0.20 vs 0.24), establishing robustness to</w:t>
      </w:r>
      <w:r>
        <w:t xml:space="preserve"> </w:t>
      </w:r>
      <w:r>
        <w:t xml:space="preserve">input representation and training substrate.</w:t>
      </w:r>
    </w:p>
    <w:bookmarkStart w:id="20" w:name="fig:ladder"/>
    <w:p>
      <w:pPr>
        <w:pStyle w:val="CaptionedFigure"/>
      </w:pPr>
      <w:r>
        <w:drawing>
          <wp:inline>
            <wp:extent cx="5334000" cy="337610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1_ladder_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Subsystem decomposition of ECG age.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four non-overlapping</w:t>
      </w:r>
      <w:r>
        <w:t xml:space="preserve"> </w:t>
      </w:r>
      <w:r>
        <w:t xml:space="preserve">subsystem windows (P, PR, QRS, ST–T) on a schematic beat.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Added-value ladder</w:t>
      </w:r>
      <w:r>
        <w:t xml:space="preserve"> </w:t>
      </w:r>
      <w:r>
        <w:t xml:space="preserve">(test MAE, top) and per-subsystem test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(bottom): the deep global clock beats interval</w:t>
      </w:r>
      <w:r>
        <w:t xml:space="preserve"> </w:t>
      </w:r>
      <w:r>
        <w:t xml:space="preserve">biomarkers by 3.4 years, and each subsystem carries a partial age signal.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Global-clock predicted vs. chronological age on the held-out test set (</w:t>
      </w:r>
      <m:oMath>
        <m:r>
          <m:t>n</m:t>
        </m:r>
        <m:r>
          <m:rPr>
            <m:sty m:val="p"/>
          </m:rPr>
          <m:t>=</m:t>
        </m:r>
        <m:r>
          <m:t>2151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0.63</m:t>
        </m:r>
      </m:oMath>
      <w:r>
        <w:t xml:space="preserve">, MAE 8.1 y).</w:t>
      </w:r>
    </w:p>
    <w:bookmarkEnd w:id="20"/>
    <w:bookmarkEnd w:id="21"/>
    <w:bookmarkStart w:id="30" w:name="X868fbfac188d855093d484412caf3dfea44548e"/>
    <w:p>
      <w:pPr>
        <w:pStyle w:val="Heading2"/>
      </w:pPr>
      <w:r>
        <w:t xml:space="preserve">The subsystem fingerprint localizes disease to its electrical substrate</w:t>
      </w:r>
    </w:p>
    <w:p>
      <w:pPr>
        <w:pStyle w:val="FirstParagraph"/>
      </w:pPr>
      <w:r>
        <w:t xml:space="preserve">The central result is that the divergence between a patient’s four subsystem ages localizes to</w:t>
      </w:r>
      <w:r>
        <w:t xml:space="preserve"> </w:t>
      </w:r>
      <w:r>
        <w:t xml:space="preserve">the electrically diseased substrate. Fig. </w:t>
      </w:r>
      <w:hyperlink w:anchor="fig:matrix">
        <w:r>
          <w:rPr>
            <w:rStyle w:val="Hyperlink"/>
          </w:rPr>
          <w:t xml:space="preserve">2</w:t>
        </w:r>
      </w:hyperlink>
      <w:r>
        <w:t xml:space="preserve">a shows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disease</w:t>
      </w:r>
      <w:r>
        <w:t xml:space="preserve"> </w:t>
      </w:r>
      <w:r>
        <w:t xml:space="preserve">elevates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subsystem’s age-gap relative to strictly-normal controls (all cells</w:t>
      </w:r>
      <w:r>
        <w:t xml:space="preserve"> </w:t>
      </w:r>
      <w:r>
        <w:t xml:space="preserve">positive, all FDR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t xml:space="preserve">): sick hearts are electrically old everywhere. This is expected —</w:t>
      </w:r>
      <w:r>
        <w:t xml:space="preserve"> </w:t>
      </w:r>
      <w:r>
        <w:t xml:space="preserve">disease severity, medication, and shared pathology inflate all clocks — and it is exactly why</w:t>
      </w:r>
      <w:r>
        <w:t xml:space="preserve"> </w:t>
      </w:r>
      <w:r>
        <w:t xml:space="preserve">a raw</w:t>
      </w:r>
      <w:r>
        <w:t xml:space="preserve"> </w:t>
      </w:r>
      <w:r>
        <w:t xml:space="preserve">“which subsystem is oldest”</w:t>
      </w:r>
      <w:r>
        <w:t xml:space="preserve"> </w:t>
      </w:r>
      <w:r>
        <w:t xml:space="preserve">readout is uninformative (only 2 of 6 diseases have their</w:t>
      </w:r>
      <w:r>
        <w:t xml:space="preserve"> </w:t>
      </w:r>
      <w:r>
        <w:t xml:space="preserve">raw-maximal gap on the canonical subsystem).</w:t>
      </w:r>
    </w:p>
    <w:p>
      <w:pPr>
        <w:pStyle w:val="BodyText"/>
      </w:pPr>
      <w:r>
        <w:t xml:space="preserve">The localization signal emerges only after removing those global effects. Double-centering the</w:t>
      </w:r>
      <w:r>
        <w:t xml:space="preserve"> </w:t>
      </w:r>
      <w:r>
        <w:t xml:space="preserve">matrix (subtracting disease and subsystem means) isolates the disease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subsystem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— where each disease ages a subsystem</w:t>
      </w:r>
      <w:r>
        <w:t xml:space="preserve"> </w:t>
      </w:r>
      <w:r>
        <w:rPr>
          <w:i/>
          <w:iCs/>
        </w:rPr>
        <w:t xml:space="preserve">more than expected</w:t>
      </w:r>
      <w:r>
        <w:t xml:space="preserve"> </w:t>
      </w:r>
      <w:r>
        <w:t xml:space="preserve">from its</w:t>
      </w:r>
      <w:r>
        <w:t xml:space="preserve"> </w:t>
      </w:r>
      <w:r>
        <w:t xml:space="preserve">overall severity and that subsystem’s baseline (Fig. </w:t>
      </w:r>
      <w:hyperlink w:anchor="fig:matrix">
        <w:r>
          <w:rPr>
            <w:rStyle w:val="Hyperlink"/>
          </w:rPr>
          <w:t xml:space="preserve">2</w:t>
        </w:r>
      </w:hyperlink>
      <w:r>
        <w:t xml:space="preserve">b). Under this lens, and</w:t>
      </w:r>
      <w:r>
        <w:t xml:space="preserve"> </w:t>
      </w:r>
      <w:r>
        <w:t xml:space="preserve">its complementary within-patient contrast (Fig. </w:t>
      </w:r>
      <w:hyperlink w:anchor="fig:twolens">
        <w:r>
          <w:rPr>
            <w:rStyle w:val="Hyperlink"/>
          </w:rPr>
          <w:t xml:space="preserve">3</w:t>
        </w:r>
      </w:hyperlink>
      <w:r>
        <w:t xml:space="preserve">), the three diseases with a</w:t>
      </w:r>
      <w:r>
        <w:t xml:space="preserve"> </w:t>
      </w:r>
      <w:r>
        <w:t xml:space="preserve">single unambiguous electrical substrate localize correctly: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Bundle-branch block / ventricular conduction defect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ventricular</w:t>
      </w:r>
      <w:r>
        <w:t xml:space="preserve"> </w:t>
      </w:r>
      <w:r>
        <w:t xml:space="preserve">(QRS) age: interaction</w:t>
      </w:r>
      <w:r>
        <w:t xml:space="preserve"> </w:t>
      </w:r>
      <m:oMath>
        <m:r>
          <m:rPr>
            <m:sty m:val="p"/>
          </m:rPr>
          <m:t>+</m:t>
        </m:r>
        <m:r>
          <m:t>0.090</m:t>
        </m:r>
      </m:oMath>
      <w:r>
        <w:t xml:space="preserve"> </w:t>
      </w:r>
      <w:r>
        <w:t xml:space="preserve">SD (95% CI</w:t>
      </w:r>
      <w:r>
        <w:t xml:space="preserve"> </w:t>
      </w:r>
      <m:oMath>
        <m:r>
          <m:rPr>
            <m:sty m:val="p"/>
          </m:rPr>
          <m:t>[</m:t>
        </m:r>
        <m:r>
          <m:t>0.045</m:t>
        </m:r>
        <m:r>
          <m:rPr>
            <m:sty m:val="p"/>
          </m:rPr>
          <m:t>,</m:t>
        </m:r>
        <m:r>
          <m:t>0.137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 the top-ranked</w:t>
      </w:r>
      <w:r>
        <w:t xml:space="preserve"> </w:t>
      </w:r>
      <w:r>
        <w:t xml:space="preserve">subsystem in 85% of bootstrap resamples.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Ischemia / ST–T abnormality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repolarization (ST–T) age:</w:t>
      </w:r>
      <w:r>
        <w:t xml:space="preserve"> </w:t>
      </w:r>
      <w:r>
        <w:t xml:space="preserve">interaction</w:t>
      </w:r>
      <w:r>
        <w:t xml:space="preserve"> </w:t>
      </w:r>
      <m:oMath>
        <m:r>
          <m:rPr>
            <m:sty m:val="p"/>
          </m:rPr>
          <m:t>+</m:t>
        </m:r>
        <m:r>
          <m:t>0.071</m:t>
        </m:r>
      </m:oMath>
      <w:r>
        <w:t xml:space="preserve"> </w:t>
      </w:r>
      <w:r>
        <w:t xml:space="preserve">SD (95% CI</w:t>
      </w:r>
      <w:r>
        <w:t xml:space="preserve"> </w:t>
      </w:r>
      <m:oMath>
        <m:r>
          <m:rPr>
            <m:sty m:val="p"/>
          </m:rPr>
          <m:t>[</m:t>
        </m:r>
        <m:r>
          <m:t>0.031</m:t>
        </m:r>
        <m:r>
          <m:rPr>
            <m:sty m:val="p"/>
          </m:rPr>
          <m:t>,</m:t>
        </m:r>
        <m:r>
          <m:t>0.107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 top-ranked in 60% of resamples.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AV conduction block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AV-conduction (PR) age: the cross-disease</w:t>
      </w:r>
      <w:r>
        <w:t xml:space="preserve"> </w:t>
      </w:r>
      <w:r>
        <w:t xml:space="preserve">interaction is small, but the within-patient contrast — the patient’s PR-clock gap minus the</w:t>
      </w:r>
      <w:r>
        <w:t xml:space="preserve"> </w:t>
      </w:r>
      <w:r>
        <w:t xml:space="preserve">mean of their own other three subsystems — is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 </w:t>
      </w:r>
      <w:r>
        <w:t xml:space="preserve">SD (95% CI</w:t>
      </w:r>
      <w:r>
        <w:t xml:space="preserve"> </w:t>
      </w:r>
      <m:oMath>
        <m:r>
          <m:rPr>
            <m:sty m:val="p"/>
          </m:rPr>
          <m:t>[</m:t>
        </m:r>
        <m:r>
          <m:t>0.14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</w:t>
      </w:r>
      <w:r>
        <w:t xml:space="preserve"> </w:t>
      </w:r>
      <w:r>
        <w:t xml:space="preserve">because AV-block PR prolongation is highly patient-specific and best seen against the patient’s</w:t>
      </w:r>
      <w:r>
        <w:t xml:space="preserve"> </w:t>
      </w:r>
      <w:r>
        <w:t xml:space="preserve">own baseline rather than the population.</w:t>
      </w:r>
    </w:p>
    <w:p>
      <w:pPr>
        <w:pStyle w:val="FirstParagraph"/>
      </w:pPr>
      <w:r>
        <w:t xml:space="preserve">The three multi-substrate diseases behave as physiology predicts. Atrial disease loads on PR</w:t>
      </w:r>
      <w:r>
        <w:t xml:space="preserve"> </w:t>
      </w:r>
      <w:r>
        <w:t xml:space="preserve">(atrial fibrillation disturbs AV-nodal input, interaction</w:t>
      </w:r>
      <w:r>
        <w:t xml:space="preserve"> </w:t>
      </w:r>
      <m:oMath>
        <m:r>
          <m:rPr>
            <m:sty m:val="p"/>
          </m:rPr>
          <m:t>+</m:t>
        </m:r>
        <m:r>
          <m:t>0.19</m:t>
        </m:r>
      </m:oMath>
      <w:r>
        <w:t xml:space="preserve"> </w:t>
      </w:r>
      <w:r>
        <w:t xml:space="preserve">SD), hypertrophy spreads</w:t>
      </w:r>
      <w:r>
        <w:t xml:space="preserve"> </w:t>
      </w:r>
      <w:r>
        <w:t xml:space="preserve">across repolarization and atrial clocks (pressure/volume overload is not electrically focal),</w:t>
      </w:r>
      <w:r>
        <w:t xml:space="preserve"> </w:t>
      </w:r>
      <w:r>
        <w:t xml:space="preserve">and myocardial infarction spreads across QRS and ST–T (a healed infarct scars both</w:t>
      </w:r>
      <w:r>
        <w:t xml:space="preserve"> </w:t>
      </w:r>
      <w:r>
        <w:t xml:space="preserve">depolarization and repolarization). The interaction matrix is thus not a clean identity —</w:t>
      </w:r>
      <w:r>
        <w:t xml:space="preserve"> </w:t>
      </w:r>
      <w:r>
        <w:t xml:space="preserve">nor should it be — but a physiologically legible map (Fig. </w:t>
      </w:r>
      <w:hyperlink w:anchor="fig:matrix">
        <w:r>
          <w:rPr>
            <w:rStyle w:val="Hyperlink"/>
          </w:rPr>
          <w:t xml:space="preserve">2</w:t>
        </w:r>
      </w:hyperlink>
      <w:r>
        <w:t xml:space="preserve">b).</w:t>
      </w:r>
    </w:p>
    <w:bookmarkStart w:id="25" w:name="fig:matrix"/>
    <w:p>
      <w:pPr>
        <w:pStyle w:val="CaptionedFigure"/>
      </w:pPr>
      <w:r>
        <w:drawing>
          <wp:inline>
            <wp:extent cx="5334000" cy="250983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2_specificity_matri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Disease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subsystem specificity matrix.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Age-gap elevation</w:t>
      </w:r>
      <w:r>
        <w:t xml:space="preserve"> </w:t>
      </w:r>
      <w:r>
        <w:t xml:space="preserve">vs. strictly-normal controls in control-SD units (age/sex-adjusted). Every disease ages every</w:t>
      </w:r>
      <w:r>
        <w:t xml:space="preserve"> </w:t>
      </w:r>
      <w:r>
        <w:t xml:space="preserve">subsystem (all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FDR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After double-centering to remove</w:t>
      </w:r>
      <w:r>
        <w:t xml:space="preserve"> </w:t>
      </w:r>
      <w:r>
        <w:t xml:space="preserve">disease-severity and subsystem-baseline effects, single-substrate diseases (AV</w:t>
      </w:r>
      <w:r>
        <w:t xml:space="preserve"> </w:t>
      </w:r>
      <w:r>
        <w:t xml:space="preserve">block</w:t>
      </w:r>
      <m:oMath>
        <m:r>
          <m:rPr>
            <m:sty m:val="p"/>
          </m:rPr>
          <m:t>→</m:t>
        </m:r>
      </m:oMath>
      <w:r>
        <w:t xml:space="preserve">PR, BBB</w:t>
      </w:r>
      <m:oMath>
        <m:r>
          <m:rPr>
            <m:sty m:val="p"/>
          </m:rPr>
          <m:t>→</m:t>
        </m:r>
      </m:oMath>
      <w:r>
        <w:t xml:space="preserve">QRS, ischemia</w:t>
      </w:r>
      <m:oMath>
        <m:r>
          <m:rPr>
            <m:sty m:val="p"/>
          </m:rPr>
          <m:t>→</m:t>
        </m:r>
      </m:oMath>
      <w:r>
        <w:t xml:space="preserve">ST–T) peak on their canonical</w:t>
      </w:r>
      <w:r>
        <w:t xml:space="preserve"> </w:t>
      </w:r>
      <w:r>
        <w:t xml:space="preserve">subsystem; multi-substrate diseases show physiological cross-talk. Black boxes mark the</w:t>
      </w:r>
      <w:r>
        <w:t xml:space="preserve"> </w:t>
      </w:r>
      <w:r>
        <w:t xml:space="preserve">canonical substrate for each disease.</w:t>
      </w:r>
    </w:p>
    <w:bookmarkEnd w:id="25"/>
    <w:bookmarkStart w:id="29" w:name="fig:twolens"/>
    <w:p>
      <w:pPr>
        <w:pStyle w:val="CaptionedFigure"/>
      </w:pPr>
      <w:r>
        <w:drawing>
          <wp:inline>
            <wp:extent cx="5334000" cy="238007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3_two_lens_bootstr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Each canonical cell localizes under its pre-registered lens.</w:t>
      </w:r>
      <w:r>
        <w:t xml:space="preserve"> </w:t>
      </w:r>
      <w:r>
        <w:t xml:space="preserve">Cross-disease</w:t>
      </w:r>
      <w:r>
        <w:t xml:space="preserve"> </w:t>
      </w:r>
      <w:r>
        <w:t xml:space="preserve">interaction cell (left) and within-patient contrast (right), with 95% patient-cluster</w:t>
      </w:r>
      <w:r>
        <w:t xml:space="preserve"> </w:t>
      </w:r>
      <w:r>
        <w:t xml:space="preserve">bootstrap confidence intervals (1000 resamples, age/sex-adjusted). Single-substrate diseases</w:t>
      </w:r>
      <w:r>
        <w:t xml:space="preserve"> </w:t>
      </w:r>
      <w:r>
        <w:t xml:space="preserve">(blue) localize to their canonical subsystem — BBB and ischemia through the interaction lens,</w:t>
      </w:r>
      <w:r>
        <w:t xml:space="preserve"> </w:t>
      </w:r>
      <w:r>
        <w:t xml:space="preserve">AV block through the within-patient lens — with confidence intervals excluding zero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).</w:t>
      </w:r>
    </w:p>
    <w:bookmarkEnd w:id="29"/>
    <w:bookmarkEnd w:id="30"/>
    <w:bookmarkStart w:id="35" w:name="sec:pure"/>
    <w:p>
      <w:pPr>
        <w:pStyle w:val="Heading2"/>
      </w:pPr>
      <w:r>
        <w:t xml:space="preserve">Restricting to substrate-pure cases</w:t>
      </w:r>
    </w:p>
    <w:p>
      <w:pPr>
        <w:pStyle w:val="FirstParagraph"/>
      </w:pPr>
      <w:r>
        <w:t xml:space="preserve">Because disease groups overlap, a natural worry is that the localization is an artifact of</w:t>
      </w:r>
      <w:r>
        <w:t xml:space="preserve"> </w:t>
      </w:r>
      <w:r>
        <w:t xml:space="preserve">comorbidity. We repeated the interaction analysis on</w:t>
      </w:r>
      <w:r>
        <w:t xml:space="preserve"> </w:t>
      </w:r>
      <w:r>
        <w:rPr>
          <w:b/>
          <w:bCs/>
        </w:rPr>
        <w:t xml:space="preserve">substrate-pure</w:t>
      </w:r>
      <w:r>
        <w:t xml:space="preserve"> </w:t>
      </w:r>
      <w:r>
        <w:t xml:space="preserve">cases — patients</w:t>
      </w:r>
      <w:r>
        <w:t xml:space="preserve"> </w:t>
      </w:r>
      <w:r>
        <w:t xml:space="preserve">carrying exactly one of the six disease labels (Fig. </w:t>
      </w:r>
      <w:hyperlink w:anchor="fig:pure">
        <w:r>
          <w:rPr>
            <w:rStyle w:val="Hyperlink"/>
          </w:rPr>
          <w:t xml:space="preserve">4</w:t>
        </w:r>
      </w:hyperlink>
      <w:r>
        <w:t xml:space="preserve">). The single-substrate</w:t>
      </w:r>
      <w:r>
        <w:t xml:space="preserve"> </w:t>
      </w:r>
      <w:r>
        <w:t xml:space="preserve">diagonals are preserved and, for the cleanest cases, sharpened: AV-block</w:t>
      </w:r>
      <m:oMath>
        <m:r>
          <m:rPr>
            <m:sty m:val="p"/>
          </m:rPr>
          <m:t>→</m:t>
        </m:r>
      </m:oMath>
      <w:r>
        <w:t xml:space="preserve">PR moves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+</m:t>
        </m:r>
        <m:r>
          <m:t>0.03</m:t>
        </m:r>
      </m:oMath>
      <w:r>
        <w:t xml:space="preserve"> </w:t>
      </w:r>
      <w:r>
        <w:t xml:space="preserve">to a strong within-patient signal, and ischemia</w:t>
      </w:r>
      <m:oMath>
        <m:r>
          <m:rPr>
            <m:sty m:val="p"/>
          </m:rPr>
          <m:t>→</m:t>
        </m:r>
      </m:oMath>
      <w:r>
        <w:t xml:space="preserve">ST–T strengthens from</w:t>
      </w:r>
      <w:r>
        <w:t xml:space="preserve"> </w:t>
      </w:r>
      <m:oMath>
        <m:r>
          <m:rPr>
            <m:sty m:val="p"/>
          </m:rPr>
          <m:t>+</m:t>
        </m:r>
        <m:r>
          <m:t>0.071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0.112</m:t>
        </m:r>
      </m:oMath>
      <w:r>
        <w:t xml:space="preserve"> </w:t>
      </w:r>
      <w:r>
        <w:t xml:space="preserve">SD. Purification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uniformly sharpen the diagonal —</w:t>
      </w:r>
      <w:r>
        <w:t xml:space="preserve"> </w:t>
      </w:r>
      <w:r>
        <w:t xml:space="preserve">sample sizes fall sharply (pure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–433 vs. full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211</m:t>
        </m:r>
      </m:oMath>
      <w:r>
        <w:t xml:space="preserve">–1111), inflating variance, and</w:t>
      </w:r>
      <w:r>
        <w:t xml:space="preserve"> </w:t>
      </w:r>
      <w:r>
        <w:t xml:space="preserve">some multi-substrate diseases become noisier rather than cleaner — which is the honest</w:t>
      </w:r>
      <w:r>
        <w:t xml:space="preserve"> </w:t>
      </w:r>
      <w:r>
        <w:t xml:space="preserve">outcome and consistent with genuine physiological cross-talk rather than a labeling artifact.</w:t>
      </w:r>
    </w:p>
    <w:bookmarkStart w:id="34" w:name="fig:pure"/>
    <w:p>
      <w:pPr>
        <w:pStyle w:val="CaptionedFigure"/>
      </w:pPr>
      <w:r>
        <w:drawing>
          <wp:inline>
            <wp:extent cx="5334000" cy="250011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4_substrate_pur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Substrate-pure sensitivity analysis.</w:t>
      </w:r>
      <w:r>
        <w:t xml:space="preserve"> </w:t>
      </w:r>
      <w:r>
        <w:t xml:space="preserve">Double-centered interaction for the full</w:t>
      </w:r>
      <w:r>
        <w:t xml:space="preserve"> </w:t>
      </w:r>
      <w:r>
        <w:t xml:space="preserve">cohort (left) vs. substrate-pure cases carrying exactly one disease label (right). Solid boxes</w:t>
      </w:r>
      <w:r>
        <w:t xml:space="preserve"> </w:t>
      </w:r>
      <w:r>
        <w:t xml:space="preserve">mark single-substrate canonical cells; dashed boxes mark multi-substrate cells. The clean</w:t>
      </w:r>
      <w:r>
        <w:t xml:space="preserve"> </w:t>
      </w:r>
      <w:r>
        <w:t xml:space="preserve">single-substrate diagonals persist under purification despite the sharp drop in sample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–433).</w:t>
      </w:r>
    </w:p>
    <w:bookmarkEnd w:id="34"/>
    <w:bookmarkEnd w:id="35"/>
    <w:bookmarkStart w:id="40" w:name="X3091e47d90fee59f1ec758ee9a13b3112a283c7"/>
    <w:p>
      <w:pPr>
        <w:pStyle w:val="Heading2"/>
      </w:pPr>
      <w:r>
        <w:t xml:space="preserve">The subsystem signal is physiological, not artifactual</w:t>
      </w:r>
    </w:p>
    <w:p>
      <w:pPr>
        <w:pStyle w:val="FirstParagraph"/>
      </w:pPr>
      <w:r>
        <w:t xml:space="preserve">Two negative controls (Fig. </w:t>
      </w:r>
      <w:hyperlink w:anchor="fig:negctrl">
        <w:r>
          <w:rPr>
            <w:rStyle w:val="Hyperlink"/>
          </w:rPr>
          <w:t xml:space="preserve">5</w:t>
        </w:r>
      </w:hyperlink>
      <w:r>
        <w:t xml:space="preserve">) guard against the two most likely artifacts.</w:t>
      </w:r>
      <w:r>
        <w:t xml:space="preserve"> </w:t>
      </w:r>
      <w:r>
        <w:rPr>
          <w:b/>
          <w:bCs/>
        </w:rPr>
        <w:t xml:space="preserve">Control 1 (device/site confound):</w:t>
      </w:r>
      <w:r>
        <w:t xml:space="preserve"> </w:t>
      </w:r>
      <w:r>
        <w:t xml:space="preserve">adding all subsystem age-gaps to a classifier of</w:t>
      </w:r>
      <w:r>
        <w:t xml:space="preserve"> </w:t>
      </w:r>
      <w:r>
        <w:t xml:space="preserve">recording device or site improves classification AUC by</w:t>
      </w:r>
      <w:r>
        <w:t xml:space="preserve"> </w:t>
      </w:r>
      <m:oMath>
        <m:r>
          <m:rPr>
            <m:sty m:val="p"/>
          </m:rPr>
          <m:t>≤</m:t>
        </m:r>
        <m:r>
          <m:t>0.02</m:t>
        </m:r>
      </m:oMath>
      <w:r>
        <w:t xml:space="preserve"> </w:t>
      </w:r>
      <w:r>
        <w:t xml:space="preserve">over chronological age</w:t>
      </w:r>
      <w:r>
        <w:t xml:space="preserve"> </w:t>
      </w:r>
      <w:r>
        <w:t xml:space="preserve">alone — the subsystem clocks are not covertly encoding scanner identity.</w:t>
      </w:r>
      <w:r>
        <w:t xml:space="preserve"> </w:t>
      </w:r>
      <w:r>
        <w:rPr>
          <w:b/>
          <w:bCs/>
        </w:rPr>
        <w:t xml:space="preserve">Control 2 (mask-shuffle leakage):</w:t>
      </w:r>
      <w:r>
        <w:t xml:space="preserve"> </w:t>
      </w:r>
      <w:r>
        <w:t xml:space="preserve">when the subsystem masks are phase-shuffled</w:t>
      </w:r>
      <w:r>
        <w:t xml:space="preserve"> </w:t>
      </w:r>
      <w:r>
        <w:t xml:space="preserve">(destroying morphological alignment while preserving spectral content), the morphology-localized</w:t>
      </w:r>
      <w:r>
        <w:t xml:space="preserve"> </w:t>
      </w:r>
      <w:r>
        <w:t xml:space="preserve">diagonals (BBB</w:t>
      </w:r>
      <m:oMath>
        <m:r>
          <m:rPr>
            <m:sty m:val="p"/>
          </m:rPr>
          <m:t>→</m:t>
        </m:r>
      </m:oMath>
      <w:r>
        <w:t xml:space="preserve">QRS, ischemia</w:t>
      </w:r>
      <m:oMath>
        <m:r>
          <m:rPr>
            <m:sty m:val="p"/>
          </m:rPr>
          <m:t>→</m:t>
        </m:r>
      </m:oMath>
      <w:r>
        <w:t xml:space="preserve">ST–T) collapse toward zero, whereas they</w:t>
      </w:r>
      <w:r>
        <w:t xml:space="preserve"> </w:t>
      </w:r>
      <w:r>
        <w:t xml:space="preserve">are strongly positive under the true masks. The localization therefore depends on</w:t>
      </w:r>
      <w:r>
        <w:t xml:space="preserve"> </w:t>
      </w:r>
      <w:r>
        <w:t xml:space="preserve">electrically-correct windowing, not on leakage through the masking procedure.</w:t>
      </w:r>
    </w:p>
    <w:bookmarkStart w:id="39" w:name="fig:negctrl"/>
    <w:p>
      <w:pPr>
        <w:pStyle w:val="CaptionedFigure"/>
      </w:pPr>
      <w:r>
        <w:drawing>
          <wp:inline>
            <wp:extent cx="5334000" cy="227385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5_negative_control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Negative controls.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Subsystem age-gaps add</w:t>
      </w:r>
      <w:r>
        <w:t xml:space="preserve"> </w:t>
      </w:r>
      <m:oMath>
        <m:r>
          <m:rPr>
            <m:sty m:val="p"/>
          </m:rPr>
          <m:t>≤</m:t>
        </m:r>
        <m:r>
          <m:t>0.02</m:t>
        </m:r>
      </m:oMath>
      <w:r>
        <w:t xml:space="preserve"> </w:t>
      </w:r>
      <w:r>
        <w:t xml:space="preserve">AUC over</w:t>
      </w:r>
      <w:r>
        <w:t xml:space="preserve"> </w:t>
      </w:r>
      <w:r>
        <w:t xml:space="preserve">chronological age when predicting recording device or site — no covert scanner encoding.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Under phase-shuffled masks the morphology-localized diagonals collapse relative to</w:t>
      </w:r>
      <w:r>
        <w:t xml:space="preserve"> </w:t>
      </w:r>
      <w:r>
        <w:t xml:space="preserve">the true masks, confirming the signal requires electrically-correct windowing.</w:t>
      </w:r>
    </w:p>
    <w:bookmarkEnd w:id="39"/>
    <w:bookmarkEnd w:id="40"/>
    <w:bookmarkEnd w:id="41"/>
    <w:bookmarkStart w:id="58" w:name="X740cc3a9bbd7ddda19466f149d2e923246adc3d"/>
    <w:p>
      <w:pPr>
        <w:pStyle w:val="Heading1"/>
      </w:pPr>
      <w:r>
        <w:t xml:space="preserve">Results — Act II: the same principle predicts mortality whole-body</w:t>
      </w:r>
    </w:p>
    <w:bookmarkStart w:id="42" w:name="the-bridge-and-what-it-is-not."/>
    <w:p>
      <w:pPr>
        <w:pStyle w:val="Heading4"/>
      </w:pPr>
      <w:r>
        <w:t xml:space="preserve">The bridge, and what it is not.</w:t>
      </w:r>
    </w:p>
    <w:p>
      <w:pPr>
        <w:pStyle w:val="FirstParagraph"/>
      </w:pPr>
      <w:r>
        <w:t xml:space="preserve">Act I established, in PTB-XL, that the heart does not age as a single clock: segment-masked</w:t>
      </w:r>
      <w:r>
        <w:t xml:space="preserve"> </w:t>
      </w:r>
      <w:r>
        <w:t xml:space="preserve">electrical clocks of the atria, AV conduction, ventricular depolarization, and repolarization</w:t>
      </w:r>
      <w:r>
        <w:t xml:space="preserve"> </w:t>
      </w:r>
      <w:r>
        <w:t xml:space="preserve">diverge, and each divergence localizes to the disease that damages its substrate. That is a</w:t>
      </w:r>
      <w:r>
        <w:t xml:space="preserve"> </w:t>
      </w:r>
      <w:r>
        <w:t xml:space="preserve">claim about</w:t>
      </w:r>
      <w:r>
        <w:t xml:space="preserve"> </w:t>
      </w:r>
      <w:r>
        <w:rPr>
          <w:i/>
          <w:iCs/>
        </w:rPr>
        <w:t xml:space="preserve">one organ, resolved into subsystems</w:t>
      </w:r>
      <w:r>
        <w:t xml:space="preserve">. Act II asks whether the same</w:t>
      </w:r>
      <w:r>
        <w:t xml:space="preserve"> </w:t>
      </w:r>
      <w:r>
        <w:t xml:space="preserve">organizing principle — biological age is a profile of per-system clocks that diverge,</w:t>
      </w:r>
      <w:r>
        <w:t xml:space="preserve"> </w:t>
      </w:r>
      <w:r>
        <w:t xml:space="preserve">localize to modifiable exposure, and predict hard outcomes — holds when we zoom out to</w:t>
      </w:r>
      <w:r>
        <w:t xml:space="preserve"> </w:t>
      </w:r>
      <w:r>
        <w:t xml:space="preserve">whole-body physiology.</w:t>
      </w:r>
      <w:r>
        <w:t xml:space="preserve"> </w:t>
      </w:r>
      <w:r>
        <w:rPr>
          <w:b/>
          <w:bCs/>
        </w:rPr>
        <w:t xml:space="preserve">NHANES and PTB-XL are different cohorts, and NHANES contains no</w:t>
      </w:r>
      <w:r>
        <w:rPr>
          <w:b/>
          <w:bCs/>
        </w:rPr>
        <w:t xml:space="preserve"> </w:t>
      </w:r>
      <w:r>
        <w:rPr>
          <w:b/>
          <w:bCs/>
        </w:rPr>
        <w:t xml:space="preserve">ECG waveforms.</w:t>
      </w:r>
      <w:r>
        <w:t xml:space="preserve"> </w:t>
      </w:r>
      <w:r>
        <w:t xml:space="preserve">Act II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external validation of the Act I electrical</w:t>
      </w:r>
      <w:r>
        <w:t xml:space="preserve"> </w:t>
      </w:r>
      <w:r>
        <w:t xml:space="preserve">clocks — no NHANES participant contributes an ECG to any model, and no Act I model is reused.</w:t>
      </w:r>
      <w:r>
        <w:t xml:space="preserve"> </w:t>
      </w:r>
      <w:r>
        <w:t xml:space="preserve">It is a parallel, independent demonstration that the organ-resolved-aging</w:t>
      </w:r>
      <w:r>
        <w:t xml:space="preserve"> </w:t>
      </w:r>
      <w:r>
        <w:rPr>
          <w:i/>
          <w:iCs/>
        </w:rPr>
        <w:t xml:space="preserve">method</w:t>
      </w:r>
      <w:r>
        <w:t xml:space="preserve"> </w:t>
      </w:r>
      <w:r>
        <w:t xml:space="preserve">generalizes, reproducing the Act I signature (divergence, exposure attribution, outcome</w:t>
      </w:r>
      <w:r>
        <w:t xml:space="preserve"> </w:t>
      </w:r>
      <w:r>
        <w:t xml:space="preserve">prediction) on a second organ hierarchy in a second population, against the hardest endpoint:</w:t>
      </w:r>
      <w:r>
        <w:t xml:space="preserve"> </w:t>
      </w:r>
      <w:r>
        <w:t xml:space="preserve">all-cause mortality. The whole-body organ-age-gap construction follows established precedent</w:t>
      </w:r>
      <w:r>
        <w:t xml:space="preserve"> </w:t>
      </w:r>
      <w:r>
        <w:t xml:space="preserve">(Tian et al. 2023; Oh et al. 2023)</w:t>
      </w:r>
      <w:r>
        <w:t xml:space="preserve">; our contribution is its use as the bridge, not the</w:t>
      </w:r>
      <w:r>
        <w:t xml:space="preserve"> </w:t>
      </w:r>
      <w:r>
        <w:t xml:space="preserve">idea itself.</w:t>
      </w:r>
    </w:p>
    <w:bookmarkEnd w:id="42"/>
    <w:bookmarkStart w:id="43" w:name="cohort."/>
    <w:p>
      <w:pPr>
        <w:pStyle w:val="Heading4"/>
      </w:pPr>
      <w:r>
        <w:t xml:space="preserve">Cohort.</w:t>
      </w:r>
    </w:p>
    <w:p>
      <w:pPr>
        <w:pStyle w:val="FirstParagraph"/>
      </w:pPr>
      <w:r>
        <w:t xml:space="preserve">We pooled three continuous NHANES cycles (2005–2006, 2007–2008, 2009–2010; CDC public-use</w:t>
      </w:r>
      <w:r>
        <w:t xml:space="preserve"> </w:t>
      </w:r>
      <w:r>
        <w:t xml:space="preserve">modules) linked to the NCHS Public-Use Linked Mortality File (2019 release), giving prospective</w:t>
      </w:r>
      <w:r>
        <w:t xml:space="preserve"> </w:t>
      </w:r>
      <w:r>
        <w:t xml:space="preserve">all-cause mortality through the end of 2019. The mortality-eligible analytic sample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15844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adults aged 20–79 with 2002 deaths</w:t>
      </w:r>
      <w:r>
        <w:t xml:space="preserve"> </w:t>
      </w:r>
      <w:r>
        <w:t xml:space="preserve">over a median 11.3 years of</w:t>
      </w:r>
      <w:r>
        <w:t xml:space="preserve"> </w:t>
      </w:r>
      <w:r>
        <w:t xml:space="preserve">follow-up (176489 person-years). The complete-case multi-system sample (all six clocks</w:t>
      </w:r>
      <w:r>
        <w:t xml:space="preserve"> </w:t>
      </w:r>
      <w:r>
        <w:t xml:space="preserve">present)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13228</m:t>
        </m:r>
      </m:oMath>
      <w:r>
        <w:t xml:space="preserve"> </w:t>
      </w:r>
      <w:r>
        <w:t xml:space="preserve">with 1512 deaths.</w:t>
      </w:r>
    </w:p>
    <w:bookmarkEnd w:id="43"/>
    <w:bookmarkStart w:id="45" w:name="six-organ-system-clocks."/>
    <w:p>
      <w:pPr>
        <w:pStyle w:val="Heading4"/>
      </w:pPr>
      <w:r>
        <w:t xml:space="preserve">Six organ-system clocks.</w:t>
      </w:r>
    </w:p>
    <w:p>
      <w:pPr>
        <w:pStyle w:val="FirstParagraph"/>
      </w:pPr>
      <w:r>
        <w:t xml:space="preserve">For each of six physiological systems we trained an elastic-net predictor of chronological age</w:t>
      </w:r>
      <w:r>
        <w:t xml:space="preserve"> </w:t>
      </w:r>
      <w:r>
        <w:t xml:space="preserve">in disease- and medication-free participants, then took the bias-corrected age-gap (predicted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chronological, corrected against age on the healthy set) — the Act I construction</w:t>
      </w:r>
      <w:r>
        <w:t xml:space="preserve"> </w:t>
      </w:r>
      <w:r>
        <w:t xml:space="preserve">transposed to tabular physiology (Table </w:t>
      </w:r>
      <w:hyperlink w:anchor="tab:organs">
        <w:r>
          <w:rPr>
            <w:rStyle w:val="Hyperlink"/>
          </w:rPr>
          <w:t xml:space="preserve">2</w:t>
        </w:r>
      </w:hyperlink>
      <w:r>
        <w:t xml:space="preserve">). Two variables were excluded from the</w:t>
      </w:r>
      <w:r>
        <w:t xml:space="preserve"> </w:t>
      </w:r>
      <w:r>
        <w:t xml:space="preserve">predictors as principled confounds, not post-hoc corrections:</w:t>
      </w:r>
      <w:r>
        <w:t xml:space="preserve"> </w:t>
      </w:r>
      <w:r>
        <w:rPr>
          <w:b/>
          <w:bCs/>
        </w:rPr>
        <w:t xml:space="preserve">total cholesterol</w:t>
      </w:r>
      <w:r>
        <w:t xml:space="preserve"> </w:t>
      </w:r>
      <w:r>
        <w:t xml:space="preserve">(non-monotonic with age — the</w:t>
      </w:r>
      <w:r>
        <w:t xml:space="preserve"> </w:t>
      </w:r>
      <w:r>
        <w:t xml:space="preserve">“cholesterol paradox”</w:t>
      </w:r>
      <w:r>
        <w:t xml:space="preserve">) and</w:t>
      </w:r>
      <w:r>
        <w:t xml:space="preserve"> </w:t>
      </w:r>
      <w:r>
        <w:rPr>
          <w:b/>
          <w:bCs/>
        </w:rPr>
        <w:t xml:space="preserve">eGFR</w:t>
      </w:r>
      <w:r>
        <w:t xml:space="preserve"> </w:t>
      </w:r>
      <w:r>
        <w:t xml:space="preserve">(computed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age by the CKD-EPI equation</w:t>
      </w:r>
      <w:r>
        <w:t xml:space="preserve"> </w:t>
      </w:r>
      <w:r>
        <w:t xml:space="preserve">(Levey et al. 2009)</w:t>
      </w:r>
      <w:r>
        <w:t xml:space="preserve">, which would make a renal clock partly</w:t>
      </w:r>
      <w:r>
        <w:t xml:space="preserve"> </w:t>
      </w:r>
      <w:r>
        <w:t xml:space="preserve">circular). Systems predict age with very different fidelity (healthy-cohort cross-validated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immune 0.03, hepatic 0.05, hematologic 0.08, renal 0.08, cardiovascular 0.10, metabolic</w:t>
      </w:r>
      <w:r>
        <w:t xml:space="preserve"> </w:t>
      </w:r>
      <w:r>
        <w:t xml:space="preserve">0.21) — and, as below, this fidelity ordering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predict which clocks predict</w:t>
      </w:r>
      <w:r>
        <w:t xml:space="preserve"> </w:t>
      </w:r>
      <w:r>
        <w:t xml:space="preserve">death.</w:t>
      </w:r>
    </w:p>
    <w:bookmarkStart w:id="44" w:name="tab:organs"/>
    <w:p>
      <w:pPr>
        <w:pStyle w:val="TableCaption"/>
      </w:pPr>
      <w:r>
        <w:rPr>
          <w:b/>
          <w:bCs/>
        </w:rPr>
        <w:t xml:space="preserve">Six NHANES organ-system age clocks (Act II).</w:t>
      </w:r>
      <w:r>
        <w:t xml:space="preserve"> </w:t>
      </w:r>
      <w:r>
        <w:t xml:space="preserve">Each clock is an elastic-net</w:t>
      </w:r>
      <w:r>
        <w:t xml:space="preserve"> </w:t>
      </w:r>
      <w:r>
        <w:t xml:space="preserve">regressor of chronological age trained in healthy participants; the age-gap is bias-corrected</w:t>
      </w:r>
      <w:r>
        <w:t xml:space="preserve"> </w:t>
      </w:r>
      <w:r>
        <w:t xml:space="preserve">on the healthy set. Total cholesterol and eGFR were excluded as principled confounds.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x NHANES organ-system age clocks (Act II). Each clock is an elastic-net regressor of chronological age trained in healthy participants; the age-gap is bias-corrected on the healthy set. Total cholesterol and eGFR were excluded as principled confoun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inputs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Healthy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Systolic/diastolic BP, pulse pressure, pulse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HbA1c, BMI, waist circumference, serum glucose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Creatinine, BUN, albumin, uric acid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ALT, AST, GGT, ALP, bilirubin, total protein, globulin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 / inflammatory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CRP, WBC, neutrophils, lymphocytes, monocyte %, N:L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RBC, hemoglobin, hematocrit, MCV, RDW, platelets, MPV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</w:tr>
    </w:tbl>
    <w:bookmarkEnd w:id="44"/>
    <w:bookmarkEnd w:id="45"/>
    <w:bookmarkStart w:id="47" w:name="X60958b1321766634133d57955bb96d320b3b1e2"/>
    <w:p>
      <w:pPr>
        <w:pStyle w:val="Heading2"/>
      </w:pPr>
      <w:r>
        <w:t xml:space="preserve">Organ-age gaps predict mortality, with a gradient across systems</w:t>
      </w:r>
    </w:p>
    <w:p>
      <w:pPr>
        <w:pStyle w:val="FirstParagraph"/>
      </w:pPr>
      <w:r>
        <w:t xml:space="preserve">In Cox proportional-hazards models (fit with</w:t>
      </w:r>
      <w:r>
        <w:t xml:space="preserve"> </w:t>
      </w:r>
      <w:r>
        <w:rPr>
          <w:rStyle w:val="VerbatimChar"/>
        </w:rPr>
        <w:t xml:space="preserve">lifelines</w:t>
      </w:r>
      <w:r>
        <w:t xml:space="preserve"> </w:t>
      </w:r>
      <w:r>
        <w:t xml:space="preserve">(Davidson-Pilon 2019)</w:t>
      </w:r>
      <w:r>
        <w:t xml:space="preserve">)</w:t>
      </w:r>
      <w:r>
        <w:t xml:space="preserve"> </w:t>
      </w:r>
      <w:r>
        <w:t xml:space="preserve">adjusted for chronological age and sex, four of six organ-age gaps are associated</w:t>
      </w:r>
      <w:r>
        <w:t xml:space="preserve"> </w:t>
      </w:r>
      <w:r>
        <w:t xml:space="preserve">with all-cause mortality after FDR correction (Fig. </w:t>
      </w:r>
      <w:hyperlink w:anchor="fig:cox">
        <w:r>
          <w:rPr>
            <w:rStyle w:val="Hyperlink"/>
          </w:rPr>
          <w:t xml:space="preserve">6</w:t>
        </w:r>
      </w:hyperlink>
      <w:r>
        <w:t xml:space="preserve">a, Table </w:t>
      </w:r>
      <w:hyperlink w:anchor="tab:cox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r>
        <w:t xml:space="preserve">hazard ratios per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SD of gap). A mutually-adjusted joint model confirms the four</w:t>
      </w:r>
      <w:r>
        <w:t xml:space="preserve"> </w:t>
      </w:r>
      <w:r>
        <w:t xml:space="preserve">significant systems each retain independent signal — they are not redundant restatements of</w:t>
      </w:r>
      <w:r>
        <w:t xml:space="preserve"> </w:t>
      </w:r>
      <w:r>
        <w:t xml:space="preserve">one frailty axis — and the proportional-hazards assumption held for every gap (Schoenfeld</w:t>
      </w:r>
      <w:r>
        <w:t xml:space="preserve"> </w:t>
      </w:r>
      <w:r>
        <w:t xml:space="preserve">global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0.06</m:t>
        </m:r>
      </m:oMath>
      <w:r>
        <w:t xml:space="preserve">). The immune gap, null on its own (HR 1.01), takes a weak protective association</w:t>
      </w:r>
      <w:r>
        <w:t xml:space="preserve"> </w:t>
      </w:r>
      <w:r>
        <w:t xml:space="preserve">once other systems are fixed (joint HR 0.95,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); we read this as shared variance with</w:t>
      </w:r>
      <w:r>
        <w:t xml:space="preserve"> </w:t>
      </w:r>
      <w:r>
        <w:t xml:space="preserve">the damage-aligned systems (suppression), not as protective immune aging, and do not interpret</w:t>
      </w:r>
      <w:r>
        <w:t xml:space="preserve"> </w:t>
      </w:r>
      <w:r>
        <w:t xml:space="preserve">it as an independent effect.</w:t>
      </w:r>
    </w:p>
    <w:p>
      <w:pPr>
        <w:pStyle w:val="BodyText"/>
      </w:pPr>
      <w:r>
        <w:t xml:space="preserve">Critically,</w:t>
      </w:r>
      <w:r>
        <w:t xml:space="preserve"> </w:t>
      </w:r>
      <w:r>
        <w:rPr>
          <w:b/>
          <w:bCs/>
        </w:rPr>
        <w:t xml:space="preserve">age-prediction fidelity does not explain which clocks predict death</w:t>
      </w:r>
      <w:r>
        <w:t xml:space="preserve">. The</w:t>
      </w:r>
      <w:r>
        <w:t xml:space="preserve"> </w:t>
      </w:r>
      <w:r>
        <w:t xml:space="preserve">hepatic clock is one of the weakest age-trackers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0.05</m:t>
        </m:r>
      </m:oMath>
      <w:r>
        <w:t xml:space="preserve">) yet the strongest mortality</w:t>
      </w:r>
      <w:r>
        <w:t xml:space="preserve"> </w:t>
      </w:r>
      <w:r>
        <w:t xml:space="preserve">predictor (HR 1.38); the cardiovascular clock is a moderate age-tracker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0.10</m:t>
        </m:r>
      </m:oMath>
      <w:r>
        <w:t xml:space="preserve">) yet</w:t>
      </w:r>
      <w:r>
        <w:t xml:space="preserve"> </w:t>
      </w:r>
      <w:r>
        <w:t xml:space="preserve">carries no mortality signal — plausibly because a cross-sectional blood-pressure age-gap is</w:t>
      </w:r>
      <w:r>
        <w:t xml:space="preserve"> </w:t>
      </w:r>
      <w:r>
        <w:t xml:space="preserve">confounded by antihypertensive treatment. The organ-age gap predicts death by capturing</w:t>
      </w:r>
      <w:r>
        <w:t xml:space="preserve"> </w:t>
      </w:r>
      <w:r>
        <w:t xml:space="preserve">pathology-relevant deviation, not by how tightly its biomarkers track chronological age.</w:t>
      </w:r>
    </w:p>
    <w:bookmarkStart w:id="46" w:name="tab:cox"/>
    <w:p>
      <w:pPr>
        <w:pStyle w:val="TableCaption"/>
      </w:pPr>
      <w:r>
        <w:rPr>
          <w:b/>
          <w:bCs/>
        </w:rPr>
        <w:t xml:space="preserve">Organ-age gap and all-cause mortality (NHANES, age/sex-adjusted Cox).</w:t>
      </w:r>
      <w:r>
        <w:t xml:space="preserve"> </w:t>
      </w:r>
      <w:r>
        <w:t xml:space="preserve">Hazard</w:t>
      </w:r>
      <w:r>
        <w:t xml:space="preserve"> </w:t>
      </w:r>
      <w:r>
        <w:t xml:space="preserve">ratios per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SD of organ-age gap;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15844</m:t>
        </m:r>
      </m:oMath>
      <w:r>
        <w:t xml:space="preserve">, 2002 deaths. FDR by</w:t>
      </w:r>
      <w:r>
        <w:t xml:space="preserve"> </w:t>
      </w:r>
      <w:r>
        <w:t xml:space="preserve">Benjamini–Hochberg. The joint column is the mutually-adjusted six-system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gan-age gap and all-cause mortality (NHANES, age/sex-adjusted Cox). Hazard ratios per +1 SD of organ-age gap; n=\num{15844}, 2002 deaths. FDR by Benjamini–Hochberg. The joint column is the mutually-adjusted six-system model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HR (95% CI) per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FDR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Joint-model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Hepatic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1.38 (1.33–1.43)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Hematologic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1.36 (1.33–1.40)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 (1.15–1.24)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 (1.16–1.22)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 (0.95–1.06)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 (n.s.)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 (0.93–1.01)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 (n.s.)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 (n.s.)</w:t>
            </w:r>
          </w:p>
        </w:tc>
      </w:tr>
    </w:tbl>
    <w:bookmarkEnd w:id="46"/>
    <w:bookmarkEnd w:id="47"/>
    <w:bookmarkStart w:id="52" w:name="X5a49a61293d20e7f61a8e5142bd2c5415a6299c"/>
    <w:p>
      <w:pPr>
        <w:pStyle w:val="Heading2"/>
      </w:pPr>
      <w:r>
        <w:t xml:space="preserve">A multi-system profile beats chronological age at predicting death</w:t>
      </w:r>
    </w:p>
    <w:p>
      <w:pPr>
        <w:pStyle w:val="FirstParagraph"/>
      </w:pPr>
      <w:r>
        <w:t xml:space="preserve">The Act II analogue of the added-value ladder: using leak-free out-of-fold (5-fold) Cox</w:t>
      </w:r>
      <w:r>
        <w:t xml:space="preserve"> </w:t>
      </w:r>
      <w:r>
        <w:t xml:space="preserve">predictions on the complete-case sample, Harrell’s C-index</w:t>
      </w:r>
      <w:r>
        <w:t xml:space="preserve"> </w:t>
      </w:r>
      <w:r>
        <w:t xml:space="preserve">(Harrell et al. 1996)</w:t>
      </w:r>
      <w:r>
        <w:t xml:space="preserve"> </w:t>
      </w:r>
      <w:r>
        <w:t xml:space="preserve">rises</w:t>
      </w:r>
      <w:r>
        <w:t xml:space="preserve"> </w:t>
      </w:r>
      <w:r>
        <w:t xml:space="preserve">monotonically (Fig. </w:t>
      </w:r>
      <w:hyperlink w:anchor="fig:cox">
        <w:r>
          <w:rPr>
            <w:rStyle w:val="Hyperlink"/>
          </w:rPr>
          <w:t xml:space="preserve">6</w:t>
        </w:r>
      </w:hyperlink>
      <w:r>
        <w:t xml:space="preserve">b) — age only 0.813, age</w:t>
      </w:r>
      <m:oMath>
        <m:r>
          <m:rPr>
            <m:sty m:val="p"/>
          </m:rPr>
          <m:t>+</m:t>
        </m:r>
      </m:oMath>
      <w:r>
        <w:t xml:space="preserve">sex 0.817,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best single system</w:t>
      </w:r>
      <w:r>
        <w:t xml:space="preserve"> </w:t>
      </w:r>
      <w:r>
        <w:t xml:space="preserve">(hepatic) 0.830,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all six systems</w:t>
      </w:r>
      <w:r>
        <w:t xml:space="preserve"> </w:t>
      </w:r>
      <w:r>
        <w:rPr>
          <w:b/>
          <w:bCs/>
        </w:rPr>
        <w:t xml:space="preserve">0.845</w:t>
      </w:r>
      <w:r>
        <w:t xml:space="preserve">. The gain of the full profile over age</w:t>
      </w:r>
      <m:oMath>
        <m:r>
          <m:rPr>
            <m:sty m:val="p"/>
          </m:rPr>
          <m:t>+</m:t>
        </m:r>
      </m:oMath>
      <w:r>
        <w:t xml:space="preserve">sex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(95% bootstrap CI 0.023–0.033; paired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1.000</m:t>
        </m:r>
      </m:oMath>
      <w:r>
        <w:t xml:space="preserve">), and a</w:t>
      </w:r>
      <w:r>
        <w:t xml:space="preserve"> </w:t>
      </w:r>
      <w:r>
        <w:t xml:space="preserve">likelihood-ratio test confirms the six gaps jointly improve fit (</w:t>
      </w:r>
      <m:oMath>
        <m:sSubSup>
          <m:e>
            <m:r>
              <m:t>χ</m:t>
            </m:r>
          </m:e>
          <m:sub>
            <m:r>
              <m:t>6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559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). A person’s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divergent organ clocks, not just their</w:t>
      </w:r>
      <w:r>
        <w:t xml:space="preserve"> </w:t>
      </w:r>
      <w:r>
        <w:t xml:space="preserve">age, sharpens the prediction of who dies. We independently reproduced this ladder from the</w:t>
      </w:r>
      <w:r>
        <w:t xml:space="preserve"> </w:t>
      </w:r>
      <w:r>
        <w:t xml:space="preserve">released survival table (identical values to three decimals).</w:t>
      </w:r>
    </w:p>
    <w:bookmarkStart w:id="51" w:name="fig:cox"/>
    <w:p>
      <w:pPr>
        <w:pStyle w:val="CaptionedFigure"/>
      </w:pPr>
      <w:r>
        <w:drawing>
          <wp:inline>
            <wp:extent cx="5334000" cy="237622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6_nhanes_co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Organ-age gaps predict mortality (NHANES).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Per-organ Cox hazard</w:t>
      </w:r>
      <w:r>
        <w:t xml:space="preserve"> </w:t>
      </w:r>
      <w:r>
        <w:t xml:space="preserve">ratios for all-cause mortality (per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SD organ-age gap, adjusted for age and sex;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15844</m:t>
        </m:r>
      </m:oMath>
      <w:r>
        <w:t xml:space="preserve">, 2002 deaths). Teal = FDR-significant, grey = not significant.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Out-of-fold cross-validated C-index for nested models; the six-system profile adds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(95% CI 0.023–0.033) over age</w:t>
      </w:r>
      <m:oMath>
        <m:r>
          <m:rPr>
            <m:sty m:val="p"/>
          </m:rPr>
          <m:t>+</m:t>
        </m:r>
      </m:oMath>
      <w:r>
        <w:t xml:space="preserve">sex.</w:t>
      </w:r>
    </w:p>
    <w:bookmarkEnd w:id="51"/>
    <w:bookmarkEnd w:id="52"/>
    <w:bookmarkStart w:id="57" w:name="X6f6d2c66107b9c13ff43d9be3588b1b5c0d5dae"/>
    <w:p>
      <w:pPr>
        <w:pStyle w:val="Heading2"/>
      </w:pPr>
      <w:r>
        <w:t xml:space="preserve">A modifiable exposure ages the same clocks that predict death</w:t>
      </w:r>
    </w:p>
    <w:p>
      <w:pPr>
        <w:pStyle w:val="FirstParagraph"/>
      </w:pPr>
      <w:r>
        <w:t xml:space="preserve">Act II’s localization test uses a modifiable exposure: smoking. Comparing never/former/current</w:t>
      </w:r>
      <w:r>
        <w:t xml:space="preserve"> </w:t>
      </w:r>
      <w:r>
        <w:t xml:space="preserve">smokers (Fig. </w:t>
      </w:r>
      <w:hyperlink w:anchor="fig:smoking">
        <w:r>
          <w:rPr>
            <w:rStyle w:val="Hyperlink"/>
          </w:rPr>
          <w:t xml:space="preserve">7</w:t>
        </w:r>
      </w:hyperlink>
      <w:r>
        <w:t xml:space="preserve">), the two systems with the largest mortality hazard ratios —</w:t>
      </w:r>
      <w:r>
        <w:t xml:space="preserve"> </w:t>
      </w:r>
      <w:r>
        <w:t xml:space="preserve">hepatic and hematologic — are exactly the two with the cleanest monotonic dose-response: the</w:t>
      </w:r>
      <w:r>
        <w:t xml:space="preserve"> </w:t>
      </w:r>
      <w:r>
        <w:t xml:space="preserve">hematologic clock runs 2.1 years older and the hepatic clock 1.1 years older in current versus</w:t>
      </w:r>
      <w:r>
        <w:t xml:space="preserve"> </w:t>
      </w:r>
      <w:r>
        <w:t xml:space="preserve">never smokers (both FDR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t xml:space="preserve">), stepping up cleanly through former smokers. The two</w:t>
      </w:r>
      <w:r>
        <w:t xml:space="preserve"> </w:t>
      </w:r>
      <w:r>
        <w:t xml:space="preserve">systems that carry no mortality signal (immune, cardiovascular) show no coherent monotonic</w:t>
      </w:r>
      <w:r>
        <w:t xml:space="preserve"> </w:t>
      </w:r>
      <w:r>
        <w:t xml:space="preserve">smoking gradient. This is the same closing move as Act I — the divergence points at its cause</w:t>
      </w:r>
      <w:r>
        <w:t xml:space="preserve"> </w:t>
      </w:r>
      <w:r>
        <w:t xml:space="preserve">— now with an exposure a person can change.</w:t>
      </w:r>
    </w:p>
    <w:bookmarkStart w:id="56" w:name="fig:smoking"/>
    <w:p>
      <w:pPr>
        <w:pStyle w:val="CaptionedFigure"/>
      </w:pPr>
      <w:r>
        <w:drawing>
          <wp:inline>
            <wp:extent cx="3840480" cy="299936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7_nhanes_smok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9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Smoking accelerates the same clocks that predict mortality.</w:t>
      </w:r>
      <w:r>
        <w:t xml:space="preserve"> </w:t>
      </w:r>
      <w:r>
        <w:t xml:space="preserve">Mean organ-age gap</w:t>
      </w:r>
      <w:r>
        <w:t xml:space="preserve"> </w:t>
      </w:r>
      <w:r>
        <w:t xml:space="preserve">by smoking status. The two systems with the highest mortality HRs (hepatic, hematologic, in</w:t>
      </w:r>
      <w:r>
        <w:t xml:space="preserve"> </w:t>
      </w:r>
      <w:r>
        <w:t xml:space="preserve">color) show the cleanest monotonic acceleration with smoking; weak/null systems (grey) do not.</w:t>
      </w:r>
    </w:p>
    <w:bookmarkEnd w:id="56"/>
    <w:bookmarkEnd w:id="57"/>
    <w:bookmarkEnd w:id="58"/>
    <w:bookmarkStart w:id="6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Subsystem-resolved ECG aging converts a single opaque</w:t>
      </w:r>
      <w:r>
        <w:t xml:space="preserve"> </w:t>
      </w:r>
      <w:r>
        <w:t xml:space="preserve">“ECG age”</w:t>
      </w:r>
      <w:r>
        <w:t xml:space="preserve"> </w:t>
      </w:r>
      <w:r>
        <w:t xml:space="preserve">into a four-dimensional</w:t>
      </w:r>
      <w:r>
        <w:t xml:space="preserve"> </w:t>
      </w:r>
      <w:r>
        <w:t xml:space="preserve">electrical-age fingerprint whose shape is clinically interpretable. The fingerprint recovers</w:t>
      </w:r>
      <w:r>
        <w:t xml:space="preserve"> </w:t>
      </w:r>
      <w:r>
        <w:t xml:space="preserve">the canonical substrate for single-substrate conduction and repolarization diseases and reveals</w:t>
      </w:r>
      <w:r>
        <w:t xml:space="preserve"> </w:t>
      </w:r>
      <w:r>
        <w:t xml:space="preserve">physiologically-real cross-substrate aging for multi-system diseases — behavior consistent</w:t>
      </w:r>
      <w:r>
        <w:t xml:space="preserve"> </w:t>
      </w:r>
      <w:r>
        <w:t xml:space="preserve">with cardiac electrophysiology, stable across two independent pipelines, and supported by</w:t>
      </w:r>
      <w:r>
        <w:t xml:space="preserve"> </w:t>
      </w:r>
      <w:r>
        <w:t xml:space="preserve">patient-cluster bootstrap confidence intervals and two negative controls. Act II shows the same</w:t>
      </w:r>
      <w:r>
        <w:t xml:space="preserve"> </w:t>
      </w:r>
      <w:r>
        <w:t xml:space="preserve">organizing principle is not specific to the heart’s electrical anatomy: transposed to whole-body</w:t>
      </w:r>
      <w:r>
        <w:t xml:space="preserve"> </w:t>
      </w:r>
      <w:r>
        <w:t xml:space="preserve">physiology in an independent national cohort, per-organ age-gaps diverge, localize to a</w:t>
      </w:r>
      <w:r>
        <w:t xml:space="preserve"> </w:t>
      </w:r>
      <w:r>
        <w:t xml:space="preserve">modifiable exposure (smoking), and predict all-cause mortality beyond chronological age. The</w:t>
      </w:r>
      <w:r>
        <w:t xml:space="preserve"> </w:t>
      </w:r>
      <w:r>
        <w:t xml:space="preserve">method — train per-system age predictors in healthy people, read out the bias-corrected</w:t>
      </w:r>
      <w:r>
        <w:t xml:space="preserve"> </w:t>
      </w:r>
      <w:r>
        <w:t xml:space="preserve">age-gap, ask what it localizes to and what it predicts — is the contribution, and it</w:t>
      </w:r>
      <w:r>
        <w:t xml:space="preserve"> </w:t>
      </w:r>
      <w:r>
        <w:t xml:space="preserve">reproduces across two measurement modalities and two populations. The pattern echoes the</w:t>
      </w:r>
      <w:r>
        <w:t xml:space="preserve"> </w:t>
      </w:r>
      <w:r>
        <w:t xml:space="preserve">whole-body organ-aging literature</w:t>
      </w:r>
      <w:r>
        <w:t xml:space="preserve"> </w:t>
      </w:r>
      <w:r>
        <w:t xml:space="preserve">(Tian et al. 2023; Oh et al. 2023)</w:t>
      </w:r>
      <w:r>
        <w:t xml:space="preserve"> </w:t>
      </w:r>
      <w:r>
        <w:t xml:space="preserve">while extending it</w:t>
      </w:r>
      <w:r>
        <w:t xml:space="preserve"> </w:t>
      </w:r>
      <w:r>
        <w:t xml:space="preserve">downward, into the electrical subsystems of a single organ.</w:t>
      </w:r>
    </w:p>
    <w:p>
      <w:pPr>
        <w:pStyle w:val="BodyText"/>
      </w:pPr>
      <w:r>
        <w:t xml:space="preserve">A design theme runs through both acts: the informative signal appears only after the obvious</w:t>
      </w:r>
      <w:r>
        <w:t xml:space="preserve"> </w:t>
      </w:r>
      <w:r>
        <w:t xml:space="preserve">confounds are removed. The raw</w:t>
      </w:r>
      <w:r>
        <w:t xml:space="preserve"> </w:t>
      </w:r>
      <w:r>
        <w:t xml:space="preserve">“which subsystem is oldest”</w:t>
      </w:r>
      <w:r>
        <w:t xml:space="preserve"> </w:t>
      </w:r>
      <w:r>
        <w:t xml:space="preserve">readout localizes in only 2 of 6</w:t>
      </w:r>
      <w:r>
        <w:t xml:space="preserve"> </w:t>
      </w:r>
      <w:r>
        <w:t xml:space="preserve">diseases; the double-centered interaction and within-patient contrast recover the substrate</w:t>
      </w:r>
      <w:r>
        <w:t xml:space="preserve"> </w:t>
      </w:r>
      <w:r>
        <w:t xml:space="preserve">map. Whole-body clocks required excluding total cholesterol and eGFR before their age-gaps were</w:t>
      </w:r>
      <w:r>
        <w:t xml:space="preserve"> </w:t>
      </w:r>
      <w:r>
        <w:t xml:space="preserve">interpretable. And the mortality analysis deliberately avoids a single mutually-adjusted model</w:t>
      </w:r>
      <w:r>
        <w:t xml:space="preserve"> </w:t>
      </w:r>
      <w:r>
        <w:t xml:space="preserve">of causally-sequential exposures, which risks the Table 2 fallacy</w:t>
      </w:r>
      <w:r>
        <w:t xml:space="preserve"> </w:t>
      </w:r>
      <w:r>
        <w:t xml:space="preserve">(Westreich and Greenland 2013)</w:t>
      </w:r>
      <w:r>
        <w:t xml:space="preserve">.</w:t>
      </w:r>
      <w:r>
        <w:t xml:space="preserve"> </w:t>
      </w:r>
      <w:r>
        <w:t xml:space="preserve">Throughout, age-gaps are bias-corrected in the manner established for brain-age</w:t>
      </w:r>
      <w:r>
        <w:t xml:space="preserve"> </w:t>
      </w:r>
      <w:r>
        <w:t xml:space="preserve">(Beheshti et al. 2019; Lange and Cole 2020; Zhang et al. 2023)</w:t>
      </w:r>
      <w:r>
        <w:t xml:space="preserve">.</w:t>
      </w:r>
    </w:p>
    <w:bookmarkStart w:id="59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PTB-XL is a single-institution cross-sectional cohort; the ECG age-gaps are not linked to</w:t>
      </w:r>
      <w:r>
        <w:t xml:space="preserve"> </w:t>
      </w:r>
      <w:r>
        <w:t xml:space="preserve">prospective outcomes within PTB-XL here (the NHANES analysis, on a disjoint population with no</w:t>
      </w:r>
      <w:r>
        <w:t xml:space="preserve"> </w:t>
      </w:r>
      <w:r>
        <w:t xml:space="preserve">ECG waveforms, is a parallel demonstration of the method, not external validation of the ECG</w:t>
      </w:r>
      <w:r>
        <w:t xml:space="preserve"> </w:t>
      </w:r>
      <w:r>
        <w:t xml:space="preserve">clocks). The substrate-pure analysis (§</w:t>
      </w:r>
      <w:hyperlink w:anchor="sec:pure">
        <w:r>
          <w:rPr>
            <w:rStyle w:val="Hyperlink"/>
          </w:rPr>
          <w:t xml:space="preserve">4.3</w:t>
        </w:r>
      </w:hyperlink>
      <w:r>
        <w:t xml:space="preserve">) is power-limited for the rarer groups.</w:t>
      </w:r>
      <w:r>
        <w:t xml:space="preserve"> </w:t>
      </w:r>
      <w:r>
        <w:t xml:space="preserve">Subsystem accuracy is bounded by delineation quality, particularly for the short PR segment and</w:t>
      </w:r>
      <w:r>
        <w:t xml:space="preserve"> </w:t>
      </w:r>
      <w:r>
        <w:t xml:space="preserve">the J-point-sensitive ST–T boundary. The atrial clock’s paradoxical behavior in atrial</w:t>
      </w:r>
      <w:r>
        <w:t xml:space="preserve"> </w:t>
      </w:r>
      <w:r>
        <w:t xml:space="preserve">fibrillation — where its own input signal is destroyed by the disease — is a fundamental,</w:t>
      </w:r>
      <w:r>
        <w:t xml:space="preserve"> </w:t>
      </w:r>
      <w:r>
        <w:t xml:space="preserve">not incidental, limitation of P-wave-based atrial aging. The NHANES analysis is complete-case</w:t>
      </w:r>
      <w:r>
        <w:t xml:space="preserve"> </w:t>
      </w:r>
      <w:r>
        <w:t xml:space="preserve">and unweighted, so its estimates are associational rather than nationally representative, and</w:t>
      </w:r>
      <w:r>
        <w:t xml:space="preserve"> </w:t>
      </w:r>
      <w:r>
        <w:t xml:space="preserve">its organ clocks are built from routine labs rather than the plasma-proteomic or imaging panels</w:t>
      </w:r>
      <w:r>
        <w:t xml:space="preserve"> </w:t>
      </w:r>
      <w:r>
        <w:t xml:space="preserve">used elsewhere</w:t>
      </w:r>
      <w:r>
        <w:t xml:space="preserve"> </w:t>
      </w:r>
      <w:r>
        <w:t xml:space="preserve">(Tian et al. 2023; Oh et al. 2023)</w:t>
      </w:r>
      <w:r>
        <w:t xml:space="preserve">.</w:t>
      </w:r>
    </w:p>
    <w:bookmarkEnd w:id="59"/>
    <w:bookmarkEnd w:id="60"/>
    <w:bookmarkStart w:id="6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This study uses only openly-available data. PTB-XL v1.0.3 is distributed through PhysioNet</w:t>
      </w:r>
      <w:r>
        <w:t xml:space="preserve"> </w:t>
      </w:r>
      <w:r>
        <w:t xml:space="preserve">(Wagner et al. 2020; Goldberger et al. 2000)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https://physionet.org/content/ptb-xl/</w:t>
        </w:r>
      </w:hyperlink>
      <w:r>
        <w:t xml:space="preserve">). NHANES 2005–2010 public-use modules are</w:t>
      </w:r>
      <w:r>
        <w:t xml:space="preserve"> </w:t>
      </w:r>
      <w:r>
        <w:t xml:space="preserve">distributed by the CDC (</w:t>
      </w:r>
      <w:hyperlink r:id="rId62">
        <w:r>
          <w:rPr>
            <w:rStyle w:val="Hyperlink"/>
          </w:rPr>
          <w:t xml:space="preserve">https://wwwn.cdc.gov/nchs/nhanes/</w:t>
        </w:r>
      </w:hyperlink>
      <w:r>
        <w:t xml:space="preserve">) and linked to the NCHS</w:t>
      </w:r>
      <w:r>
        <w:t xml:space="preserve"> </w:t>
      </w:r>
      <w:r>
        <w:t xml:space="preserve">Public-Use Linked Mortality File, 2019 release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https://www.cdc.gov/nchs/data-linkage/mortality-public.htm</w:t>
        </w:r>
      </w:hyperlink>
      <w:r>
        <w:t xml:space="preserve">). No participant-level data</w:t>
      </w:r>
      <w:r>
        <w:t xml:space="preserve"> </w:t>
      </w:r>
      <w:r>
        <w:t xml:space="preserve">are redistributed with this work; the accompanying repository ships download and preprocessing</w:t>
      </w:r>
      <w:r>
        <w:t xml:space="preserve"> </w:t>
      </w:r>
      <w:r>
        <w:t xml:space="preserve">scripts only, in accordance with the PhysioNet and NCHS data-use agreements.</w:t>
      </w:r>
    </w:p>
    <w:bookmarkEnd w:id="64"/>
    <w:bookmarkStart w:id="65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All extraction, training, and analysis code; the trained subsystem clocks; the per-ECG and</w:t>
      </w:r>
      <w:r>
        <w:t xml:space="preserve"> </w:t>
      </w:r>
      <w:r>
        <w:t xml:space="preserve">per-participant prediction tables; and the specificity, negative-control, and mortality analyses</w:t>
      </w:r>
      <w:r>
        <w:t xml:space="preserve"> </w:t>
      </w:r>
      <w:r>
        <w:t xml:space="preserve">are provided in the accompanying repository, together with a scripted pipeline to reproduce</w:t>
      </w:r>
      <w:r>
        <w:t xml:space="preserve"> </w:t>
      </w:r>
      <w:r>
        <w:t xml:space="preserve">every figure and table from the released prediction tables.</w:t>
      </w:r>
    </w:p>
    <w:bookmarkEnd w:id="65"/>
    <w:bookmarkStart w:id="66" w:name="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This work is a secondary analysis of two de-identified, publicly-available datasets released</w:t>
      </w:r>
      <w:r>
        <w:t xml:space="preserve"> </w:t>
      </w:r>
      <w:r>
        <w:t xml:space="preserve">under their respective data-use agreements (PhysioNet Credentialed Health Data Use Agreement for</w:t>
      </w:r>
      <w:r>
        <w:t xml:space="preserve"> </w:t>
      </w:r>
      <w:r>
        <w:t xml:space="preserve">PTB-XL; NCHS public-use and linked-mortality terms for NHANES). No new data were collected and</w:t>
      </w:r>
      <w:r>
        <w:t xml:space="preserve"> </w:t>
      </w:r>
      <w:r>
        <w:t xml:space="preserve">no identifiable participant information was accessed; the analysis is therefore not human-subjects</w:t>
      </w:r>
      <w:r>
        <w:t xml:space="preserve"> </w:t>
      </w:r>
      <w:r>
        <w:t xml:space="preserve">research requiring additional institutional review.</w:t>
      </w:r>
    </w:p>
    <w:bookmarkEnd w:id="66"/>
    <w:bookmarkStart w:id="67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J.M. conceived the study, designed and implemented the analyses, and wrote the manuscript.</w:t>
      </w:r>
    </w:p>
    <w:bookmarkEnd w:id="67"/>
    <w:bookmarkStart w:id="68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68"/>
    <w:bookmarkStart w:id="69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commercial, or</w:t>
      </w:r>
      <w:r>
        <w:t xml:space="preserve"> </w:t>
      </w:r>
      <w:r>
        <w:t xml:space="preserve">not-for-profit sectors.</w:t>
      </w:r>
    </w:p>
    <w:bookmarkEnd w:id="69"/>
    <w:bookmarkStart w:id="109" w:name="use-of-ai-tools"/>
    <w:p>
      <w:pPr>
        <w:pStyle w:val="Heading1"/>
      </w:pPr>
      <w:r>
        <w:t xml:space="preserve">Use of AI tools</w:t>
      </w:r>
    </w:p>
    <w:p>
      <w:pPr>
        <w:pStyle w:val="FirstParagraph"/>
      </w:pPr>
      <w:r>
        <w:t xml:space="preserve">The analyses and manuscript were developed with the assistance of an AI research agent used for</w:t>
      </w:r>
      <w:r>
        <w:t xml:space="preserve"> </w:t>
      </w:r>
      <w:r>
        <w:t xml:space="preserve">code implementation, statistical analysis, figure generation, and drafting under the author’s</w:t>
      </w:r>
      <w:r>
        <w:t xml:space="preserve"> </w:t>
      </w:r>
      <w:r>
        <w:t xml:space="preserve">direction. The author verified all results, reproduced the primary mortality analysis</w:t>
      </w:r>
      <w:r>
        <w:t xml:space="preserve"> </w:t>
      </w:r>
      <w:r>
        <w:t xml:space="preserve">independently, and takes full responsibility for the content.</w:t>
      </w:r>
    </w:p>
    <w:bookmarkStart w:id="108" w:name="refs"/>
    <w:bookmarkStart w:id="71" w:name="ref-attia2019ecgage"/>
    <w:p>
      <w:pPr>
        <w:pStyle w:val="Bibliography"/>
      </w:pPr>
      <w:r>
        <w:t xml:space="preserve">Attia, Zachi I, Paul A Friedman, Peter A Noseworthy, et al. 2019.</w:t>
      </w:r>
      <w:r>
        <w:t xml:space="preserve"> </w:t>
      </w:r>
      <w:r>
        <w:t xml:space="preserve">“Age and Sex Estimation Using Artificial Intelligence from Standard 12-Lead ECGs.”</w:t>
      </w:r>
      <w:r>
        <w:t xml:space="preserve"> </w:t>
      </w:r>
      <w:r>
        <w:rPr>
          <w:i/>
          <w:iCs/>
        </w:rPr>
        <w:t xml:space="preserve">Circ Arrhythm Electrophysiol</w:t>
      </w:r>
      <w:r>
        <w:t xml:space="preserve"> </w:t>
      </w:r>
      <w:r>
        <w:t xml:space="preserve">12 (9): e007284.</w:t>
      </w:r>
      <w:r>
        <w:t xml:space="preserve"> </w:t>
      </w:r>
      <w:hyperlink r:id="rId70">
        <w:r>
          <w:rPr>
            <w:rStyle w:val="Hyperlink"/>
          </w:rPr>
          <w:t xml:space="preserve">https://doi.org/10.1161/CIRCEP.119.007284</w:t>
        </w:r>
      </w:hyperlink>
      <w:r>
        <w:t xml:space="preserve">.</w:t>
      </w:r>
    </w:p>
    <w:bookmarkEnd w:id="71"/>
    <w:bookmarkStart w:id="73" w:name="ref-barros2024ecgage"/>
    <w:p>
      <w:pPr>
        <w:pStyle w:val="Bibliography"/>
      </w:pPr>
      <w:r>
        <w:t xml:space="preserve">Barros, Andrew, Ian German Mesner, N Rich Nguyen, and J Randall Moorman. 2024.</w:t>
      </w:r>
      <w:r>
        <w:t xml:space="preserve"> </w:t>
      </w:r>
      <w:r>
        <w:t xml:space="preserve">“Age Prediction from 12-Lead Electrocardiograms Using Deep Learning: A Comparison of Four Models on a Contemporary, Freely Available Dataset.”</w:t>
      </w:r>
      <w:r>
        <w:t xml:space="preserve"> </w:t>
      </w:r>
      <w:r>
        <w:rPr>
          <w:i/>
          <w:iCs/>
        </w:rPr>
        <w:t xml:space="preserve">Physiol Meas</w:t>
      </w:r>
      <w:r>
        <w:t xml:space="preserve"> </w:t>
      </w:r>
      <w:r>
        <w:t xml:space="preserve">45 (8): 08NT01.</w:t>
      </w:r>
      <w:r>
        <w:t xml:space="preserve"> </w:t>
      </w:r>
      <w:hyperlink r:id="rId72">
        <w:r>
          <w:rPr>
            <w:rStyle w:val="Hyperlink"/>
          </w:rPr>
          <w:t xml:space="preserve">https://doi.org/10.1088/1361-6579/ad6746</w:t>
        </w:r>
      </w:hyperlink>
      <w:r>
        <w:t xml:space="preserve">.</w:t>
      </w:r>
    </w:p>
    <w:bookmarkEnd w:id="73"/>
    <w:bookmarkStart w:id="75" w:name="ref-beheshti2019biascorr"/>
    <w:p>
      <w:pPr>
        <w:pStyle w:val="Bibliography"/>
      </w:pPr>
      <w:r>
        <w:t xml:space="preserve">Beheshti, Iman, Scott Nugent, Olivier Potvin, and Simon Duchesne. 2019.</w:t>
      </w:r>
      <w:r>
        <w:t xml:space="preserve"> </w:t>
      </w:r>
      <w:r>
        <w:t xml:space="preserve">“Bias-Adjustment in Neuroimaging-Based Brain Age Frameworks: A Robust Scheme.”</w:t>
      </w:r>
      <w:r>
        <w:t xml:space="preserve"> </w:t>
      </w:r>
      <w:r>
        <w:rPr>
          <w:i/>
          <w:iCs/>
        </w:rPr>
        <w:t xml:space="preserve">NeuroImage: Clinical</w:t>
      </w:r>
      <w:r>
        <w:t xml:space="preserve"> </w:t>
      </w:r>
      <w:r>
        <w:t xml:space="preserve">24: 102063.</w:t>
      </w:r>
      <w:r>
        <w:t xml:space="preserve"> </w:t>
      </w:r>
      <w:hyperlink r:id="rId74">
        <w:r>
          <w:rPr>
            <w:rStyle w:val="Hyperlink"/>
          </w:rPr>
          <w:t xml:space="preserve">https://doi.org/10.1016/j.nicl.2019.102063</w:t>
        </w:r>
      </w:hyperlink>
      <w:r>
        <w:t xml:space="preserve">.</w:t>
      </w:r>
    </w:p>
    <w:bookmarkEnd w:id="75"/>
    <w:bookmarkStart w:id="77" w:name="ref-benjamini1995fdr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 Series B: Statistical Methodology</w:t>
      </w:r>
      <w:r>
        <w:t xml:space="preserve"> </w:t>
      </w:r>
      <w:r>
        <w:t xml:space="preserve">57 (1): 289–300.</w:t>
      </w:r>
      <w:r>
        <w:t xml:space="preserve"> </w:t>
      </w:r>
      <w:hyperlink r:id="rId7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77"/>
    <w:bookmarkStart w:id="79" w:name="ref-cole2018brainage"/>
    <w:p>
      <w:pPr>
        <w:pStyle w:val="Bibliography"/>
      </w:pPr>
      <w:r>
        <w:t xml:space="preserve">Cole, J H, S J Ritchie, M E Bastin, et al.</w:t>
      </w:r>
      <w:r>
        <w:t xml:space="preserve"> 2017.</w:t>
      </w:r>
      <w:r>
        <w:t xml:space="preserve"> </w:t>
      </w:r>
      <w:r>
        <w:t xml:space="preserve">“Brain Age Predicts Mortality.”</w:t>
      </w:r>
      <w:r>
        <w:t xml:space="preserve"> </w:t>
      </w:r>
      <w:r>
        <w:rPr>
          <w:i/>
          <w:iCs/>
        </w:rPr>
        <w:t xml:space="preserve">Mol Psychiatry</w:t>
      </w:r>
      <w:r>
        <w:t xml:space="preserve"> </w:t>
      </w:r>
      <w:r>
        <w:t xml:space="preserve">23 (5): 1385–92.</w:t>
      </w:r>
      <w:r>
        <w:t xml:space="preserve"> </w:t>
      </w:r>
      <w:hyperlink r:id="rId78">
        <w:r>
          <w:rPr>
            <w:rStyle w:val="Hyperlink"/>
          </w:rPr>
          <w:t xml:space="preserve">https://doi.org/10.1038/mp.2017.62</w:t>
        </w:r>
      </w:hyperlink>
      <w:r>
        <w:t xml:space="preserve">.</w:t>
      </w:r>
    </w:p>
    <w:bookmarkEnd w:id="79"/>
    <w:bookmarkStart w:id="81" w:name="ref-davidson2019lifelines"/>
    <w:p>
      <w:pPr>
        <w:pStyle w:val="Bibliography"/>
      </w:pPr>
      <w:r>
        <w:t xml:space="preserve">Davidson-Pilon, Cameron. 2019.</w:t>
      </w:r>
      <w:r>
        <w:t xml:space="preserve"> </w:t>
      </w:r>
      <w:r>
        <w:t xml:space="preserve">“Lifelines: Survival Analysis in Python.”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(40): 1317.</w:t>
      </w:r>
      <w:r>
        <w:t xml:space="preserve"> </w:t>
      </w:r>
      <w:hyperlink r:id="rId80">
        <w:r>
          <w:rPr>
            <w:rStyle w:val="Hyperlink"/>
          </w:rPr>
          <w:t xml:space="preserve">https://doi.org/10.21105/joss.01317</w:t>
        </w:r>
      </w:hyperlink>
      <w:r>
        <w:t xml:space="preserve">.</w:t>
      </w:r>
    </w:p>
    <w:bookmarkEnd w:id="81"/>
    <w:bookmarkStart w:id="83" w:name="ref-goldberger2000physionet"/>
    <w:p>
      <w:pPr>
        <w:pStyle w:val="Bibliography"/>
      </w:pPr>
      <w:r>
        <w:t xml:space="preserve">Goldberger, Ary L., Luis A. N. Amaral, Leon Glass, et al. 2000.</w:t>
      </w:r>
      <w:r>
        <w:t xml:space="preserve"> </w:t>
      </w:r>
      <w:r>
        <w:t xml:space="preserve">“</w:t>
      </w:r>
      <w:r>
        <w:t xml:space="preserve">PhysioBank, PhysioToolkit, and PhysioNet</w:t>
      </w:r>
      <w:r>
        <w:t xml:space="preserve">: Components of a New Research Resource for Complex Physiologic Signals.”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 </w:t>
      </w:r>
      <w:r>
        <w:t xml:space="preserve">101 (23): e215–20.</w:t>
      </w:r>
      <w:r>
        <w:t xml:space="preserve"> </w:t>
      </w:r>
      <w:hyperlink r:id="rId82">
        <w:r>
          <w:rPr>
            <w:rStyle w:val="Hyperlink"/>
          </w:rPr>
          <w:t xml:space="preserve">https://doi.org/10.1161/01.CIR.101.23.e215</w:t>
        </w:r>
      </w:hyperlink>
      <w:r>
        <w:t xml:space="preserve">.</w:t>
      </w:r>
    </w:p>
    <w:bookmarkEnd w:id="83"/>
    <w:bookmarkStart w:id="85" w:name="ref-harrell1996cindex"/>
    <w:p>
      <w:pPr>
        <w:pStyle w:val="Bibliography"/>
      </w:pPr>
      <w:r>
        <w:t xml:space="preserve">Harrell, Frank E., Kerry L. Lee, and Daniel B. Mark. 1996.</w:t>
      </w:r>
      <w:r>
        <w:t xml:space="preserve"> </w:t>
      </w:r>
      <w:r>
        <w:t xml:space="preserve">“Multivariable Prognostic Models: Issues in Developing Models, Evaluating Assumptions and Adequacy, and Measuring and Reducing Errors.”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15 (4): 361–87.</w:t>
      </w:r>
      <w:r>
        <w:t xml:space="preserve"> </w:t>
      </w:r>
      <w:hyperlink r:id="rId84">
        <w:r>
          <w:rPr>
            <w:rStyle w:val="Hyperlink"/>
          </w:rPr>
          <w:t xml:space="preserve">https://doi.org/10.1002/(SICI)1097-0258(19960229)15:4&lt;361::AID-SIM168&gt;3.0.CO;2-4</w:t>
        </w:r>
      </w:hyperlink>
      <w:r>
        <w:t xml:space="preserve">.</w:t>
      </w:r>
    </w:p>
    <w:bookmarkEnd w:id="85"/>
    <w:bookmarkStart w:id="87" w:name="ref-ladejobi2021ecgage"/>
    <w:p>
      <w:pPr>
        <w:pStyle w:val="Bibliography"/>
      </w:pPr>
      <w:r>
        <w:t xml:space="preserve">Ladejobi, Adetola O, Jose R Medina-Inojosa, Michal Shelly Cohen, et al. 2021.</w:t>
      </w:r>
      <w:r>
        <w:t xml:space="preserve"> </w:t>
      </w:r>
      <w:r>
        <w:t xml:space="preserve">“The 12-Lead Electrocardiogram as a Biomarker of Biological Age.”</w:t>
      </w:r>
      <w:r>
        <w:t xml:space="preserve"> </w:t>
      </w:r>
      <w:r>
        <w:rPr>
          <w:i/>
          <w:iCs/>
        </w:rPr>
        <w:t xml:space="preserve">European Heart Journal - Digital Health</w:t>
      </w:r>
      <w:r>
        <w:t xml:space="preserve"> </w:t>
      </w:r>
      <w:r>
        <w:t xml:space="preserve">2 (3): 379–89.</w:t>
      </w:r>
      <w:r>
        <w:t xml:space="preserve"> </w:t>
      </w:r>
      <w:hyperlink r:id="rId86">
        <w:r>
          <w:rPr>
            <w:rStyle w:val="Hyperlink"/>
          </w:rPr>
          <w:t xml:space="preserve">https://doi.org/10.1093/ehjdh/ztab043</w:t>
        </w:r>
      </w:hyperlink>
      <w:r>
        <w:t xml:space="preserve">.</w:t>
      </w:r>
    </w:p>
    <w:bookmarkEnd w:id="87"/>
    <w:bookmarkStart w:id="89" w:name="ref-delange2020biascorr"/>
    <w:p>
      <w:pPr>
        <w:pStyle w:val="Bibliography"/>
      </w:pPr>
      <w:r>
        <w:t xml:space="preserve">Lange, Ann-Marie G de, and James H Cole. 2020.</w:t>
      </w:r>
      <w:r>
        <w:t xml:space="preserve"> </w:t>
      </w:r>
      <w:r>
        <w:t xml:space="preserve">“Commentary: Correction Procedures in Brain-Age Prediction.”</w:t>
      </w:r>
      <w:r>
        <w:t xml:space="preserve"> </w:t>
      </w:r>
      <w:r>
        <w:rPr>
          <w:i/>
          <w:iCs/>
        </w:rPr>
        <w:t xml:space="preserve">Neuroimage Clin</w:t>
      </w:r>
      <w:r>
        <w:t xml:space="preserve"> </w:t>
      </w:r>
      <w:r>
        <w:t xml:space="preserve">26: 102229.</w:t>
      </w:r>
      <w:r>
        <w:t xml:space="preserve"> </w:t>
      </w:r>
      <w:hyperlink r:id="rId88">
        <w:r>
          <w:rPr>
            <w:rStyle w:val="Hyperlink"/>
          </w:rPr>
          <w:t xml:space="preserve">https://doi.org/10.1016/j.nicl.2020.102229</w:t>
        </w:r>
      </w:hyperlink>
      <w:r>
        <w:t xml:space="preserve">.</w:t>
      </w:r>
    </w:p>
    <w:bookmarkEnd w:id="89"/>
    <w:bookmarkStart w:id="91" w:name="ref-levey2009ckdepi"/>
    <w:p>
      <w:pPr>
        <w:pStyle w:val="Bibliography"/>
      </w:pPr>
      <w:r>
        <w:t xml:space="preserve">Levey, Andrew S., Lesley A. Stevens, Christopher H. Schmid, et al. 2009.</w:t>
      </w:r>
      <w:r>
        <w:t xml:space="preserve"> </w:t>
      </w:r>
      <w:r>
        <w:t xml:space="preserve">“A New Equation to Estimate Glomerular Filtration Rate.”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150 (9): 604–12.</w:t>
      </w:r>
      <w:r>
        <w:t xml:space="preserve"> </w:t>
      </w:r>
      <w:hyperlink r:id="rId90">
        <w:r>
          <w:rPr>
            <w:rStyle w:val="Hyperlink"/>
          </w:rPr>
          <w:t xml:space="preserve">https://doi.org/10.7326/0003-4819-150-9-200905050-00006</w:t>
        </w:r>
      </w:hyperlink>
      <w:r>
        <w:t xml:space="preserve">.</w:t>
      </w:r>
    </w:p>
    <w:bookmarkEnd w:id="91"/>
    <w:bookmarkStart w:id="93" w:name="ref-lima2021ecgage"/>
    <w:p>
      <w:pPr>
        <w:pStyle w:val="Bibliography"/>
      </w:pPr>
      <w:r>
        <w:t xml:space="preserve">Lima, Emilly M, Antônio H Ribeiro, Gabriela M M Paixão, et al.</w:t>
      </w:r>
      <w:r>
        <w:t xml:space="preserve"> 2021.</w:t>
      </w:r>
      <w:r>
        <w:t xml:space="preserve"> </w:t>
      </w:r>
      <w:r>
        <w:t xml:space="preserve">“Deep Neural Network-Estimated Electrocardiographic Age as a Mortality Predictor.”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12 (1): 5117.</w:t>
      </w:r>
      <w:r>
        <w:t xml:space="preserve"> </w:t>
      </w:r>
      <w:hyperlink r:id="rId92">
        <w:r>
          <w:rPr>
            <w:rStyle w:val="Hyperlink"/>
          </w:rPr>
          <w:t xml:space="preserve">https://doi.org/10.1038/s41467-021-25351-7</w:t>
        </w:r>
      </w:hyperlink>
      <w:r>
        <w:t xml:space="preserve">.</w:t>
      </w:r>
    </w:p>
    <w:bookmarkEnd w:id="93"/>
    <w:bookmarkStart w:id="95" w:name="ref-makowski2021neurokit2"/>
    <w:p>
      <w:pPr>
        <w:pStyle w:val="Bibliography"/>
      </w:pPr>
      <w:r>
        <w:t xml:space="preserve">Makowski, Dominique, Tam Pham, Zen J Lau, et al. 2021.</w:t>
      </w:r>
      <w:r>
        <w:t xml:space="preserve"> </w:t>
      </w:r>
      <w:r>
        <w:t xml:space="preserve">“NeuroKit2: A Python Toolbox for Neurophysiological Signal Processing.”</w:t>
      </w:r>
      <w:r>
        <w:t xml:space="preserve"> </w:t>
      </w:r>
      <w:r>
        <w:rPr>
          <w:i/>
          <w:iCs/>
        </w:rPr>
        <w:t xml:space="preserve">Behav Res Methods</w:t>
      </w:r>
      <w:r>
        <w:t xml:space="preserve"> </w:t>
      </w:r>
      <w:r>
        <w:t xml:space="preserve">53 (4): 1689–96.</w:t>
      </w:r>
      <w:r>
        <w:t xml:space="preserve"> </w:t>
      </w:r>
      <w:hyperlink r:id="rId94">
        <w:r>
          <w:rPr>
            <w:rStyle w:val="Hyperlink"/>
          </w:rPr>
          <w:t xml:space="preserve">https://doi.org/10.3758/s13428-020-01516-y</w:t>
        </w:r>
      </w:hyperlink>
      <w:r>
        <w:t xml:space="preserve">.</w:t>
      </w:r>
    </w:p>
    <w:bookmarkEnd w:id="95"/>
    <w:bookmarkStart w:id="97" w:name="ref-oh2023organage"/>
    <w:p>
      <w:pPr>
        <w:pStyle w:val="Bibliography"/>
      </w:pPr>
      <w:r>
        <w:t xml:space="preserve">Oh, Hamilton Se-Hwee, Jarod Rutledge, Daniel Nachun, et al. 2023.</w:t>
      </w:r>
      <w:r>
        <w:t xml:space="preserve"> </w:t>
      </w:r>
      <w:r>
        <w:t xml:space="preserve">“Organ Aging Signatures in the Plasma Proteome Track Health and Disease.”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624 (7990): 164–72.</w:t>
      </w:r>
      <w:r>
        <w:t xml:space="preserve"> </w:t>
      </w:r>
      <w:hyperlink r:id="rId96">
        <w:r>
          <w:rPr>
            <w:rStyle w:val="Hyperlink"/>
          </w:rPr>
          <w:t xml:space="preserve">https://doi.org/10.1038/s41586-023-06802-1</w:t>
        </w:r>
      </w:hyperlink>
      <w:r>
        <w:t xml:space="preserve">.</w:t>
      </w:r>
    </w:p>
    <w:bookmarkEnd w:id="97"/>
    <w:bookmarkStart w:id="99" w:name="ref-tian2023organage"/>
    <w:p>
      <w:pPr>
        <w:pStyle w:val="Bibliography"/>
      </w:pPr>
      <w:r>
        <w:t xml:space="preserve">Tian, Ye Ella, Vanessa Cropley, Andrea B Maier, Nicola T Lautenschlager, Michael Breakspear, and Andrew Zalesky. 2023.</w:t>
      </w:r>
      <w:r>
        <w:t xml:space="preserve"> </w:t>
      </w:r>
      <w:r>
        <w:t xml:space="preserve">“Heterogeneous Aging Across Multiple Organ Systems and Prediction of Chronic Disease and Mortality.”</w:t>
      </w:r>
      <w:r>
        <w:t xml:space="preserve"> </w:t>
      </w:r>
      <w:r>
        <w:rPr>
          <w:i/>
          <w:iCs/>
        </w:rPr>
        <w:t xml:space="preserve">Nat Med</w:t>
      </w:r>
      <w:r>
        <w:t xml:space="preserve"> </w:t>
      </w:r>
      <w:r>
        <w:t xml:space="preserve">29 (5): 1221–31.</w:t>
      </w:r>
      <w:r>
        <w:t xml:space="preserve"> </w:t>
      </w:r>
      <w:hyperlink r:id="rId98">
        <w:r>
          <w:rPr>
            <w:rStyle w:val="Hyperlink"/>
          </w:rPr>
          <w:t xml:space="preserve">https://doi.org/10.1038/s41591-023-02296-6</w:t>
        </w:r>
      </w:hyperlink>
      <w:r>
        <w:t xml:space="preserve">.</w:t>
      </w:r>
    </w:p>
    <w:bookmarkEnd w:id="99"/>
    <w:bookmarkStart w:id="101" w:name="ref-wagner2020ptbxl"/>
    <w:p>
      <w:pPr>
        <w:pStyle w:val="Bibliography"/>
      </w:pPr>
      <w:r>
        <w:t xml:space="preserve">Wagner, Patrick, Nils Strodthoff, Ralf-Dieter Bousseljot, et al. 2020.</w:t>
      </w:r>
      <w:r>
        <w:t xml:space="preserve"> </w:t>
      </w:r>
      <w:r>
        <w:t xml:space="preserve">“PTB-XL, a Large Publicly Available Electrocardiography Dataset.”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7 (1): 154.</w:t>
      </w:r>
      <w:r>
        <w:t xml:space="preserve"> </w:t>
      </w:r>
      <w:hyperlink r:id="rId100">
        <w:r>
          <w:rPr>
            <w:rStyle w:val="Hyperlink"/>
          </w:rPr>
          <w:t xml:space="preserve">https://doi.org/10.1038/s41597-020-0495-6</w:t>
        </w:r>
      </w:hyperlink>
      <w:r>
        <w:t xml:space="preserve">.</w:t>
      </w:r>
    </w:p>
    <w:bookmarkEnd w:id="101"/>
    <w:bookmarkStart w:id="103" w:name="ref-wang2025ecgage"/>
    <w:p>
      <w:pPr>
        <w:pStyle w:val="Bibliography"/>
      </w:pPr>
      <w:r>
        <w:t xml:space="preserve">Wang, Jiahao, Li Yan, Yaqi Liu, et al. 2025.</w:t>
      </w:r>
      <w:r>
        <w:t xml:space="preserve"> </w:t>
      </w:r>
      <w:r>
        <w:t xml:space="preserve">“Improving Age Prediction Using ECG Signals: Insights into Lifestyle Impacts.”</w:t>
      </w:r>
      <w:r>
        <w:t xml:space="preserve"> </w:t>
      </w:r>
      <w:r>
        <w:rPr>
          <w:i/>
          <w:iCs/>
        </w:rPr>
        <w:t xml:space="preserve">J Electrocardiol</w:t>
      </w:r>
      <w:r>
        <w:t xml:space="preserve"> </w:t>
      </w:r>
      <w:r>
        <w:t xml:space="preserve">92: 154083.</w:t>
      </w:r>
      <w:r>
        <w:t xml:space="preserve"> </w:t>
      </w:r>
      <w:hyperlink r:id="rId102">
        <w:r>
          <w:rPr>
            <w:rStyle w:val="Hyperlink"/>
          </w:rPr>
          <w:t xml:space="preserve">https://doi.org/10.1016/j.jelectrocard.2025.154083</w:t>
        </w:r>
      </w:hyperlink>
      <w:r>
        <w:t xml:space="preserve">.</w:t>
      </w:r>
    </w:p>
    <w:bookmarkEnd w:id="103"/>
    <w:bookmarkStart w:id="105" w:name="ref-westreich2013table2"/>
    <w:p>
      <w:pPr>
        <w:pStyle w:val="Bibliography"/>
      </w:pPr>
      <w:r>
        <w:t xml:space="preserve">Westreich, D., and S. Greenland. 2013.</w:t>
      </w:r>
      <w:r>
        <w:t xml:space="preserve"> </w:t>
      </w:r>
      <w:r>
        <w:t xml:space="preserve">“The Table 2 Fallacy: Presenting and Interpreting Confounder and Modifier Coefficients.”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177 (4): 292–98.</w:t>
      </w:r>
      <w:r>
        <w:t xml:space="preserve"> </w:t>
      </w:r>
      <w:hyperlink r:id="rId104">
        <w:r>
          <w:rPr>
            <w:rStyle w:val="Hyperlink"/>
          </w:rPr>
          <w:t xml:space="preserve">https://doi.org/10.1093/aje/kws412</w:t>
        </w:r>
      </w:hyperlink>
      <w:r>
        <w:t xml:space="preserve">.</w:t>
      </w:r>
    </w:p>
    <w:bookmarkEnd w:id="105"/>
    <w:bookmarkStart w:id="107" w:name="ref-zhang2023residualbias"/>
    <w:p>
      <w:pPr>
        <w:pStyle w:val="Bibliography"/>
      </w:pPr>
      <w:r>
        <w:t xml:space="preserve">Zhang, Biao, Shuqin Zhang, Jianfeng Feng, and Shihua Zhang. 2023.</w:t>
      </w:r>
      <w:r>
        <w:t xml:space="preserve"> </w:t>
      </w:r>
      <w:r>
        <w:t xml:space="preserve">“Age-Level Bias Correction in Brain Age Prediction.”</w:t>
      </w:r>
      <w:r>
        <w:t xml:space="preserve"> </w:t>
      </w:r>
      <w:r>
        <w:rPr>
          <w:i/>
          <w:iCs/>
        </w:rPr>
        <w:t xml:space="preserve">NeuroImage: Clinical</w:t>
      </w:r>
      <w:r>
        <w:t xml:space="preserve"> </w:t>
      </w:r>
      <w:r>
        <w:t xml:space="preserve">37: 103319.</w:t>
      </w:r>
      <w:r>
        <w:t xml:space="preserve"> </w:t>
      </w:r>
      <w:hyperlink r:id="rId106">
        <w:r>
          <w:rPr>
            <w:rStyle w:val="Hyperlink"/>
          </w:rPr>
          <w:t xml:space="preserve">https://doi.org/10.1016/j.nicl.2023.103319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 author:</w:t>
      </w:r>
      <w:r>
        <w:t xml:space="preserve"> </w:t>
      </w:r>
      <w:r>
        <w:rPr>
          <w:rStyle w:val="VerbatimChar"/>
        </w:rPr>
        <w:t xml:space="preserve">jim4226@miami.edu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hyperlink" Id="rId84" Target="https://doi.org/10.1002/(SICI)1097-0258(19960229)15:4&lt;361::AID-SIM168&gt;3.0.CO;2-4" TargetMode="External" /><Relationship Type="http://schemas.openxmlformats.org/officeDocument/2006/relationships/hyperlink" Id="rId102" Target="https://doi.org/10.1016/j.jelectrocard.2025.154083" TargetMode="External" /><Relationship Type="http://schemas.openxmlformats.org/officeDocument/2006/relationships/hyperlink" Id="rId74" Target="https://doi.org/10.1016/j.nicl.2019.102063" TargetMode="External" /><Relationship Type="http://schemas.openxmlformats.org/officeDocument/2006/relationships/hyperlink" Id="rId88" Target="https://doi.org/10.1016/j.nicl.2020.102229" TargetMode="External" /><Relationship Type="http://schemas.openxmlformats.org/officeDocument/2006/relationships/hyperlink" Id="rId106" Target="https://doi.org/10.1016/j.nicl.2023.103319" TargetMode="External" /><Relationship Type="http://schemas.openxmlformats.org/officeDocument/2006/relationships/hyperlink" Id="rId78" Target="https://doi.org/10.1038/mp.2017.62" TargetMode="External" /><Relationship Type="http://schemas.openxmlformats.org/officeDocument/2006/relationships/hyperlink" Id="rId92" Target="https://doi.org/10.1038/s41467-021-25351-7" TargetMode="External" /><Relationship Type="http://schemas.openxmlformats.org/officeDocument/2006/relationships/hyperlink" Id="rId96" Target="https://doi.org/10.1038/s41586-023-06802-1" TargetMode="External" /><Relationship Type="http://schemas.openxmlformats.org/officeDocument/2006/relationships/hyperlink" Id="rId98" Target="https://doi.org/10.1038/s41591-023-02296-6" TargetMode="External" /><Relationship Type="http://schemas.openxmlformats.org/officeDocument/2006/relationships/hyperlink" Id="rId100" Target="https://doi.org/10.1038/s41597-020-0495-6" TargetMode="External" /><Relationship Type="http://schemas.openxmlformats.org/officeDocument/2006/relationships/hyperlink" Id="rId72" Target="https://doi.org/10.1088/1361-6579/ad6746" TargetMode="External" /><Relationship Type="http://schemas.openxmlformats.org/officeDocument/2006/relationships/hyperlink" Id="rId104" Target="https://doi.org/10.1093/aje/kws412" TargetMode="External" /><Relationship Type="http://schemas.openxmlformats.org/officeDocument/2006/relationships/hyperlink" Id="rId86" Target="https://doi.org/10.1093/ehjdh/ztab043" TargetMode="External" /><Relationship Type="http://schemas.openxmlformats.org/officeDocument/2006/relationships/hyperlink" Id="rId76" Target="https://doi.org/10.1111/j.2517-6161.1995.tb02031.x" TargetMode="External" /><Relationship Type="http://schemas.openxmlformats.org/officeDocument/2006/relationships/hyperlink" Id="rId82" Target="https://doi.org/10.1161/01.CIR.101.23.e215" TargetMode="External" /><Relationship Type="http://schemas.openxmlformats.org/officeDocument/2006/relationships/hyperlink" Id="rId70" Target="https://doi.org/10.1161/CIRCEP.119.007284" TargetMode="External" /><Relationship Type="http://schemas.openxmlformats.org/officeDocument/2006/relationships/hyperlink" Id="rId80" Target="https://doi.org/10.21105/joss.01317" TargetMode="External" /><Relationship Type="http://schemas.openxmlformats.org/officeDocument/2006/relationships/hyperlink" Id="rId94" Target="https://doi.org/10.3758/s13428-020-01516-y" TargetMode="External" /><Relationship Type="http://schemas.openxmlformats.org/officeDocument/2006/relationships/hyperlink" Id="rId90" Target="https://doi.org/10.7326/0003-4819-150-9-200905050-00006" TargetMode="External" /><Relationship Type="http://schemas.openxmlformats.org/officeDocument/2006/relationships/hyperlink" Id="rId61" Target="https://physionet.org/content/ptb-xl/" TargetMode="External" /><Relationship Type="http://schemas.openxmlformats.org/officeDocument/2006/relationships/hyperlink" Id="rId63" Target="https://www.cdc.gov/nchs/data-linkage/mortality-public.htm" TargetMode="External" /><Relationship Type="http://schemas.openxmlformats.org/officeDocument/2006/relationships/hyperlink" Id="rId62" Target="https://wwwn.cdc.gov/nchs/nhan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doi.org/10.1002/(SICI)1097-0258(19960229)15:4&lt;361::AID-SIM168&gt;3.0.CO;2-4" TargetMode="External" /><Relationship Type="http://schemas.openxmlformats.org/officeDocument/2006/relationships/hyperlink" Id="rId102" Target="https://doi.org/10.1016/j.jelectrocard.2025.154083" TargetMode="External" /><Relationship Type="http://schemas.openxmlformats.org/officeDocument/2006/relationships/hyperlink" Id="rId74" Target="https://doi.org/10.1016/j.nicl.2019.102063" TargetMode="External" /><Relationship Type="http://schemas.openxmlformats.org/officeDocument/2006/relationships/hyperlink" Id="rId88" Target="https://doi.org/10.1016/j.nicl.2020.102229" TargetMode="External" /><Relationship Type="http://schemas.openxmlformats.org/officeDocument/2006/relationships/hyperlink" Id="rId106" Target="https://doi.org/10.1016/j.nicl.2023.103319" TargetMode="External" /><Relationship Type="http://schemas.openxmlformats.org/officeDocument/2006/relationships/hyperlink" Id="rId78" Target="https://doi.org/10.1038/mp.2017.62" TargetMode="External" /><Relationship Type="http://schemas.openxmlformats.org/officeDocument/2006/relationships/hyperlink" Id="rId92" Target="https://doi.org/10.1038/s41467-021-25351-7" TargetMode="External" /><Relationship Type="http://schemas.openxmlformats.org/officeDocument/2006/relationships/hyperlink" Id="rId96" Target="https://doi.org/10.1038/s41586-023-06802-1" TargetMode="External" /><Relationship Type="http://schemas.openxmlformats.org/officeDocument/2006/relationships/hyperlink" Id="rId98" Target="https://doi.org/10.1038/s41591-023-02296-6" TargetMode="External" /><Relationship Type="http://schemas.openxmlformats.org/officeDocument/2006/relationships/hyperlink" Id="rId100" Target="https://doi.org/10.1038/s41597-020-0495-6" TargetMode="External" /><Relationship Type="http://schemas.openxmlformats.org/officeDocument/2006/relationships/hyperlink" Id="rId72" Target="https://doi.org/10.1088/1361-6579/ad6746" TargetMode="External" /><Relationship Type="http://schemas.openxmlformats.org/officeDocument/2006/relationships/hyperlink" Id="rId104" Target="https://doi.org/10.1093/aje/kws412" TargetMode="External" /><Relationship Type="http://schemas.openxmlformats.org/officeDocument/2006/relationships/hyperlink" Id="rId86" Target="https://doi.org/10.1093/ehjdh/ztab043" TargetMode="External" /><Relationship Type="http://schemas.openxmlformats.org/officeDocument/2006/relationships/hyperlink" Id="rId76" Target="https://doi.org/10.1111/j.2517-6161.1995.tb02031.x" TargetMode="External" /><Relationship Type="http://schemas.openxmlformats.org/officeDocument/2006/relationships/hyperlink" Id="rId82" Target="https://doi.org/10.1161/01.CIR.101.23.e215" TargetMode="External" /><Relationship Type="http://schemas.openxmlformats.org/officeDocument/2006/relationships/hyperlink" Id="rId70" Target="https://doi.org/10.1161/CIRCEP.119.007284" TargetMode="External" /><Relationship Type="http://schemas.openxmlformats.org/officeDocument/2006/relationships/hyperlink" Id="rId80" Target="https://doi.org/10.21105/joss.01317" TargetMode="External" /><Relationship Type="http://schemas.openxmlformats.org/officeDocument/2006/relationships/hyperlink" Id="rId94" Target="https://doi.org/10.3758/s13428-020-01516-y" TargetMode="External" /><Relationship Type="http://schemas.openxmlformats.org/officeDocument/2006/relationships/hyperlink" Id="rId90" Target="https://doi.org/10.7326/0003-4819-150-9-200905050-00006" TargetMode="External" /><Relationship Type="http://schemas.openxmlformats.org/officeDocument/2006/relationships/hyperlink" Id="rId61" Target="https://physionet.org/content/ptb-xl/" TargetMode="External" /><Relationship Type="http://schemas.openxmlformats.org/officeDocument/2006/relationships/hyperlink" Id="rId63" Target="https://www.cdc.gov/nchs/data-linkage/mortality-public.htm" TargetMode="External" /><Relationship Type="http://schemas.openxmlformats.org/officeDocument/2006/relationships/hyperlink" Id="rId62" Target="https://wwwn.cdc.gov/nchs/nhan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Electrical Body Clock: subsystem-resolved ECG aging clocks localize disease to its electrical substrate, and the same organ-resolved principle predicts mortality</dc:title>
  <dc:creator>Jaron Mar</dc:creator>
  <cp:keywords/>
  <dcterms:created xsi:type="dcterms:W3CDTF">2026-07-10T04:25:50Z</dcterms:created>
  <dcterms:modified xsi:type="dcterms:W3CDTF">2026-07-10T04:25:50Z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Deep-learning “ECG-age” models estimate a single biological age for the whole heart, discarding the fact that the heart is an assembly of electrically distinct subsystems — the atria, the atrioventricular (AV) conduction axis, the ventricular myocardium, and the repolarization apparatus — that can age at different rates and fail independently. We decompose ECG age into four subsystem clocks by training separate 1D convolutional age regressors on segment-masked 10-second ECG waveforms (P wave, PR segment, QRS complex, ST–T segment) from 21373 adult PTB-XL recordings. Each subsystem carries a genuine but partial age signal (test R^2 0.24–0.54) that is weaker than a whole-strip global clock (R^2=0.63), confirming that no single subsystem contains all cardiac age information. The scientific payoff is the decomposition: the four-dimensional electrical-age fingerprint localizes to the diseased substrate. In a disease \times subsystem specificity analysis against strictly-normal controls (age- and sex-adjusted, FDR-controlled, patient-cluster bootstrap confidence intervals), diseases with a single unambiguous electrical substrate map onto their canonical subsystem — bundle-branch block onto ventricular age and ischemia onto repolarization age through a cross-disease interaction lens, and AV block onto AV-conduction age through a within-patient lens — while multi-substrate diseases (atrial fibrillation, hypertrophy, myocardial infarction) show physiologically-expected cross-substrate aging. Two negative controls establish that the signal is physiological, not artifactual. Finally, in a parallel population cohort (NHANES, n=\num{15844}, 2002 deaths) we show the same organ-resolved-aging method generalizes from the heart’s electrical subsystems to whole-body physiology: six organ-system age-gaps predict all-cause mortality, and their multi-system profile improves prediction over chronological age (C-index 0.817 \rightarrow 0.845). The result reframes biological aging from one number into an interpretable, per-system fingerprint.</vt:lpwstr>
  </property>
  <property fmtid="{D5CDD505-2E9C-101B-9397-08002B2CF9AE}" pid="3" name="bibliography">
    <vt:lpwstr>references.bib</vt:lpwstr>
  </property>
  <property fmtid="{D5CDD505-2E9C-101B-9397-08002B2CF9AE}" pid="4" name="date">
    <vt:lpwstr>July 2026</vt:lpwstr>
  </property>
</Properties>
</file>