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Enhancing Trust in AI-Generated Financial Risk Summaries</w:t>
        <w:br/>
        <w:t>through Human-in-the-Loop Feedback</w:t>
      </w:r>
    </w:p>
    <w:p/>
    <w:p>
      <w:pPr>
        <w:jc w:val="center"/>
      </w:pPr>
      <w:r>
        <w:rPr>
          <w:sz w:val="26"/>
        </w:rPr>
        <w:t>Interim Progress Report (IPR)</w:t>
      </w:r>
    </w:p>
    <w:p/>
    <w:p>
      <w:pPr>
        <w:jc w:val="center"/>
      </w:pPr>
      <w:r>
        <w:rPr>
          <w:sz w:val="22"/>
        </w:rPr>
        <w:t>[Your Name]</w:t>
      </w:r>
    </w:p>
    <w:p>
      <w:pPr>
        <w:jc w:val="center"/>
      </w:pPr>
      <w:r>
        <w:rPr>
          <w:sz w:val="22"/>
        </w:rPr>
        <w:t>[SRN]</w:t>
      </w:r>
    </w:p>
    <w:p>
      <w:pPr>
        <w:jc w:val="center"/>
      </w:pPr>
      <w:r>
        <w:rPr>
          <w:sz w:val="22"/>
        </w:rPr>
        <w:t>MSc Computer Science</w:t>
      </w:r>
    </w:p>
    <w:p>
      <w:pPr>
        <w:jc w:val="center"/>
      </w:pPr>
      <w:r>
        <w:rPr>
          <w:sz w:val="22"/>
        </w:rPr>
        <w:t>University of Hertfordshire</w:t>
      </w:r>
    </w:p>
    <w:p>
      <w:pPr>
        <w:jc w:val="center"/>
      </w:pPr>
      <w:r>
        <w:rPr>
          <w:sz w:val="22"/>
        </w:rPr>
        <w:t>February 2026</w:t>
      </w:r>
    </w:p>
    <w:p>
      <w:r>
        <w:br w:type="page"/>
      </w:r>
    </w:p>
    <w:p>
      <w:pPr>
        <w:pStyle w:val="Heading1"/>
      </w:pPr>
      <w:r>
        <w:t>1. Completed Work</w:t>
      </w:r>
    </w:p>
    <w:p>
      <w:r>
        <w:t>Since submitting the Extended Project Proposal, the FinRisk prototype has been built from scratch as a full-stack web application. The system implements a Retrieval-Augmented Generation (RAG) pipeline that retrieves relevant sections from real SEC 10-K filings, generates cited risk summaries using a large language model (OpenAI gpt-5.2), and embeds structured Human-in-the-Loop (HITL) checkpoints where participants can intervene in the process. The frontend is built with React 18, TypeScript, and Zustand for state management; the backend uses FastAPI, SQLAlchemy, and SQLite; development has produced 79 commits over approximately three weeks.</w:t>
      </w:r>
    </w:p>
    <w:p>
      <w:r>
        <w:t>The retrieval system went through three iterations. The first used ChromaDB with fixed-size embedded chunks, which ignored the SEC-mandated document structure and produced boundary artefacts. The second used the PageIndex cloud API, which provided native document trees but required substantial post-processing — raw trees contained leaf nodes up to 30,000 characters, heading-only stubs, and duplicate headings. The final approach, now the default, combines both: a one-time offline pipeline (build_tree_index.py) transforms raw PageIndex trees into canonical 4-level hierarchies (Root &gt; Part &gt; Item &gt; Sub-section), splitting oversized leaves, pruning empty stubs, and disambiguating headings. At query time, an LLM (o3-mini) navigates this hierarchy level by level to locate relevant sections, producing an auditable traversal path. Ten ticker indexes have been built and quality-audited across 1,268 leaf nodes, with automated scripts checking for truncation, missing content, and structural anomalies.</w:t>
      </w:r>
    </w:p>
    <w:p>
      <w:r>
        <w:t>Four HITL modes have been implemented for the study: Baseline (fully automatic, no intervention), HITL-R (participant selects which retrieved chunks the AI uses), HITL-G (participant reviews and edits the generated summary), and HITL-Full (both controls). The study protocol engine manages 16 participants across two counterbalanced groups, three phases each, with Latin-square ticker rotation and pre-defined risk queries per company. Tickers are assigned from quality tiers (75-100% retrieval accuracy) so that document quality can be analysed as a moderating variable.</w:t>
      </w:r>
    </w:p>
    <w:p>
      <w:r>
        <w:t>The participant-facing interface is a chat-style stream where every action produces a typed message entry — retrieved chunks, traversal paths, summaries with inline citations, chunk selectors, editable summaries, and questionnaire responses. Flow-control elements (questionnaire prompts, phase-advance buttons) are pinned outside the scrollable area to remain visible during follow-up exchanges. A post-generation questionnaire captures trust, accuracy, completeness, perceived control, and feature usefulness on Likert scales after each phase. An onboarding screen with a visual task map orients participants before they begin.</w:t>
      </w:r>
    </w:p>
    <w:p>
      <w:r>
        <w:t>Three admin tools have been built: a Study Control Panel for managing participant assignments and phase overrides, a Study Monitor dashboard for real-time session monitoring with drill-down into individual tasks, and a Checkpoint Dashboard for managing checkpoint definitions. Supporting infrastructure includes dual follow-up modes (conversational LLM-only and document search with retrieval), sidebar chat history with session snapshots, an in-app PDF viewer for source filing inspection, and a template fallback generator for when the LLM API is unavailable.</w:t>
      </w:r>
    </w:p>
    <w:p>
      <w:r>
        <w:t>This project involves human subjects. A user study with 16 participants will evaluate the four HITL modes in controlled sessions lasting 75-90 minutes each. Ethics approval has been obtained (protocol number: [INSERT PROTOCOL NUMBER]). Participants are recruited from financial professionals and advanced finance students, with RM150 compensation per session.</w:t>
      </w:r>
    </w:p>
    <w:p>
      <w:r>
        <w:rPr>
          <w:i/>
          <w:color w:val="808080"/>
          <w:sz w:val="18"/>
        </w:rPr>
        <w:t>[Word count: 511]</w:t>
      </w:r>
    </w:p>
    <w:p>
      <w:pPr>
        <w:pStyle w:val="Heading1"/>
      </w:pPr>
      <w:r>
        <w:t>2. Work to Be Done</w:t>
      </w:r>
    </w:p>
    <w:p>
      <w:r>
        <w:t>The remaining work falls into three phases: pilot testing, data collection, and analysis. The system is feature-complete and all four HITL modes are functional, so the focus shifts entirely to running the study and writing the final report.</w:t>
      </w:r>
    </w:p>
    <w:p>
      <w:r>
        <w:t>The first step is a pilot study with 2-3 participants to validate session timing (target: 75-90 minutes), confirm that the questionnaire wording is clear, verify that all data fields are captured correctly in the database, and identify any interface usability issues. Pilot participants will be drawn from the advanced learner category (MSc/MBA students) rather than professional analysts. Based on pilot feedback, the questionnaire wording, tutorial duration, and phase timing may be adjusted. A pilot acceptance criterion is that at least one full session completes without missing mandatory data fields or requiring manual database corrections.</w:t>
      </w:r>
    </w:p>
    <w:p>
      <w:r>
        <w:t>Following a successful pilot, the main study will recruit 16 participants (8 per group) for individual sessions conducted remotely via Microsoft Teams. Each participant completes a tutorial phase using a high-quality ticker (WMT, 100% retrieval accuracy), followed by three measured phases with different tickers and HITL modes. Sessions are screen-recorded with participant consent for qualitative analysis. A post-study questionnaire captures mode preferences, per-ticker quality perceptions, deployment readiness ratings, and demographics. An optional 5-10 minute semi-structured interview follows for willing participants. Data collection is expected to take 2-3 weeks, scheduling approximately 8 sessions per week.</w:t>
      </w:r>
    </w:p>
    <w:p>
      <w:r>
        <w:t>The evaluation will address four research questions. Primary analysis uses repeated measures ANOVA to test whether HITL modes produce higher trust and perceived quality than Baseline (RQ1), and whether HITL-R and HITL-G differ in perceived control and trust (RQ2). Exploratory analysis examines whether ticker quality tier moderates HITL effectiveness (RQ3) and identifies the minimum acceptable retrieval quality (RQ4). Behavioural measures — chunk selection patterns, editing intensity, time-on-task — will be correlated with self-reported trust. Qualitative data from open feedback and interviews will be analysed thematically to contextualise quantitative findings. Effect sizes and confidence intervals will be reported alongside significance tests.</w:t>
      </w:r>
    </w:p>
    <w:p>
      <w:r>
        <w:t>One remaining challenge is participant recruitment. The target of 16 participants with financial analysis experience or advanced finance training is achievable but requires active outreach. Recruitment materials have been prepared, including a short video and targeted adverts for LinkedIn and professional networks. If professional analyst recruitment falls short, the sample will be supplemented with additional advanced learners (MSc/MBA finance students), with participant background recorded as a covariate in the analysis.</w:t>
      </w:r>
    </w:p>
    <w:p>
      <w:r>
        <w:t>The final deliverable is the Final Project Report, which will present the full system description, study methodology, quantitative and qualitative results, discussion of findings against the research questions, limitations, and recommendations for deploying HITL controls in production RAG systems. The accompanying Final Demonstration Video will show the complete system with study data.</w:t>
      </w:r>
    </w:p>
    <w:p>
      <w:r>
        <w:rPr>
          <w:i/>
          <w:color w:val="808080"/>
          <w:sz w:val="18"/>
        </w:rPr>
        <w:t>[Word count: 448]</w:t>
      </w:r>
    </w:p>
    <w:p>
      <w:pPr>
        <w:pStyle w:val="Heading1"/>
      </w:pPr>
      <w:r>
        <w:t>References</w:t>
      </w:r>
    </w:p>
    <w:p>
      <w:pPr>
        <w:pStyle w:val="ListBullet"/>
        <w:spacing w:after="60"/>
      </w:pPr>
      <w:r>
        <w:rPr>
          <w:sz w:val="20"/>
        </w:rPr>
        <w:t>Amershi, S. et al. (2019) 'Guidelines for Human-AI Interaction', Proceedings of the 2019 CHI Conference on Human Factors in Computing Systems. ACM, pp. 1-13.</w:t>
      </w:r>
    </w:p>
    <w:p>
      <w:pPr>
        <w:pStyle w:val="ListBullet"/>
        <w:spacing w:after="60"/>
      </w:pPr>
      <w:r>
        <w:rPr>
          <w:sz w:val="20"/>
        </w:rPr>
        <w:t>Jacovi, A. et al. (2021) 'Formalizing Trust in Artificial Intelligence: Prerequisites, Causes and Goals of Human Trust in AI', Proceedings of the 2021 ACM Conference on Fairness, Accountability, and Transparency. ACM, pp. 624-635.</w:t>
      </w:r>
    </w:p>
    <w:p>
      <w:pPr>
        <w:pStyle w:val="ListBullet"/>
        <w:spacing w:after="60"/>
      </w:pPr>
      <w:r>
        <w:rPr>
          <w:sz w:val="20"/>
        </w:rPr>
        <w:t>Lewis, P. et al. (2020) 'Retrieval-Augmented Generation for Knowledge-Intensive NLP Tasks', Advances in Neural Information Processing Systems, 33, pp. 9459-9474.</w:t>
      </w:r>
    </w:p>
    <w:p>
      <w:pPr>
        <w:pStyle w:val="ListBullet"/>
        <w:spacing w:after="60"/>
      </w:pPr>
      <w:r>
        <w:rPr>
          <w:sz w:val="20"/>
        </w:rPr>
        <w:t>Monarch, R.M. (2021) Human-in-the-Loop Machine Learning: Active Learning and Annotation for Human-Centered AI. Manning Publications.</w:t>
      </w:r>
    </w:p>
    <w:p>
      <w:pPr>
        <w:pStyle w:val="ListBullet"/>
        <w:spacing w:after="60"/>
      </w:pPr>
      <w:r>
        <w:rPr>
          <w:sz w:val="20"/>
        </w:rPr>
        <w:t>Shneiderman, B. (2020) 'Human-Centered Artificial Intelligence: Reliable, Safe &amp; Trustworthy', International Journal of Human-Computer Interaction, 36(6), pp. 495-504.</w:t>
      </w:r>
    </w:p>
    <w:p>
      <w:pPr>
        <w:pStyle w:val="ListBullet"/>
        <w:spacing w:after="60"/>
      </w:pPr>
      <w:r>
        <w:rPr>
          <w:sz w:val="20"/>
        </w:rPr>
        <w:t>Shuster, K. et al. (2021) 'Retrieval Augmentation Reduces Hallucination in Conversation', Findings of the Association for Computational Linguistics: EMNLP 2021. pp. 3784-3803.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