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65D"/>
          <w:sz w:val="40"/>
          <w:szCs w:val="40"/>
        </w:rPr>
        <w:t xml:space="preserve">Extended Project Proposal (EPP)</w:t>
      </w:r>
    </w:p>
    <w:p>
      <w:pPr>
        <w:spacing w:after="100"/>
        <w:jc w:val="center"/>
      </w:pPr>
      <w:r>
        <w:rPr>
          <w:rFonts w:ascii="Arial" w:cs="Arial" w:eastAsia="Arial" w:hAnsi="Arial"/>
          <w:color w:val="2D3748"/>
          <w:sz w:val="26"/>
          <w:szCs w:val="26"/>
        </w:rPr>
        <w:t xml:space="preserve">MSc Computer Science with Artificial Intelligence</w:t>
      </w:r>
    </w:p>
    <w:p>
      <w:pPr>
        <w:spacing w:after="80"/>
        <w:jc w:val="center"/>
      </w:pPr>
      <w:r>
        <w:rPr>
          <w:rFonts w:ascii="Arial" w:cs="Arial" w:eastAsia="Arial" w:hAnsi="Arial"/>
          <w:color w:val="4A5568"/>
          <w:sz w:val="24"/>
          <w:szCs w:val="24"/>
        </w:rPr>
        <w:t xml:space="preserve">University of Hertfordshire</w:t>
      </w:r>
    </w:p>
    <w:p>
      <w:pPr>
        <w:spacing w:after="400"/>
        <w:jc w:val="center"/>
      </w:pPr>
    </w:p>
    <w:p>
      <w:pPr>
        <w:jc w:val="center"/>
      </w:pPr>
      <w:r>
        <w:rPr>
          <w:rFonts w:ascii="Arial" w:cs="Arial" w:eastAsia="Arial" w:hAnsi="Arial"/>
          <w:sz w:val="22"/>
          <w:szCs w:val="22"/>
        </w:rPr>
        <w:t xml:space="preserve">Student Name: Muhamad Zulhafiz Bin Zaini</w:t>
      </w:r>
    </w:p>
    <w:p>
      <w:pPr>
        <w:jc w:val="center"/>
      </w:pPr>
      <w:r>
        <w:rPr>
          <w:rFonts w:ascii="Arial" w:cs="Arial" w:eastAsia="Arial" w:hAnsi="Arial"/>
          <w:sz w:val="22"/>
          <w:szCs w:val="22"/>
        </w:rPr>
        <w:t xml:space="preserve">Student Registration Number: 23089377</w:t>
      </w:r>
    </w:p>
    <w:p>
      <w:pPr>
        <w:jc w:val="center"/>
      </w:pPr>
      <w:r>
        <w:rPr>
          <w:rFonts w:ascii="Arial" w:cs="Arial" w:eastAsia="Arial" w:hAnsi="Arial"/>
          <w:sz w:val="22"/>
          <w:szCs w:val="22"/>
        </w:rPr>
        <w:t xml:space="preserve">Supervisor: Dr. Epaminondas Kapetanios</w:t>
      </w:r>
    </w:p>
    <w:p>
      <w:pPr>
        <w:spacing w:after="200"/>
        <w:jc w:val="center"/>
      </w:pPr>
      <w:r>
        <w:rPr>
          <w:rFonts w:ascii="Arial" w:cs="Arial" w:eastAsia="Arial" w:hAnsi="Arial"/>
          <w:sz w:val="22"/>
          <w:szCs w:val="22"/>
        </w:rPr>
        <w:t xml:space="preserve">Date: February 6, 2026 (Revised)</w:t>
      </w:r>
    </w:p>
    <w:p>
      <w:pPr>
        <w:spacing w:before="400"/>
        <w:jc w:val="center"/>
      </w:pPr>
      <w:r>
        <w:rPr>
          <w:rFonts w:ascii="Arial" w:cs="Arial" w:eastAsia="Arial" w:hAnsi="Arial"/>
          <w:i/>
          <w:iCs/>
          <w:color w:val="718096"/>
          <w:sz w:val="18"/>
          <w:szCs w:val="18"/>
        </w:rPr>
        <w:t xml:space="preserve">REVISION NOTES: Updated to reflect PageIndex vectorless RAG adoption (replacing naive chunking), refined study design (N=16 progressive within-between), and dual-purpose framing connecting academic research with enterprise AI platform architecture for workforce applications.</w:t>
      </w:r>
    </w:p>
    <w:p>
      <w:r>
        <w:r>
          <w:br w:type="page"/>
        </w:r>
      </w:r>
    </w:p>
    <w:p>
      <w:pPr>
        <w:pStyle w:val="Heading1"/>
      </w:pPr>
      <w:r>
        <w:t xml:space="preserve">1. Project Title, Aim, and Research Questions</w:t>
      </w:r>
    </w:p>
    <w:p>
      <w:pPr>
        <w:pStyle w:val="Heading2"/>
      </w:pPr>
      <w:r>
        <w:t xml:space="preserve">Project Title</w:t>
      </w:r>
    </w:p>
    <w:p>
      <w:pPr>
        <w:spacing w:after="120"/>
      </w:pPr>
      <w:r>
        <w:rPr>
          <w:rFonts w:ascii="Arial" w:cs="Arial" w:eastAsia="Arial" w:hAnsi="Arial"/>
          <w:b/>
          <w:bCs/>
          <w:sz w:val="24"/>
          <w:szCs w:val="24"/>
        </w:rPr>
        <w:t xml:space="preserve">Enhancing Trust in AI-Generated Financial Risk Summaries through Human-in-the-Loop Feedback: A Reference Architecture for Enterprise AI Governance</w:t>
      </w:r>
    </w:p>
    <w:p>
      <w:pPr>
        <w:pStyle w:val="Heading2"/>
      </w:pPr>
      <w:r>
        <w:t xml:space="preserve">Aim</w:t>
      </w:r>
    </w:p>
    <w:p>
      <w:pPr>
        <w:spacing w:after="120"/>
      </w:pPr>
      <w:r>
        <w:rPr>
          <w:rFonts w:ascii="Arial" w:cs="Arial" w:eastAsia="Arial" w:hAnsi="Arial"/>
          <w:sz w:val="22"/>
          <w:szCs w:val="22"/>
        </w:rPr>
        <w:t xml:space="preserve">To develop and evaluate an interactive AI system that leverages human-in-the-loop (HITL) mechanisms to improve the accuracy, trustworthiness, and usability of automatically generated financial risk summaries from SEC 10-K filings, with emphasis on transparent source attribution and explainable AI design. The system employs PageIndex, a state-of-the-art vectorless reasoning-based RAG framework, replacing traditional vector chunking approaches.</w:t>
      </w:r>
    </w:p>
    <w:p>
      <w:pPr>
        <w:spacing w:after="120"/>
      </w:pPr>
      <w:r>
        <w:rPr>
          <w:rFonts w:ascii="Arial" w:cs="Arial" w:eastAsia="Arial" w:hAnsi="Arial"/>
          <w:sz w:val="22"/>
          <w:szCs w:val="22"/>
        </w:rPr>
        <w:t xml:space="preserve">A secondary aim is to establish this system as a reference architecture for enterprise AI platforms in regulated industries, demonstrating how HITL principles, audit-grade interaction logging, and structured human oversight can be systematically applied to workforce AI applications beyond the financial analysis domain.</w:t>
      </w:r>
    </w:p>
    <w:p>
      <w:pPr>
        <w:pStyle w:val="Heading2"/>
      </w:pPr>
      <w:r>
        <w:t xml:space="preserve">Primary Research Question</w:t>
      </w:r>
    </w:p>
    <w:p>
      <w:pPr>
        <w:spacing w:after="120"/>
      </w:pPr>
      <w:r>
        <w:rPr>
          <w:rFonts w:ascii="Arial" w:cs="Arial" w:eastAsia="Arial" w:hAnsi="Arial"/>
          <w:sz w:val="22"/>
          <w:szCs w:val="22"/>
        </w:rPr>
        <w:t xml:space="preserve">How do human-in-the-loop feedback mechanisms at different pipeline stages (retrieval vs. generation) affect the accuracy, faithfulness, and user trust in AI-generated financial risk summaries?</w:t>
      </w:r>
    </w:p>
    <w:p>
      <w:pPr>
        <w:pStyle w:val="Heading2"/>
      </w:pPr>
      <w:r>
        <w:t xml:space="preserve">Sub-Research Questions</w:t>
      </w:r>
    </w:p>
    <w:p>
      <w:pPr>
        <w:pStyle w:val="ListParagraph"/>
        <w:numPr>
          <w:ilvl w:val="0"/>
          <w:numId w:val="2"/>
        </w:numPr>
        <w:spacing w:after="60"/>
      </w:pPr>
      <w:r>
        <w:rPr>
          <w:rFonts w:ascii="Arial" w:cs="Arial" w:eastAsia="Arial" w:hAnsi="Arial"/>
          <w:sz w:val="22"/>
          <w:szCs w:val="22"/>
        </w:rPr>
        <w:t xml:space="preserve">RQ1: To what extent do HITL mechanisms improve the factual accuracy and faithfulness of AI-generated risk summaries compared to fully automated approaches?</w:t>
      </w:r>
    </w:p>
    <w:p>
      <w:pPr>
        <w:pStyle w:val="ListParagraph"/>
        <w:numPr>
          <w:ilvl w:val="0"/>
          <w:numId w:val="2"/>
        </w:numPr>
        <w:spacing w:after="60"/>
      </w:pPr>
      <w:r>
        <w:rPr>
          <w:rFonts w:ascii="Arial" w:cs="Arial" w:eastAsia="Arial" w:hAnsi="Arial"/>
          <w:sz w:val="22"/>
          <w:szCs w:val="22"/>
        </w:rPr>
        <w:t xml:space="preserve">RQ2: How does user trust in AI outputs vary between systems with and without HITL capabilities, and what factors mediate this trust relationship?</w:t>
      </w:r>
    </w:p>
    <w:p>
      <w:pPr>
        <w:pStyle w:val="ListParagraph"/>
        <w:numPr>
          <w:ilvl w:val="0"/>
          <w:numId w:val="2"/>
        </w:numPr>
        <w:spacing w:after="60"/>
      </w:pPr>
      <w:r>
        <w:rPr>
          <w:rFonts w:ascii="Arial" w:cs="Arial" w:eastAsia="Arial" w:hAnsi="Arial"/>
          <w:sz w:val="22"/>
          <w:szCs w:val="22"/>
        </w:rPr>
        <w:t xml:space="preserve">RQ3: At which stages of the RAG pipeline (retrieval vs. generation) does human intervention provide the most value in terms of output quality and user confidence?</w:t>
      </w:r>
    </w:p>
    <w:p>
      <w:pPr>
        <w:pStyle w:val="ListParagraph"/>
        <w:numPr>
          <w:ilvl w:val="0"/>
          <w:numId w:val="2"/>
        </w:numPr>
        <w:spacing w:after="60"/>
      </w:pPr>
      <w:r>
        <w:rPr>
          <w:rFonts w:ascii="Arial" w:cs="Arial" w:eastAsia="Arial" w:hAnsi="Arial"/>
          <w:sz w:val="22"/>
          <w:szCs w:val="22"/>
        </w:rPr>
        <w:t xml:space="preserve">RQ4: What are the time-quality trade-offs associated with different HITL configurations, and how do these affect user acceptance and perceived system usefulness?</w:t>
      </w:r>
    </w:p>
    <w:p>
      <w:pPr>
        <w:pStyle w:val="Heading2"/>
      </w:pPr>
      <w:r>
        <w:t xml:space="preserve">Industry Extension Question</w:t>
      </w:r>
    </w:p>
    <w:p>
      <w:pPr>
        <w:spacing w:after="120"/>
      </w:pPr>
      <w:r>
        <w:rPr>
          <w:rFonts w:ascii="Arial" w:cs="Arial" w:eastAsia="Arial" w:hAnsi="Arial"/>
          <w:i/>
          <w:iCs/>
          <w:color w:val="4A5568"/>
          <w:sz w:val="22"/>
          <w:szCs w:val="22"/>
        </w:rPr>
        <w:t xml:space="preserve">(Informs professional application; not formally evaluated in thesis)</w:t>
      </w:r>
    </w:p>
    <w:p>
      <w:pPr>
        <w:pStyle w:val="ListParagraph"/>
        <w:numPr>
          <w:ilvl w:val="0"/>
          <w:numId w:val="2"/>
        </w:numPr>
        <w:spacing w:after="60"/>
      </w:pPr>
      <w:r>
        <w:rPr>
          <w:rFonts w:ascii="Arial" w:cs="Arial" w:eastAsia="Arial" w:hAnsi="Arial"/>
          <w:sz w:val="22"/>
          <w:szCs w:val="22"/>
        </w:rPr>
        <w:t xml:space="preserve">RQ5: What architectural patterns from this HITL system generalise to enterprise workforce AI platforms, particularly regarding human oversight, governance logging, and progressive automation?</w:t>
      </w:r>
    </w:p>
    <w:p>
      <w:r>
        <w:r>
          <w:br w:type="page"/>
        </w:r>
      </w:r>
    </w:p>
    <w:p>
      <w:pPr>
        <w:pStyle w:val="Heading1"/>
      </w:pPr>
      <w:r>
        <w:t xml:space="preserve">2. Objectives</w:t>
      </w:r>
    </w:p>
    <w:p>
      <w:pPr>
        <w:pStyle w:val="Heading2"/>
      </w:pPr>
      <w:r>
        <w:t xml:space="preserve">Core Objectives (Essential)</w:t>
      </w:r>
    </w:p>
    <w:p>
      <w:pPr>
        <w:spacing w:after="80"/>
      </w:pPr>
      <w:r>
        <w:rPr>
          <w:rFonts w:ascii="Arial" w:cs="Arial" w:eastAsia="Arial" w:hAnsi="Arial"/>
          <w:b/>
          <w:bCs/>
          <w:sz w:val="22"/>
          <w:szCs w:val="22"/>
        </w:rPr>
        <w:t xml:space="preserve">CO1. Document Indexing with PageIndex (Weeks 1-2)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Acquire 8 SEC 10-K filings (MSFT, AAPL, TSLA, JPM, PFE, WMT, XOM, BA) from SEC EDGAR</w:t>
      </w:r>
    </w:p>
    <w:p>
      <w:pPr>
        <w:pStyle w:val="ListParagraph"/>
        <w:numPr>
          <w:ilvl w:val="0"/>
          <w:numId w:val="3"/>
        </w:numPr>
        <w:spacing w:after="60"/>
      </w:pPr>
      <w:r>
        <w:rPr>
          <w:rFonts w:ascii="Arial" w:cs="Arial" w:eastAsia="Arial" w:hAnsi="Arial"/>
          <w:sz w:val="22"/>
          <w:szCs w:val="22"/>
        </w:rPr>
        <w:t xml:space="preserve">Index each full 10-K via PageIndex Cloud API, generating hierarchical tree structures</w:t>
      </w:r>
    </w:p>
    <w:p>
      <w:pPr>
        <w:pStyle w:val="ListParagraph"/>
        <w:numPr>
          <w:ilvl w:val="0"/>
          <w:numId w:val="3"/>
        </w:numPr>
        <w:spacing w:after="60"/>
      </w:pPr>
      <w:r>
        <w:rPr>
          <w:rFonts w:ascii="Arial" w:cs="Arial" w:eastAsia="Arial" w:hAnsi="Arial"/>
          <w:sz w:val="22"/>
          <w:szCs w:val="22"/>
        </w:rPr>
        <w:t xml:space="preserve">Cache tree structures and validate retrieval readiness for all 8 documents</w:t>
      </w:r>
    </w:p>
    <w:p>
      <w:pPr>
        <w:pStyle w:val="ListParagraph"/>
        <w:numPr>
          <w:ilvl w:val="0"/>
          <w:numId w:val="3"/>
        </w:numPr>
        <w:spacing w:after="60"/>
      </w:pPr>
      <w:r>
        <w:rPr>
          <w:rFonts w:ascii="Arial" w:cs="Arial" w:eastAsia="Arial" w:hAnsi="Arial"/>
          <w:sz w:val="22"/>
          <w:szCs w:val="22"/>
        </w:rPr>
        <w:t xml:space="preserve">Success Criteria: 8 documents indexed with status=completed, retrieval_ready=true, tree structures cached in PostgreSQL</w:t>
      </w:r>
    </w:p>
    <w:p>
      <w:pPr>
        <w:spacing w:after="80"/>
      </w:pPr>
      <w:r>
        <w:rPr>
          <w:rFonts w:ascii="Arial" w:cs="Arial" w:eastAsia="Arial" w:hAnsi="Arial"/>
          <w:b/>
          <w:bCs/>
          <w:sz w:val="22"/>
          <w:szCs w:val="22"/>
        </w:rPr>
        <w:t xml:space="preserve">CO2. Retrieval-Augmented Generation Pipeline (Weeks 3-5)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Implement reasoning-based retrieval using PageIndex Retrieval API with thinking=True</w:t>
      </w:r>
    </w:p>
    <w:p>
      <w:pPr>
        <w:pStyle w:val="ListParagraph"/>
        <w:numPr>
          <w:ilvl w:val="0"/>
          <w:numId w:val="3"/>
        </w:numPr>
        <w:spacing w:after="60"/>
      </w:pPr>
      <w:r>
        <w:rPr>
          <w:rFonts w:ascii="Arial" w:cs="Arial" w:eastAsia="Arial" w:hAnsi="Arial"/>
          <w:sz w:val="22"/>
          <w:szCs w:val="22"/>
        </w:rPr>
        <w:t xml:space="preserve">Develop LLM summarization using GPT-4o-mini with structured prompt templates emphasising source attribution</w:t>
      </w:r>
    </w:p>
    <w:p>
      <w:pPr>
        <w:pStyle w:val="ListParagraph"/>
        <w:numPr>
          <w:ilvl w:val="0"/>
          <w:numId w:val="3"/>
        </w:numPr>
        <w:spacing w:after="60"/>
      </w:pPr>
      <w:r>
        <w:rPr>
          <w:rFonts w:ascii="Arial" w:cs="Arial" w:eastAsia="Arial" w:hAnsi="Arial"/>
          <w:sz w:val="22"/>
          <w:szCs w:val="22"/>
        </w:rPr>
        <w:t xml:space="preserve">Establish baseline performance: retrieval returns relevant nodes with page-level citations for all 8 pre-defined study queries</w:t>
      </w:r>
    </w:p>
    <w:p>
      <w:pPr>
        <w:pStyle w:val="ListParagraph"/>
        <w:numPr>
          <w:ilvl w:val="0"/>
          <w:numId w:val="3"/>
        </w:numPr>
        <w:spacing w:after="60"/>
      </w:pPr>
      <w:r>
        <w:rPr>
          <w:rFonts w:ascii="Arial" w:cs="Arial" w:eastAsia="Arial" w:hAnsi="Arial"/>
          <w:sz w:val="22"/>
          <w:szCs w:val="22"/>
        </w:rPr>
        <w:t xml:space="preserve">Success Criteria: End-to-end pipeline producing cited summaries with traceable source references for every claim</w:t>
      </w:r>
    </w:p>
    <w:p>
      <w:pPr>
        <w:spacing w:after="80"/>
      </w:pPr>
      <w:r>
        <w:rPr>
          <w:rFonts w:ascii="Arial" w:cs="Arial" w:eastAsia="Arial" w:hAnsi="Arial"/>
          <w:b/>
          <w:bCs/>
          <w:sz w:val="22"/>
          <w:szCs w:val="22"/>
        </w:rPr>
        <w:t xml:space="preserve">CO3. Chat-Native HITL Interface (Weeks 6-10)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Build React/TypeScript chat interface rendering all interactions as messages in a single conversation stream</w:t>
      </w:r>
    </w:p>
    <w:p>
      <w:pPr>
        <w:pStyle w:val="ListParagraph"/>
        <w:numPr>
          <w:ilvl w:val="0"/>
          <w:numId w:val="3"/>
        </w:numPr>
        <w:spacing w:after="60"/>
      </w:pPr>
      <w:r>
        <w:rPr>
          <w:rFonts w:ascii="Arial" w:cs="Arial" w:eastAsia="Arial" w:hAnsi="Arial"/>
          <w:sz w:val="22"/>
          <w:szCs w:val="22"/>
        </w:rPr>
        <w:t xml:space="preserve">Implement four operational modes: Baseline (read-only), HITL-R (interactive section selection), HITL-G (editable summary + hallucination flagging), HITL-Full (both interventions)</w:t>
      </w:r>
    </w:p>
    <w:p>
      <w:pPr>
        <w:pStyle w:val="ListParagraph"/>
        <w:numPr>
          <w:ilvl w:val="0"/>
          <w:numId w:val="3"/>
        </w:numPr>
        <w:spacing w:after="60"/>
      </w:pPr>
      <w:r>
        <w:rPr>
          <w:rFonts w:ascii="Arial" w:cs="Arial" w:eastAsia="Arial" w:hAnsi="Arial"/>
          <w:sz w:val="22"/>
          <w:szCs w:val="22"/>
        </w:rPr>
        <w:t xml:space="preserve">Develop study orchestration layer: session management, phase transitions, counterbalanced document assignment, integrated questionnaires</w:t>
      </w:r>
    </w:p>
    <w:p>
      <w:pPr>
        <w:pStyle w:val="ListParagraph"/>
        <w:numPr>
          <w:ilvl w:val="0"/>
          <w:numId w:val="3"/>
        </w:numPr>
        <w:spacing w:after="60"/>
      </w:pPr>
      <w:r>
        <w:rPr>
          <w:rFonts w:ascii="Arial" w:cs="Arial" w:eastAsia="Arial" w:hAnsi="Arial"/>
          <w:sz w:val="22"/>
          <w:szCs w:val="22"/>
        </w:rPr>
        <w:t xml:space="preserve">Implement comprehensive interaction logging: every user action timestamped and stored as a first-class event record</w:t>
      </w:r>
    </w:p>
    <w:p>
      <w:pPr>
        <w:pStyle w:val="ListParagraph"/>
        <w:numPr>
          <w:ilvl w:val="0"/>
          <w:numId w:val="3"/>
        </w:numPr>
        <w:spacing w:after="60"/>
      </w:pPr>
      <w:r>
        <w:rPr>
          <w:rFonts w:ascii="Arial" w:cs="Arial" w:eastAsia="Arial" w:hAnsi="Arial"/>
          <w:sz w:val="22"/>
          <w:szCs w:val="22"/>
        </w:rPr>
        <w:t xml:space="preserve">Success Criteria: Functional progressive HITL prototype supporting all 4 modes with complete audit trail of every interaction</w:t>
      </w:r>
    </w:p>
    <w:p>
      <w:pPr>
        <w:spacing w:after="80"/>
      </w:pPr>
      <w:r>
        <w:rPr>
          <w:rFonts w:ascii="Arial" w:cs="Arial" w:eastAsia="Arial" w:hAnsi="Arial"/>
          <w:b/>
          <w:bCs/>
          <w:sz w:val="22"/>
          <w:szCs w:val="22"/>
        </w:rPr>
        <w:t xml:space="preserve">CO4. User Study Execution (Weeks 12-13)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Conduct pilot study (N=6, 3 per group) to validate timing and identify UX issues</w:t>
      </w:r>
    </w:p>
    <w:p>
      <w:pPr>
        <w:pStyle w:val="ListParagraph"/>
        <w:numPr>
          <w:ilvl w:val="0"/>
          <w:numId w:val="3"/>
        </w:numPr>
        <w:spacing w:after="60"/>
      </w:pPr>
      <w:r>
        <w:rPr>
          <w:rFonts w:ascii="Arial" w:cs="Arial" w:eastAsia="Arial" w:hAnsi="Arial"/>
          <w:sz w:val="22"/>
          <w:szCs w:val="22"/>
        </w:rPr>
        <w:t xml:space="preserve">Execute main study (N=16, 8 per group) using progressive within-between mixed design</w:t>
      </w:r>
    </w:p>
    <w:p>
      <w:pPr>
        <w:pStyle w:val="ListParagraph"/>
        <w:numPr>
          <w:ilvl w:val="0"/>
          <w:numId w:val="3"/>
        </w:numPr>
        <w:spacing w:after="60"/>
      </w:pPr>
      <w:r>
        <w:rPr>
          <w:rFonts w:ascii="Arial" w:cs="Arial" w:eastAsia="Arial" w:hAnsi="Arial"/>
          <w:sz w:val="22"/>
          <w:szCs w:val="22"/>
        </w:rPr>
        <w:t xml:space="preserve">Collect quantitative metrics (accuracy, trust, time-on-task) and qualitative feedback (interviews)</w:t>
      </w:r>
    </w:p>
    <w:p>
      <w:pPr>
        <w:pStyle w:val="ListParagraph"/>
        <w:numPr>
          <w:ilvl w:val="0"/>
          <w:numId w:val="3"/>
        </w:numPr>
        <w:spacing w:after="60"/>
      </w:pPr>
      <w:r>
        <w:rPr>
          <w:rFonts w:ascii="Arial" w:cs="Arial" w:eastAsia="Arial" w:hAnsi="Arial"/>
          <w:sz w:val="22"/>
          <w:szCs w:val="22"/>
        </w:rPr>
        <w:t xml:space="preserve">Success Criteria: Complete dataset for 16 participants with &lt;20% missing data, sessions under 90 minutes</w:t>
      </w:r>
    </w:p>
    <w:p>
      <w:pPr>
        <w:spacing w:after="80"/>
      </w:pPr>
      <w:r>
        <w:rPr>
          <w:rFonts w:ascii="Arial" w:cs="Arial" w:eastAsia="Arial" w:hAnsi="Arial"/>
          <w:b/>
          <w:bCs/>
          <w:sz w:val="22"/>
          <w:szCs w:val="22"/>
        </w:rPr>
        <w:t xml:space="preserve">CO5. Evaluation and Analysis (Week 14)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Repeated-measures ANOVA for within-person effects across phases</w:t>
      </w:r>
    </w:p>
    <w:p>
      <w:pPr>
        <w:pStyle w:val="ListParagraph"/>
        <w:numPr>
          <w:ilvl w:val="0"/>
          <w:numId w:val="3"/>
        </w:numPr>
        <w:spacing w:after="60"/>
      </w:pPr>
      <w:r>
        <w:rPr>
          <w:rFonts w:ascii="Arial" w:cs="Arial" w:eastAsia="Arial" w:hAnsi="Arial"/>
          <w:sz w:val="22"/>
          <w:szCs w:val="22"/>
        </w:rPr>
        <w:t xml:space="preserve">Between-group t-test for RQ3 (retrieval vs. generation intervention comparison)</w:t>
      </w:r>
    </w:p>
    <w:p>
      <w:pPr>
        <w:pStyle w:val="ListParagraph"/>
        <w:numPr>
          <w:ilvl w:val="0"/>
          <w:numId w:val="3"/>
        </w:numPr>
        <w:spacing w:after="60"/>
      </w:pPr>
      <w:r>
        <w:rPr>
          <w:rFonts w:ascii="Arial" w:cs="Arial" w:eastAsia="Arial" w:hAnsi="Arial"/>
          <w:sz w:val="22"/>
          <w:szCs w:val="22"/>
        </w:rPr>
        <w:t xml:space="preserve">Mixed model regression for phase-group interaction effects</w:t>
      </w:r>
    </w:p>
    <w:p>
      <w:pPr>
        <w:pStyle w:val="ListParagraph"/>
        <w:numPr>
          <w:ilvl w:val="0"/>
          <w:numId w:val="3"/>
        </w:numPr>
        <w:spacing w:after="60"/>
      </w:pPr>
      <w:r>
        <w:rPr>
          <w:rFonts w:ascii="Arial" w:cs="Arial" w:eastAsia="Arial" w:hAnsi="Arial"/>
          <w:sz w:val="22"/>
          <w:szCs w:val="22"/>
        </w:rPr>
        <w:t xml:space="preserve">Qualitative thematic analysis of interview data</w:t>
      </w:r>
    </w:p>
    <w:p>
      <w:pPr>
        <w:pStyle w:val="ListParagraph"/>
        <w:numPr>
          <w:ilvl w:val="0"/>
          <w:numId w:val="3"/>
        </w:numPr>
        <w:spacing w:after="60"/>
      </w:pPr>
      <w:r>
        <w:rPr>
          <w:rFonts w:ascii="Arial" w:cs="Arial" w:eastAsia="Arial" w:hAnsi="Arial"/>
          <w:sz w:val="22"/>
          <w:szCs w:val="22"/>
        </w:rPr>
        <w:t xml:space="preserve">Success Criteria: Clear quantitative and qualitative conclusions with statistical support for all 4 RQs</w:t>
      </w:r>
    </w:p>
    <w:p>
      <w:pPr>
        <w:spacing w:after="80"/>
      </w:pPr>
      <w:r>
        <w:rPr>
          <w:rFonts w:ascii="Arial" w:cs="Arial" w:eastAsia="Arial" w:hAnsi="Arial"/>
          <w:b/>
          <w:bCs/>
          <w:sz w:val="22"/>
          <w:szCs w:val="22"/>
        </w:rPr>
        <w:t xml:space="preserve">CO6. Documentation and Dissertation (Weeks 15-16) </w:t>
      </w: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sz w:val="22"/>
          <w:szCs w:val="22"/>
        </w:rPr>
        <w:t xml:space="preserve">Complete thesis with literature review, methodology, results, and discussion</w:t>
      </w:r>
    </w:p>
    <w:p>
      <w:pPr>
        <w:pStyle w:val="ListParagraph"/>
        <w:numPr>
          <w:ilvl w:val="0"/>
          <w:numId w:val="3"/>
        </w:numPr>
        <w:spacing w:after="60"/>
      </w:pPr>
      <w:r>
        <w:rPr>
          <w:rFonts w:ascii="Arial" w:cs="Arial" w:eastAsia="Arial" w:hAnsi="Arial"/>
          <w:sz w:val="22"/>
          <w:szCs w:val="22"/>
        </w:rPr>
        <w:t xml:space="preserve">Produce tagged code repository with README and reproducible setup instructions</w:t>
      </w:r>
    </w:p>
    <w:p>
      <w:pPr>
        <w:pStyle w:val="ListParagraph"/>
        <w:numPr>
          <w:ilvl w:val="0"/>
          <w:numId w:val="3"/>
        </w:numPr>
        <w:spacing w:after="60"/>
      </w:pPr>
      <w:r>
        <w:rPr>
          <w:rFonts w:ascii="Arial" w:cs="Arial" w:eastAsia="Arial" w:hAnsi="Arial"/>
          <w:sz w:val="22"/>
          <w:szCs w:val="22"/>
        </w:rPr>
        <w:t xml:space="preserve">Create presentation materials for viva voce</w:t>
      </w:r>
    </w:p>
    <w:p>
      <w:pPr>
        <w:pStyle w:val="ListParagraph"/>
        <w:numPr>
          <w:ilvl w:val="0"/>
          <w:numId w:val="3"/>
        </w:numPr>
        <w:spacing w:after="60"/>
      </w:pPr>
      <w:r>
        <w:rPr>
          <w:rFonts w:ascii="Arial" w:cs="Arial" w:eastAsia="Arial" w:hAnsi="Arial"/>
          <w:sz w:val="22"/>
          <w:szCs w:val="22"/>
        </w:rPr>
        <w:t xml:space="preserve">Success Criteria: Submission-ready dissertation with all sections complete</w:t>
      </w:r>
    </w:p>
    <w:p>
      <w:pPr>
        <w:pStyle w:val="Heading2"/>
      </w:pPr>
      <w:r>
        <w:t xml:space="preserve">Advanced Objectives (Distinction-Level)</w:t>
      </w:r>
    </w:p>
    <w:p>
      <w:pPr>
        <w:spacing w:after="80"/>
      </w:pPr>
      <w:r>
        <w:rPr>
          <w:rFonts w:ascii="Arial" w:cs="Arial" w:eastAsia="Arial" w:hAnsi="Arial"/>
          <w:b/>
          <w:bCs/>
          <w:sz w:val="22"/>
          <w:szCs w:val="22"/>
        </w:rPr>
        <w:t xml:space="preserve">AO1. Enterprise Reference Architecture Documentation </w:t>
      </w:r>
      <w:r>
        <w:rPr>
          <w:rFonts w:ascii="Arial" w:cs="Arial" w:eastAsia="Arial" w:hAnsi="Arial"/>
          <w:sz w:val="22"/>
          <w:szCs w:val="22"/>
        </w:rPr>
        <w:t xml:space="preserve"/>
      </w:r>
    </w:p>
    <w:p>
      <w:pPr>
        <w:pStyle w:val="ListParagraph"/>
        <w:numPr>
          <w:ilvl w:val="0"/>
          <w:numId w:val="4"/>
        </w:numPr>
        <w:spacing w:after="60"/>
      </w:pPr>
      <w:r>
        <w:rPr>
          <w:rFonts w:ascii="Arial" w:cs="Arial" w:eastAsia="Arial" w:hAnsi="Arial"/>
          <w:sz w:val="22"/>
          <w:szCs w:val="22"/>
        </w:rPr>
        <w:t xml:space="preserve">Extract generalisable architectural patterns from the HITL system: chat-as-audit-trail, progressive disclosure of AI control, event-sourced interaction logging</w:t>
      </w:r>
    </w:p>
    <w:p>
      <w:pPr>
        <w:pStyle w:val="ListParagraph"/>
        <w:numPr>
          <w:ilvl w:val="0"/>
          <w:numId w:val="4"/>
        </w:numPr>
        <w:spacing w:after="60"/>
      </w:pPr>
      <w:r>
        <w:rPr>
          <w:rFonts w:ascii="Arial" w:cs="Arial" w:eastAsia="Arial" w:hAnsi="Arial"/>
          <w:sz w:val="22"/>
          <w:szCs w:val="22"/>
        </w:rPr>
        <w:t xml:space="preserve">Document as a reference architecture applicable to workforce AI platforms in regulated industries</w:t>
      </w:r>
    </w:p>
    <w:p>
      <w:pPr>
        <w:pStyle w:val="ListParagraph"/>
        <w:numPr>
          <w:ilvl w:val="0"/>
          <w:numId w:val="4"/>
        </w:numPr>
        <w:spacing w:after="60"/>
      </w:pPr>
      <w:r>
        <w:rPr>
          <w:rFonts w:ascii="Arial" w:cs="Arial" w:eastAsia="Arial" w:hAnsi="Arial"/>
          <w:sz w:val="22"/>
          <w:szCs w:val="22"/>
        </w:rPr>
        <w:t xml:space="preserve">Success Criteria: Architecture white paper suitable for both thesis appendix and internal enterprise presentation</w:t>
      </w:r>
    </w:p>
    <w:p>
      <w:pPr>
        <w:spacing w:after="80"/>
      </w:pPr>
      <w:r>
        <w:rPr>
          <w:rFonts w:ascii="Arial" w:cs="Arial" w:eastAsia="Arial" w:hAnsi="Arial"/>
          <w:b/>
          <w:bCs/>
          <w:sz w:val="22"/>
          <w:szCs w:val="22"/>
        </w:rPr>
        <w:t xml:space="preserve">AO2. Comparative Intervention Ablation Study </w:t>
      </w:r>
      <w:r>
        <w:rPr>
          <w:rFonts w:ascii="Arial" w:cs="Arial" w:eastAsia="Arial" w:hAnsi="Arial"/>
          <w:sz w:val="22"/>
          <w:szCs w:val="22"/>
        </w:rPr>
        <w:t xml:space="preserve"/>
      </w:r>
    </w:p>
    <w:p>
      <w:pPr>
        <w:pStyle w:val="ListParagraph"/>
        <w:numPr>
          <w:ilvl w:val="0"/>
          <w:numId w:val="4"/>
        </w:numPr>
        <w:spacing w:after="60"/>
      </w:pPr>
      <w:r>
        <w:rPr>
          <w:rFonts w:ascii="Arial" w:cs="Arial" w:eastAsia="Arial" w:hAnsi="Arial"/>
          <w:sz w:val="22"/>
          <w:szCs w:val="22"/>
        </w:rPr>
        <w:t xml:space="preserve">Analyse progressive study data to isolate the marginal value of each intervention point</w:t>
      </w:r>
    </w:p>
    <w:p>
      <w:pPr>
        <w:pStyle w:val="ListParagraph"/>
        <w:numPr>
          <w:ilvl w:val="0"/>
          <w:numId w:val="4"/>
        </w:numPr>
        <w:spacing w:after="60"/>
      </w:pPr>
      <w:r>
        <w:rPr>
          <w:rFonts w:ascii="Arial" w:cs="Arial" w:eastAsia="Arial" w:hAnsi="Arial"/>
          <w:sz w:val="22"/>
          <w:szCs w:val="22"/>
        </w:rPr>
        <w:t xml:space="preserve">Test diminishing returns hypothesis (Phase 2 to 3 improvement smaller than Phase 1 to 2)</w:t>
      </w:r>
    </w:p>
    <w:p>
      <w:pPr>
        <w:pStyle w:val="ListParagraph"/>
        <w:numPr>
          <w:ilvl w:val="0"/>
          <w:numId w:val="4"/>
        </w:numPr>
        <w:spacing w:after="60"/>
      </w:pPr>
      <w:r>
        <w:rPr>
          <w:rFonts w:ascii="Arial" w:cs="Arial" w:eastAsia="Arial" w:hAnsi="Arial"/>
          <w:sz w:val="22"/>
          <w:szCs w:val="22"/>
        </w:rPr>
        <w:t xml:space="preserve">Success Criteria: Data-driven recommendations for optimal HITL configuration</w:t>
      </w:r>
    </w:p>
    <w:p>
      <w:pPr>
        <w:spacing w:after="80"/>
      </w:pPr>
      <w:r>
        <w:rPr>
          <w:rFonts w:ascii="Arial" w:cs="Arial" w:eastAsia="Arial" w:hAnsi="Arial"/>
          <w:b/>
          <w:bCs/>
          <w:sz w:val="22"/>
          <w:szCs w:val="22"/>
        </w:rPr>
        <w:t xml:space="preserve">AO3. Cross-Sector Generalisation Analysis </w:t>
      </w:r>
      <w:r>
        <w:rPr>
          <w:rFonts w:ascii="Arial" w:cs="Arial" w:eastAsia="Arial" w:hAnsi="Arial"/>
          <w:sz w:val="22"/>
          <w:szCs w:val="22"/>
        </w:rPr>
        <w:t xml:space="preserve"/>
      </w:r>
    </w:p>
    <w:p>
      <w:pPr>
        <w:pStyle w:val="ListParagraph"/>
        <w:numPr>
          <w:ilvl w:val="0"/>
          <w:numId w:val="4"/>
        </w:numPr>
        <w:spacing w:after="60"/>
      </w:pPr>
      <w:r>
        <w:rPr>
          <w:rFonts w:ascii="Arial" w:cs="Arial" w:eastAsia="Arial" w:hAnsi="Arial"/>
          <w:sz w:val="22"/>
          <w:szCs w:val="22"/>
        </w:rPr>
        <w:t xml:space="preserve">Evaluate retrieval and generation quality across different industry sectors in the 8-company corpus (tech, finance, pharma, retail, energy, industrials)</w:t>
      </w:r>
    </w:p>
    <w:p>
      <w:pPr>
        <w:pStyle w:val="ListParagraph"/>
        <w:numPr>
          <w:ilvl w:val="0"/>
          <w:numId w:val="4"/>
        </w:numPr>
        <w:spacing w:after="60"/>
      </w:pPr>
      <w:r>
        <w:rPr>
          <w:rFonts w:ascii="Arial" w:cs="Arial" w:eastAsia="Arial" w:hAnsi="Arial"/>
          <w:sz w:val="22"/>
          <w:szCs w:val="22"/>
        </w:rPr>
        <w:t xml:space="preserve">Identify sector-specific challenges and adaptation requirements</w:t>
      </w:r>
    </w:p>
    <w:p>
      <w:pPr>
        <w:pStyle w:val="ListParagraph"/>
        <w:numPr>
          <w:ilvl w:val="0"/>
          <w:numId w:val="4"/>
        </w:numPr>
        <w:spacing w:after="60"/>
      </w:pPr>
      <w:r>
        <w:rPr>
          <w:rFonts w:ascii="Arial" w:cs="Arial" w:eastAsia="Arial" w:hAnsi="Arial"/>
          <w:sz w:val="22"/>
          <w:szCs w:val="22"/>
        </w:rPr>
        <w:t xml:space="preserve">Success Criteria: Sector-stratified performance analysis with actionable insights</w:t>
      </w:r>
    </w:p>
    <w:p>
      <w:r>
        <w:r>
          <w:br w:type="page"/>
        </w:r>
      </w:r>
    </w:p>
    <w:p>
      <w:pPr>
        <w:pStyle w:val="Heading1"/>
      </w:pPr>
      <w:r>
        <w:t xml:space="preserve">3. Background</w:t>
      </w:r>
    </w:p>
    <w:p>
      <w:pPr>
        <w:spacing w:after="120"/>
      </w:pPr>
      <w:r>
        <w:rPr>
          <w:rFonts w:ascii="Arial" w:cs="Arial" w:eastAsia="Arial" w:hAnsi="Arial"/>
          <w:sz w:val="22"/>
          <w:szCs w:val="22"/>
        </w:rPr>
        <w:t xml:space="preserve">Financial risk disclosure analysis is critical for investment decision-making, regulatory compliance, and risk management. SEC 10-K filings contain comprehensive risk factor sections that companies must file annually, providing rich information about operational, financial, regulatory, and strategic risks. However, these documents average 80-200 pages and require substantial expertise and time to analyse effectively.</w:t>
      </w:r>
    </w:p>
    <w:p>
      <w:pPr>
        <w:spacing w:after="120"/>
      </w:pPr>
      <w:r>
        <w:rPr>
          <w:rFonts w:ascii="Arial" w:cs="Arial" w:eastAsia="Arial" w:hAnsi="Arial"/>
          <w:sz w:val="22"/>
          <w:szCs w:val="22"/>
        </w:rPr>
        <w:t xml:space="preserve">Retrieval-Augmented Generation (RAG) has emerged as a powerful paradigm for grounded text generation, combining retrieval capabilities with the generative power of large language models (Lewis et al., 2020; Guu et al., 2020). RAG systems address the hallucination problem in pure generative models by grounding outputs in retrieved source documents, making them particularly suitable for high-stakes domains like financial analysis where factual accuracy is paramount.</w:t>
      </w:r>
    </w:p>
    <w:p>
      <w:pPr>
        <w:spacing w:after="120"/>
      </w:pPr>
      <w:r>
        <w:rPr>
          <w:rFonts w:ascii="Arial" w:cs="Arial" w:eastAsia="Arial" w:hAnsi="Arial"/>
          <w:sz w:val="22"/>
          <w:szCs w:val="22"/>
        </w:rPr>
        <w:t xml:space="preserve">However, conventional vector-based RAG methods face persistent challenges when applied to long, structured professional documents. Traditional approaches rely on fixed-size chunking (512-1000 tokens), which fragments semantic meaning by cutting through sentences, sections, and logical boundaries. Karpukhin et al. (2020) demonstrated that even state-of-the-art dense retrieval achieves only 60-70% precision on complex information retrieval tasks. Furthermore, vector similarity search retrieves text that is semantically similar to the query but not necessarily relevant to the user's actual information need. This distinction between similarity and relevance is especially problematic in financial filings where many passages share near-identical semantics but differ critically in relevance.</w:t>
      </w:r>
    </w:p>
    <w:p>
      <w:pPr>
        <w:spacing w:after="120"/>
      </w:pPr>
      <w:r>
        <w:rPr>
          <w:rFonts w:ascii="Arial" w:cs="Arial" w:eastAsia="Arial" w:hAnsi="Arial"/>
          <w:sz w:val="22"/>
          <w:szCs w:val="22"/>
        </w:rPr>
        <w:t xml:space="preserve">PageIndex (Zhang et al., 2025) introduces a fundamentally different approach: vectorless, reasoning-based RAG. Instead of chunking and embedding documents, PageIndex builds a hierarchical tree index from the document's natural structure and uses LLM reasoning to navigate that tree for retrieval. This approach achieved 98.7% accuracy on FinanceBench, a benchmark for financial document question-answering, significantly outperforming traditional vector-based RAG systems. PageIndex is particularly well-suited to this project because it preserves document structure (essential for financial filings), provides page-level source attribution (required for trust and explainability), and eliminates the chunking artifacts that plague vector-based approaches.</w:t>
      </w:r>
    </w:p>
    <w:p>
      <w:pPr>
        <w:spacing w:after="120"/>
      </w:pPr>
      <w:r>
        <w:rPr>
          <w:rFonts w:ascii="Arial" w:cs="Arial" w:eastAsia="Arial" w:hAnsi="Arial"/>
          <w:sz w:val="22"/>
          <w:szCs w:val="22"/>
        </w:rPr>
        <w:t xml:space="preserve">Human-in-the-loop approaches offer a promising complement to improved retrieval by combining AI efficiency with human judgment and domain expertise (Mosqueira-Rey et al., 2023). In financial AI systems, HITL mechanisms can validate retrieval results, correct generation errors, provide domain-specific guidance, and build user trust through transparency and control (Ehsan et al., 2021). However, the optimal design of HITL systems remains underexplored, particularly regarding which pipeline stages benefit most from human intervention and how to balance automation benefits with human oversight costs.</w:t>
      </w:r>
    </w:p>
    <w:p>
      <w:pPr>
        <w:spacing w:after="120"/>
      </w:pPr>
      <w:r>
        <w:rPr>
          <w:rFonts w:ascii="Arial" w:cs="Arial" w:eastAsia="Arial" w:hAnsi="Arial"/>
          <w:sz w:val="22"/>
          <w:szCs w:val="22"/>
        </w:rPr>
        <w:t xml:space="preserve">Trust in AI systems is a multifaceted construct influenced by transparency, explainability, perceived accuracy, and user control (Ribeiro et al., 2016). For financial professionals, trust is mediated by the ability to verify AI outputs against source documents, understand system reasoning, and intervene when necessary. Recent work on explainable AI in finance (Bracke et al., 2019) emphasises the importance of source attribution and provenance tracking for regulatory compliance and professional accountability.</w:t>
      </w:r>
    </w:p>
    <w:p>
      <w:pPr>
        <w:spacing w:after="120"/>
      </w:pPr>
      <w:r>
        <w:rPr>
          <w:rFonts w:ascii="Arial" w:cs="Arial" w:eastAsia="Arial" w:hAnsi="Arial"/>
          <w:sz w:val="22"/>
          <w:szCs w:val="22"/>
        </w:rPr>
        <w:t xml:space="preserve">Beyond the academic research context, enterprise adoption of AI in regulated industries faces a governance challenge: organisations need systematic frameworks for when and how humans should oversee AI outputs. Current enterprise AI deployments often range from fully automated systems with minimal oversight to cumbersome approval workflows that negate efficiency gains. This project's progressive HITL approach, where human control is incrementally introduced at specific pipeline stages, offers a principled model for calibrating human oversight in enterprise AI systems.</w:t>
      </w:r>
    </w:p>
    <w:p>
      <w:pPr>
        <w:spacing w:after="120"/>
      </w:pPr>
      <w:r>
        <w:rPr>
          <w:rFonts w:ascii="Arial" w:cs="Arial" w:eastAsia="Arial" w:hAnsi="Arial"/>
          <w:sz w:val="22"/>
          <w:szCs w:val="22"/>
        </w:rPr>
        <w:t xml:space="preserve">This project addresses gaps in current research by: (1) adopting vectorless reasoning-based retrieval (PageIndex) to eliminate chunking artifacts in financial document analysis, (2) implementing comprehensive HITL mechanisms at both retrieval and generation stages with a progressive study design, (3) conducting empirical user studies measuring how intervention at different pipeline stages affects trust and accuracy, (4) evaluating time-quality trade-offs to inform practical deployment decisions, and (5) extracting generalisable architectural patterns for enterprise AI governance.</w:t>
      </w:r>
    </w:p>
    <w:p>
      <w:r>
        <w:r>
          <w:br w:type="page"/>
        </w:r>
      </w:r>
    </w:p>
    <w:p>
      <w:pPr>
        <w:pStyle w:val="Heading1"/>
      </w:pPr>
      <w:r>
        <w:t xml:space="preserve">4. Methods/Methodology</w:t>
      </w:r>
    </w:p>
    <w:p>
      <w:pPr>
        <w:pStyle w:val="Heading2"/>
      </w:pPr>
      <w:r>
        <w:t xml:space="preserve">Research Design</w:t>
      </w:r>
    </w:p>
    <w:p>
      <w:pPr>
        <w:spacing w:after="120"/>
      </w:pPr>
      <w:r>
        <w:rPr>
          <w:rFonts w:ascii="Arial" w:cs="Arial" w:eastAsia="Arial" w:hAnsi="Arial"/>
          <w:sz w:val="22"/>
          <w:szCs w:val="22"/>
        </w:rPr>
        <w:t xml:space="preserve">This project employs a mixed-methods approach combining system development, quantitative evaluation, and qualitative user research. The study uses a progressive within-between (factorial mixed) design where all participants experience conditions in a fixed pedagogical order (Baseline, then single-intervention, then full-intervention), with the between-subjects factor determining whether the single intervention targets retrieval or generation.</w:t>
      </w:r>
    </w:p>
    <w:p>
      <w:pPr>
        <w:pStyle w:val="Heading2"/>
      </w:pPr>
      <w:r>
        <w:t xml:space="preserve">System Development Methodology</w:t>
      </w:r>
    </w:p>
    <w:p>
      <w:pPr>
        <w:spacing w:after="80"/>
      </w:pPr>
      <w:r>
        <w:rPr>
          <w:rFonts w:ascii="Arial" w:cs="Arial" w:eastAsia="Arial" w:hAnsi="Arial"/>
          <w:b/>
          <w:bCs/>
          <w:sz w:val="22"/>
          <w:szCs w:val="22"/>
        </w:rPr>
        <w:t xml:space="preserve">Phase 1: Document Indexing Pipeline. </w:t>
      </w:r>
      <w:r>
        <w:rPr>
          <w:rFonts w:ascii="Arial" w:cs="Arial" w:eastAsia="Arial" w:hAnsi="Arial"/>
          <w:sz w:val="22"/>
          <w:szCs w:val="22"/>
        </w:rPr>
        <w:t xml:space="preserve">Acquire SEC 10-K filings for 8 study companies from SEC EDGAR. Index each full 10-K document via PageIndex Cloud API, which generates hierarchical tree structures preserving the document's natural section organisation. Cache tree structures and validate retrieval readiness. No manual chunking, embedding generation, or vector database setup is required.</w:t>
      </w:r>
    </w:p>
    <w:p>
      <w:pPr>
        <w:spacing w:after="80"/>
      </w:pPr>
      <w:r>
        <w:rPr>
          <w:rFonts w:ascii="Arial" w:cs="Arial" w:eastAsia="Arial" w:hAnsi="Arial"/>
          <w:b/>
          <w:bCs/>
          <w:sz w:val="22"/>
          <w:szCs w:val="22"/>
        </w:rPr>
        <w:t xml:space="preserve">Phase 2: RAG Pipeline. </w:t>
      </w:r>
      <w:r>
        <w:rPr>
          <w:rFonts w:ascii="Arial" w:cs="Arial" w:eastAsia="Arial" w:hAnsi="Arial"/>
          <w:sz w:val="22"/>
          <w:szCs w:val="22"/>
        </w:rPr>
        <w:t xml:space="preserve">Retrieval uses the PageIndex Retrieval API with reasoning mode (thinking=True), which enables the LLM to plan what information is needed before searching the document tree. This returns structured nodes with titles, page indices, and relevant content. Generation uses GPT-4o-mini with prompt templates that enforce source attribution (every claim must cite [Section Title, Page N]). The same retrieval method is used across all study conditions to ensure fair comparison.</w:t>
      </w:r>
    </w:p>
    <w:p>
      <w:pPr>
        <w:spacing w:after="80"/>
      </w:pPr>
      <w:r>
        <w:rPr>
          <w:rFonts w:ascii="Arial" w:cs="Arial" w:eastAsia="Arial" w:hAnsi="Arial"/>
          <w:b/>
          <w:bCs/>
          <w:sz w:val="22"/>
          <w:szCs w:val="22"/>
        </w:rPr>
        <w:t xml:space="preserve">Phase 3: Chat-Native HITL Interface. </w:t>
      </w:r>
      <w:r>
        <w:rPr>
          <w:rFonts w:ascii="Arial" w:cs="Arial" w:eastAsia="Arial" w:hAnsi="Arial"/>
          <w:sz w:val="22"/>
          <w:szCs w:val="22"/>
        </w:rPr>
        <w:t xml:space="preserve">Technology stack: React 18 with TypeScript (frontend), Python FastAPI (backend), PostgreSQL (data store). The interface follows a chat-native design paradigm where all interactions, including section selection, summary editing, questionnaires, and phase transitions, are rendered as interactive messages within a single conversation stream. This eliminates cognitive overhead from panel-switching and creates a natural audit trail of all human-AI interactions. Four operational modes are supported: Baseline (fully automatic), HITL-R (interactive retrieval control), HITL-G (interactive generation editing), and HITL-Full (both controls).</w:t>
      </w:r>
    </w:p>
    <w:p>
      <w:pPr>
        <w:pStyle w:val="Heading2"/>
      </w:pPr>
      <w:r>
        <w:t xml:space="preserve">Experimental Design</w:t>
      </w:r>
    </w:p>
    <w:p>
      <w:pPr>
        <w:spacing w:after="80"/>
      </w:pPr>
      <w:r>
        <w:rPr>
          <w:rFonts w:ascii="Arial" w:cs="Arial" w:eastAsia="Arial" w:hAnsi="Arial"/>
          <w:b/>
          <w:bCs/>
          <w:sz w:val="22"/>
          <w:szCs w:val="22"/>
        </w:rPr>
        <w:t xml:space="preserve">Study Type: </w:t>
      </w:r>
      <w:r>
        <w:rPr>
          <w:rFonts w:ascii="Arial" w:cs="Arial" w:eastAsia="Arial" w:hAnsi="Arial"/>
          <w:sz w:val="22"/>
          <w:szCs w:val="22"/>
        </w:rPr>
        <w:t xml:space="preserve">Progressive within-between factorial mixed design.</w:t>
      </w:r>
    </w:p>
    <w:p>
      <w:pPr>
        <w:spacing w:after="80"/>
      </w:pPr>
      <w:r>
        <w:rPr>
          <w:rFonts w:ascii="Arial" w:cs="Arial" w:eastAsia="Arial" w:hAnsi="Arial"/>
          <w:b/>
          <w:bCs/>
          <w:sz w:val="22"/>
          <w:szCs w:val="22"/>
        </w:rPr>
        <w:t xml:space="preserve">Participants: </w:t>
      </w:r>
      <w:r>
        <w:rPr>
          <w:rFonts w:ascii="Arial" w:cs="Arial" w:eastAsia="Arial" w:hAnsi="Arial"/>
          <w:sz w:val="22"/>
          <w:szCs w:val="22"/>
        </w:rPr>
        <w:t xml:space="preserve">N=16 (8 per group), recruited from financial analysts and advanced finance students.</w:t>
      </w:r>
    </w:p>
    <w:p>
      <w:pPr>
        <w:spacing w:after="80"/>
      </w:pPr>
      <w:r>
        <w:rPr>
          <w:rFonts w:ascii="Arial" w:cs="Arial" w:eastAsia="Arial" w:hAnsi="Arial"/>
          <w:b/>
          <w:bCs/>
          <w:sz w:val="22"/>
          <w:szCs w:val="22"/>
        </w:rPr>
        <w:t xml:space="preserve">Group A (N=8): </w:t>
      </w:r>
      <w:r>
        <w:rPr>
          <w:rFonts w:ascii="Arial" w:cs="Arial" w:eastAsia="Arial" w:hAnsi="Arial"/>
          <w:sz w:val="22"/>
          <w:szCs w:val="22"/>
        </w:rPr>
        <w:t xml:space="preserve">Baseline (Phase 1) then HITL-R (Phase 2) then HITL-Full (Phase 3).</w:t>
      </w:r>
    </w:p>
    <w:p>
      <w:pPr>
        <w:spacing w:after="80"/>
      </w:pPr>
      <w:r>
        <w:rPr>
          <w:rFonts w:ascii="Arial" w:cs="Arial" w:eastAsia="Arial" w:hAnsi="Arial"/>
          <w:b/>
          <w:bCs/>
          <w:sz w:val="22"/>
          <w:szCs w:val="22"/>
        </w:rPr>
        <w:t xml:space="preserve">Group B (N=8): </w:t>
      </w:r>
      <w:r>
        <w:rPr>
          <w:rFonts w:ascii="Arial" w:cs="Arial" w:eastAsia="Arial" w:hAnsi="Arial"/>
          <w:sz w:val="22"/>
          <w:szCs w:val="22"/>
        </w:rPr>
        <w:t xml:space="preserve">Baseline (Phase 1) then HITL-G (Phase 2) then HITL-Full (Phase 3).</w:t>
      </w:r>
    </w:p>
    <w:p>
      <w:pPr>
        <w:spacing w:after="80"/>
      </w:pPr>
      <w:r>
        <w:rPr>
          <w:rFonts w:ascii="Arial" w:cs="Arial" w:eastAsia="Arial" w:hAnsi="Arial"/>
          <w:b/>
          <w:bCs/>
          <w:sz w:val="22"/>
          <w:szCs w:val="22"/>
        </w:rPr>
        <w:t xml:space="preserve">Tasks: </w:t>
      </w:r>
      <w:r>
        <w:rPr>
          <w:rFonts w:ascii="Arial" w:cs="Arial" w:eastAsia="Arial" w:hAnsi="Arial"/>
          <w:sz w:val="22"/>
          <w:szCs w:val="22"/>
        </w:rPr>
        <w:t xml:space="preserve">3 tasks per participant (1 per phase), each using a pre-defined risk analysis query against a different company's 10-K filing. Documents counterbalanced via Latin-square rotation.</w:t>
      </w:r>
    </w:p>
    <w:p>
      <w:pPr>
        <w:spacing w:after="80"/>
      </w:pPr>
      <w:r>
        <w:rPr>
          <w:rFonts w:ascii="Arial" w:cs="Arial" w:eastAsia="Arial" w:hAnsi="Arial"/>
          <w:b/>
          <w:bCs/>
          <w:sz w:val="22"/>
          <w:szCs w:val="22"/>
        </w:rPr>
        <w:t xml:space="preserve">Session Duration: </w:t>
      </w:r>
      <w:r>
        <w:rPr>
          <w:rFonts w:ascii="Arial" w:cs="Arial" w:eastAsia="Arial" w:hAnsi="Arial"/>
          <w:sz w:val="22"/>
          <w:szCs w:val="22"/>
        </w:rPr>
        <w:t xml:space="preserve">~80 minutes (under 90 with buffer).</w:t>
      </w:r>
    </w:p>
    <w:p>
      <w:pPr>
        <w:spacing w:after="120"/>
      </w:pPr>
      <w:r>
        <w:rPr>
          <w:rFonts w:ascii="Arial" w:cs="Arial" w:eastAsia="Arial" w:hAnsi="Arial"/>
          <w:sz w:val="22"/>
          <w:szCs w:val="22"/>
        </w:rPr>
        <w:t xml:space="preserve">The progressive sequence (simple to complex) serves dual purposes: the Baseline phase provides uncontaminated baseline data while familiarising participants with the interface, and the progressive introduction of controls allows participants to directly experience and compare different intervention levels.</w:t>
      </w:r>
    </w:p>
    <w:p>
      <w:pPr>
        <w:pStyle w:val="Heading2"/>
      </w:pPr>
      <w:r>
        <w:t xml:space="preserve">Evaluation Methodology</w:t>
      </w:r>
    </w:p>
    <w:p>
      <w:pPr>
        <w:spacing w:after="80"/>
      </w:pPr>
      <w:r>
        <w:rPr>
          <w:rFonts w:ascii="Arial" w:cs="Arial" w:eastAsia="Arial" w:hAnsi="Arial"/>
          <w:b/>
          <w:bCs/>
          <w:sz w:val="22"/>
          <w:szCs w:val="22"/>
        </w:rPr>
        <w:t xml:space="preserve">Quantitative Metrics: </w:t>
      </w:r>
      <w:r>
        <w:rPr>
          <w:rFonts w:ascii="Arial" w:cs="Arial" w:eastAsia="Arial" w:hAnsi="Arial"/>
          <w:sz w:val="22"/>
          <w:szCs w:val="22"/>
        </w:rPr>
        <w:t xml:space="preserve">Faithfulness scores (automated LLM evaluation comparing summary claims against source nodes), per-task Likert ratings for accuracy, factual correctness, and trust (7-point scales), time-on-task, interaction counts (nodes selected/rejected, characters edited, hallucinations flagged), System Usability Scale (SUS), NASA Task Load Index (TLX).</w:t>
      </w:r>
    </w:p>
    <w:p>
      <w:pPr>
        <w:spacing w:after="80"/>
      </w:pPr>
      <w:r>
        <w:rPr>
          <w:rFonts w:ascii="Arial" w:cs="Arial" w:eastAsia="Arial" w:hAnsi="Arial"/>
          <w:b/>
          <w:bCs/>
          <w:sz w:val="22"/>
          <w:szCs w:val="22"/>
        </w:rPr>
        <w:t xml:space="preserve">Qualitative Methods: </w:t>
      </w:r>
      <w:r>
        <w:rPr>
          <w:rFonts w:ascii="Arial" w:cs="Arial" w:eastAsia="Arial" w:hAnsi="Arial"/>
          <w:sz w:val="22"/>
          <w:szCs w:val="22"/>
        </w:rPr>
        <w:t xml:space="preserve">Semi-structured post-session interviews (5 minutes, audio recorded) exploring preference, trust trajectory, perceived value of control, and deployment willingness. Thematic analysis using iterative coding.</w:t>
      </w:r>
    </w:p>
    <w:p>
      <w:pPr>
        <w:pStyle w:val="Heading2"/>
      </w:pPr>
      <w:r>
        <w:t xml:space="preserve">Statistical Analysis</w:t>
      </w:r>
    </w:p>
    <w:p>
      <w:pPr>
        <w:pStyle w:val="ListParagraph"/>
        <w:numPr>
          <w:ilvl w:val="0"/>
          <w:numId w:val="5"/>
        </w:numPr>
        <w:spacing w:after="60"/>
      </w:pPr>
      <w:r>
        <w:rPr>
          <w:rFonts w:ascii="Arial" w:cs="Arial" w:eastAsia="Arial" w:hAnsi="Arial"/>
          <w:sz w:val="22"/>
          <w:szCs w:val="22"/>
        </w:rPr>
        <w:t xml:space="preserve">Repeated-measures ANOVA for within-person effects across phases (RQ1, RQ2)</w:t>
      </w:r>
    </w:p>
    <w:p>
      <w:pPr>
        <w:pStyle w:val="ListParagraph"/>
        <w:numPr>
          <w:ilvl w:val="0"/>
          <w:numId w:val="5"/>
        </w:numPr>
        <w:spacing w:after="60"/>
      </w:pPr>
      <w:r>
        <w:rPr>
          <w:rFonts w:ascii="Arial" w:cs="Arial" w:eastAsia="Arial" w:hAnsi="Arial"/>
          <w:sz w:val="22"/>
          <w:szCs w:val="22"/>
        </w:rPr>
        <w:t xml:space="preserve">Between-group independent t-test on Phase 2 improvement scores (RQ3)</w:t>
      </w:r>
    </w:p>
    <w:p>
      <w:pPr>
        <w:pStyle w:val="ListParagraph"/>
        <w:numPr>
          <w:ilvl w:val="0"/>
          <w:numId w:val="5"/>
        </w:numPr>
        <w:spacing w:after="60"/>
      </w:pPr>
      <w:r>
        <w:rPr>
          <w:rFonts w:ascii="Arial" w:cs="Arial" w:eastAsia="Arial" w:hAnsi="Arial"/>
          <w:sz w:val="22"/>
          <w:szCs w:val="22"/>
        </w:rPr>
        <w:t xml:space="preserve">Mixed model regression: accuracy ~ phase + group + phase:group (interaction effect)</w:t>
      </w:r>
    </w:p>
    <w:p>
      <w:pPr>
        <w:pStyle w:val="ListParagraph"/>
        <w:numPr>
          <w:ilvl w:val="0"/>
          <w:numId w:val="5"/>
        </w:numPr>
        <w:spacing w:after="60"/>
      </w:pPr>
      <w:r>
        <w:rPr>
          <w:rFonts w:ascii="Arial" w:cs="Arial" w:eastAsia="Arial" w:hAnsi="Arial"/>
          <w:sz w:val="22"/>
          <w:szCs w:val="22"/>
        </w:rPr>
        <w:t xml:space="preserve">Time-quality regression with phase moderation (RQ4)</w:t>
      </w:r>
    </w:p>
    <w:p>
      <w:pPr>
        <w:pStyle w:val="ListParagraph"/>
        <w:numPr>
          <w:ilvl w:val="0"/>
          <w:numId w:val="5"/>
        </w:numPr>
        <w:spacing w:after="60"/>
      </w:pPr>
      <w:r>
        <w:rPr>
          <w:rFonts w:ascii="Arial" w:cs="Arial" w:eastAsia="Arial" w:hAnsi="Arial"/>
          <w:sz w:val="22"/>
          <w:szCs w:val="22"/>
        </w:rPr>
        <w:t xml:space="preserve">Power analysis: N=16 provides &gt;0.85 power for within-person effects, 0.80 for between-group (Cohen's d = 0.6, alpha = 0.05)</w:t>
      </w:r>
    </w:p>
    <w:p>
      <w:pPr>
        <w:pStyle w:val="Heading2"/>
      </w:pPr>
      <w:r>
        <w:t xml:space="preserve">Ethics and Data Management</w:t>
      </w:r>
    </w:p>
    <w:p>
      <w:pPr>
        <w:spacing w:after="120"/>
      </w:pPr>
      <w:r>
        <w:rPr>
          <w:rFonts w:ascii="Arial" w:cs="Arial" w:eastAsia="Arial" w:hAnsi="Arial"/>
          <w:sz w:val="22"/>
          <w:szCs w:val="22"/>
        </w:rPr>
        <w:t xml:space="preserve">University of Hertfordshire ethics approval (Form 1919) submitted January 2026. Informed consent obtained before participation. Data anonymisation via participant IDs (P01-P16). Storage on encrypted university servers. GDPR compliance with right to withdraw and minimal data retention. Compensation not contingent on completion.</w:t>
      </w:r>
    </w:p>
    <w:p>
      <w:r>
        <w:r>
          <w:br w:type="page"/>
        </w:r>
      </w:r>
    </w:p>
    <w:p>
      <w:pPr>
        <w:pStyle w:val="Heading1"/>
      </w:pPr>
      <w:r>
        <w:t xml:space="preserve">5. Project Plan</w:t>
      </w:r>
    </w:p>
    <w:p>
      <w:pPr>
        <w:pStyle w:val="Heading2"/>
      </w:pPr>
      <w:r>
        <w:t xml:space="preserve">Timeline Overview (16 Weeks: December 2025 - March 2026)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400"/>
        <w:gridCol w:w="1360"/>
      </w:tblGrid>
      <w:tr>
        <w:tc>
          <w:tcPr>
            <w:tcW w:type="dxa" w:w="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1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Indexing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10-Ks indexed via PageIndex, tree structures cached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3-4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RAG Pipeline</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PageIndex retrieval + GPT-4o-mini generation, baseline metrics</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Hardening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all 8 study queries, tune prompts, cache fallback results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Progress</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Ethics + UI Start</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Ethics submitted, React app initialised, chat interface scaffold</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HITL-R UI</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selector message component, accept/reject/reorder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9-10</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HITL-G UI</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Editable summary message, hallucination flagging, diff tracking</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Polish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Study orchestration, questionnaires, data logging validation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Pilot Study</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N=6 (3 per group), timing validation, UX fixes</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Study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N=16 (8 per group), all conditions, complete data collection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Analysis</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Statistical analysis, thematic coding, results synthesis</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Write-up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Dissertation draft, figures/tables, architecture white paper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16</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Finalisation</w:t>
            </w:r>
          </w:p>
        </w:tc>
        <w:tc>
          <w:tcPr>
            <w:tcW w:type="dxa" w:w="4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Revision, submission, presentation prep</w:t>
            </w:r>
          </w:p>
        </w:tc>
        <w:tc>
          <w:tcPr>
            <w:tcW w:type="dxa" w:w="1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Planned</w:t>
            </w:r>
          </w:p>
        </w:tc>
      </w:tr>
    </w:tbl>
    <w:p>
      <w:pPr>
        <w:pStyle w:val="Heading2"/>
      </w:pPr>
      <w:r>
        <w:t xml:space="preserve">Key Changes from Original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Original EPP (Jan 2026)</w:t>
            </w:r>
          </w:p>
        </w:tc>
        <w:tc>
          <w:tcPr>
            <w:tcW w:type="dxa" w:w="3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Revised EPP (Feb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 + OpenAI embeddings (vector-based)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Cloud API (vectorless, reasoning-based)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Chunking</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RecursiveCharacterTextSplitter, 512 tokens</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None required (PageIndex preserves natural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Scope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companies, Risk Factors only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companies, full 10-K filings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Study Design</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Between-subjects or counterbalanced (vague)</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Progressive within-between mixed (N=16, 3 phases)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Paradigm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panels + sidebars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Chat-native (all interactions as messages)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Backend</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Python Flask</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Python FastAPI (async, type-safe)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Logging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interaction logs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Event-sourced audit trail (every action timestamped)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Industry Framing</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Academic only</w:t>
            </w:r>
          </w:p>
        </w:tc>
        <w:tc>
          <w:tcPr>
            <w:tcW w:type="dxa" w:w="3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Dual: academic thesis + enterprise AI architecture reference</w:t>
            </w:r>
          </w:p>
        </w:tc>
      </w:tr>
    </w:tbl>
    <w:p>
      <w:pPr>
        <w:pStyle w:val="Heading2"/>
      </w:pPr>
      <w:r>
        <w:t xml:space="preserve">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51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Ethics approval delayed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submitted Jan 2026; rule-based fallback prepared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Participant recruitment slow</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Multi-channel recruitment from Week 6; flexible scheduling; industry contacts from new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API downtime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Pre-cache tree structures; pre-run all study queries as fallback</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Session exceeds 90 min</w:t>
            </w:r>
          </w:p>
        </w:tc>
        <w:tc>
          <w:tcPr>
            <w:tcW w:type="dxa" w:w="1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Pilot validates timing; built-in timer; simplify if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role bandwidth conflict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Thesis hours blocked in calendar; front-loaded recruitment; thesis presented to employer as relevant to Workforce AI initiative</w:t>
            </w:r>
          </w:p>
        </w:tc>
      </w:tr>
    </w:tbl>
    <w:p>
      <w:r>
        <w:r>
          <w:br w:type="page"/>
        </w:r>
      </w:r>
    </w:p>
    <w:p>
      <w:pPr>
        <w:pStyle w:val="Heading1"/>
      </w:pPr>
      <w:r>
        <w:t xml:space="preserve">6. Required Resources and Skills</w:t>
      </w:r>
    </w:p>
    <w:p>
      <w:pPr>
        <w:pStyle w:val="Heading2"/>
      </w:pPr>
      <w:r>
        <w:t xml:space="preserve">Software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Cloud API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indexing + reasoning-based retrieval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 total</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OpenAI API (GPT-4o-mini)</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Summary generation + automated faithfulness evaluation</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~$5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Railway.app (Backend + DB + Redis)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backend, PostgreSQL, Celery task queue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~$10-15/month</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Vercel (Frontend)</w:t>
            </w:r>
          </w:p>
        </w:tc>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Static frontend hosting</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MacBook Pro M3 32GB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Owned</w:t>
            </w:r>
          </w:p>
        </w:tc>
      </w:tr>
    </w:tbl>
    <w:p>
      <w:pPr>
        <w:pStyle w:val="Heading2"/>
      </w:pPr>
      <w:r>
        <w:t xml:space="preserve">Skills</w:t>
      </w:r>
    </w:p>
    <w:p>
      <w:pPr>
        <w:spacing w:after="80"/>
      </w:pPr>
      <w:r>
        <w:rPr>
          <w:rFonts w:ascii="Arial" w:cs="Arial" w:eastAsia="Arial" w:hAnsi="Arial"/>
          <w:b/>
          <w:bCs/>
          <w:sz w:val="22"/>
          <w:szCs w:val="22"/>
        </w:rPr>
        <w:t xml:space="preserve">Existing: </w:t>
      </w:r>
      <w:r>
        <w:rPr>
          <w:rFonts w:ascii="Arial" w:cs="Arial" w:eastAsia="Arial" w:hAnsi="Arial"/>
          <w:sz w:val="22"/>
          <w:szCs w:val="22"/>
        </w:rPr>
        <w:t xml:space="preserve">React development (6 years professional), Python (proficient), FastAPI, PostgreSQL, Git/GitHub, Agile project management.</w:t>
      </w:r>
    </w:p>
    <w:p>
      <w:pPr>
        <w:spacing w:after="80"/>
      </w:pPr>
      <w:r>
        <w:rPr>
          <w:rFonts w:ascii="Arial" w:cs="Arial" w:eastAsia="Arial" w:hAnsi="Arial"/>
          <w:b/>
          <w:bCs/>
          <w:sz w:val="22"/>
          <w:szCs w:val="22"/>
        </w:rPr>
        <w:t xml:space="preserve">Developing: </w:t>
      </w:r>
      <w:r>
        <w:rPr>
          <w:rFonts w:ascii="Arial" w:cs="Arial" w:eastAsia="Arial" w:hAnsi="Arial"/>
          <w:sz w:val="22"/>
          <w:szCs w:val="22"/>
        </w:rPr>
        <w:t xml:space="preserve">PageIndex API integration (cookbooks studied), prompt engineering for financial domain, user study design and statistical analysis (repeated-measures ANOVA, mixed models), qualitative thematic analysis.</w:t>
      </w:r>
    </w:p>
    <w:p>
      <w:pPr>
        <w:pStyle w:val="Heading1"/>
      </w:pPr>
      <w:r>
        <w:t xml:space="preserve">7. Relation to Target Award (MSc Computer Science with AI)</w:t>
      </w:r>
    </w:p>
    <w:p>
      <w:pPr>
        <w:spacing w:after="120"/>
      </w:pPr>
      <w:r>
        <w:rPr>
          <w:rFonts w:ascii="Arial" w:cs="Arial" w:eastAsia="Arial" w:hAnsi="Arial"/>
          <w:sz w:val="22"/>
          <w:szCs w:val="22"/>
        </w:rPr>
        <w:t xml:space="preserve">This project synthesises knowledge from multiple AI subfields and directly addresses the programme's core learning outcomes:</w:t>
      </w:r>
    </w:p>
    <w:p>
      <w:pPr>
        <w:spacing w:after="80"/>
      </w:pPr>
      <w:r>
        <w:rPr>
          <w:rFonts w:ascii="Arial" w:cs="Arial" w:eastAsia="Arial" w:hAnsi="Arial"/>
          <w:b/>
          <w:bCs/>
          <w:sz w:val="22"/>
          <w:szCs w:val="22"/>
        </w:rPr>
        <w:t xml:space="preserve">Machine Learning and NLP: </w:t>
      </w:r>
      <w:r>
        <w:rPr>
          <w:rFonts w:ascii="Arial" w:cs="Arial" w:eastAsia="Arial" w:hAnsi="Arial"/>
          <w:sz w:val="22"/>
          <w:szCs w:val="22"/>
        </w:rPr>
        <w:t xml:space="preserve">Application of transformer-based LLMs (GPT-4o-mini) for text generation, reasoning-based retrieval via PageIndex (LLM-driven tree search), prompt engineering for grounded summarisation, and automated faithfulness evaluation.</w:t>
      </w:r>
    </w:p>
    <w:p>
      <w:pPr>
        <w:spacing w:after="80"/>
      </w:pPr>
      <w:r>
        <w:rPr>
          <w:rFonts w:ascii="Arial" w:cs="Arial" w:eastAsia="Arial" w:hAnsi="Arial"/>
          <w:b/>
          <w:bCs/>
          <w:sz w:val="22"/>
          <w:szCs w:val="22"/>
        </w:rPr>
        <w:t xml:space="preserve">AI Ethics and Explainability: </w:t>
      </w:r>
      <w:r>
        <w:rPr>
          <w:rFonts w:ascii="Arial" w:cs="Arial" w:eastAsia="Arial" w:hAnsi="Arial"/>
          <w:sz w:val="22"/>
          <w:szCs w:val="22"/>
        </w:rPr>
        <w:t xml:space="preserve">Human-in-the-loop design prioritises transparency, user control, and explainable outputs. Every generated claim traces to source documents with page-level attribution. The event-sourced logging architecture provides audit-grade records of all human-AI interactions.</w:t>
      </w:r>
    </w:p>
    <w:p>
      <w:pPr>
        <w:spacing w:after="80"/>
      </w:pPr>
      <w:r>
        <w:rPr>
          <w:rFonts w:ascii="Arial" w:cs="Arial" w:eastAsia="Arial" w:hAnsi="Arial"/>
          <w:b/>
          <w:bCs/>
          <w:sz w:val="22"/>
          <w:szCs w:val="22"/>
        </w:rPr>
        <w:t xml:space="preserve">Human-Computer Interaction: </w:t>
      </w:r>
      <w:r>
        <w:rPr>
          <w:rFonts w:ascii="Arial" w:cs="Arial" w:eastAsia="Arial" w:hAnsi="Arial"/>
          <w:sz w:val="22"/>
          <w:szCs w:val="22"/>
        </w:rPr>
        <w:t xml:space="preserve">Empirical evaluation with domain experts measuring trust, usability, and effectiveness. Chat-native interface design grounded in distributed cognition theory and conversation grounding theory (Clark &amp; Brennan). Progressive disclosure of AI control as a UX pattern.</w:t>
      </w:r>
    </w:p>
    <w:p>
      <w:pPr>
        <w:spacing w:after="80"/>
      </w:pPr>
      <w:r>
        <w:rPr>
          <w:rFonts w:ascii="Arial" w:cs="Arial" w:eastAsia="Arial" w:hAnsi="Arial"/>
          <w:b/>
          <w:bCs/>
          <w:sz w:val="22"/>
          <w:szCs w:val="22"/>
        </w:rPr>
        <w:t xml:space="preserve">Applied Research: </w:t>
      </w:r>
      <w:r>
        <w:rPr>
          <w:rFonts w:ascii="Arial" w:cs="Arial" w:eastAsia="Arial" w:hAnsi="Arial"/>
          <w:sz w:val="22"/>
          <w:szCs w:val="22"/>
        </w:rPr>
        <w:t xml:space="preserve">Rigorous experimental design (progressive within-between mixed design) combining quantitative metrics and qualitative analysis. Statistical analysis including repeated-measures ANOVA, between-group t-tests, and mixed model regression.</w:t>
      </w:r>
    </w:p>
    <w:p>
      <w:pPr>
        <w:spacing w:after="80"/>
      </w:pPr>
      <w:r>
        <w:rPr>
          <w:rFonts w:ascii="Arial" w:cs="Arial" w:eastAsia="Arial" w:hAnsi="Arial"/>
          <w:b/>
          <w:bCs/>
          <w:sz w:val="22"/>
          <w:szCs w:val="22"/>
        </w:rPr>
        <w:t xml:space="preserve">Software Engineering: </w:t>
      </w:r>
      <w:r>
        <w:rPr>
          <w:rFonts w:ascii="Arial" w:cs="Arial" w:eastAsia="Arial" w:hAnsi="Arial"/>
          <w:sz w:val="22"/>
          <w:szCs w:val="22"/>
        </w:rPr>
        <w:t xml:space="preserve">Full-stack development (React/TypeScript frontend, Python FastAPI backend, PostgreSQL database). Integration with external APIs (PageIndex, OpenAI). Event-sourced architecture pattern suitable for enterprise deployment.</w:t>
      </w:r>
    </w:p>
    <w:p>
      <w:pPr>
        <w:spacing w:after="80"/>
      </w:pPr>
      <w:r>
        <w:rPr>
          <w:rFonts w:ascii="Arial" w:cs="Arial" w:eastAsia="Arial" w:hAnsi="Arial"/>
          <w:b/>
          <w:bCs/>
          <w:sz w:val="22"/>
          <w:szCs w:val="22"/>
        </w:rPr>
        <w:t xml:space="preserve">Enterprise AI Architecture: </w:t>
      </w:r>
      <w:r>
        <w:rPr>
          <w:rFonts w:ascii="Arial" w:cs="Arial" w:eastAsia="Arial" w:hAnsi="Arial"/>
          <w:sz w:val="22"/>
          <w:szCs w:val="22"/>
        </w:rPr>
        <w:t xml:space="preserve">The system's architectural patterns (chat-as-audit-trail, progressive automation, structured human oversight) directly inform the design of workforce AI platforms in regulated industries, bridging academic research with industry application.</w:t>
      </w:r>
    </w:p>
    <w:p>
      <w:r>
        <w:r>
          <w:br w:type="page"/>
        </w:r>
      </w:r>
    </w:p>
    <w:p>
      <w:pPr>
        <w:pStyle w:val="Heading1"/>
      </w:pPr>
      <w:r>
        <w:t xml:space="preserve">8. Enterprise Application: Workforce AI Reference Architecture</w:t>
      </w:r>
    </w:p>
    <w:p>
      <w:pPr>
        <w:spacing w:after="120"/>
      </w:pPr>
      <w:r>
        <w:rPr>
          <w:rFonts w:ascii="Arial" w:cs="Arial" w:eastAsia="Arial" w:hAnsi="Arial"/>
          <w:i/>
          <w:iCs/>
          <w:color w:val="4A5568"/>
          <w:sz w:val="22"/>
          <w:szCs w:val="22"/>
        </w:rPr>
        <w:t xml:space="preserve">This section extends the academic scope to address industry application, supporting the dual-purpose framing of this project.</w:t>
      </w:r>
    </w:p>
    <w:p>
      <w:pPr>
        <w:pStyle w:val="Heading2"/>
      </w:pPr>
      <w:r>
        <w:t xml:space="preserve">8.1 Context</w:t>
      </w:r>
    </w:p>
    <w:p>
      <w:pPr>
        <w:spacing w:after="120"/>
      </w:pPr>
      <w:r>
        <w:rPr>
          <w:rFonts w:ascii="Arial" w:cs="Arial" w:eastAsia="Arial" w:hAnsi="Arial"/>
          <w:sz w:val="22"/>
          <w:szCs w:val="22"/>
        </w:rPr>
        <w:t xml:space="preserve">The author currently holds a Senior Software Engineer position in the Office of the CEO (OCEO) team at a financial services organisation, focusing on AI trajectory. The organisation has recently launched a Workforce AI initiative, and the director of this initiative has invited the author to present the HITL research findings. This section articulates how the thesis system serves as a reference architecture for enterprise AI platform design.</w:t>
      </w:r>
    </w:p>
    <w:p>
      <w:pPr>
        <w:pStyle w:val="Heading2"/>
      </w:pPr>
      <w:r>
        <w:t xml:space="preserve">8.2 The Enterprise AI Governance Gap</w:t>
      </w:r>
    </w:p>
    <w:p>
      <w:pPr>
        <w:spacing w:after="120"/>
      </w:pPr>
      <w:r>
        <w:rPr>
          <w:rFonts w:ascii="Arial" w:cs="Arial" w:eastAsia="Arial" w:hAnsi="Arial"/>
          <w:sz w:val="22"/>
          <w:szCs w:val="22"/>
        </w:rPr>
        <w:t xml:space="preserve">Most enterprise AI deployments fall into one of two failure modes: (1) fully automated systems with minimal human oversight, which fail in regulated industries due to compliance requirements and trust deficits, or (2) cumbersome approval workflows where every AI output requires manual sign-off, negating the efficiency gains of automation. The industry lacks principled frameworks for calibrating human oversight based on task risk, domain complexity, and user expertise.</w:t>
      </w:r>
    </w:p>
    <w:p>
      <w:pPr>
        <w:spacing w:after="120"/>
      </w:pPr>
      <w:r>
        <w:rPr>
          <w:rFonts w:ascii="Arial" w:cs="Arial" w:eastAsia="Arial" w:hAnsi="Arial"/>
          <w:sz w:val="22"/>
          <w:szCs w:val="22"/>
        </w:rPr>
        <w:t xml:space="preserve">This thesis system demonstrates a third path: progressive human-in-the-loop architecture where the level of human control is configurable at each pipeline stage, creating a spectrum from full automation to full human oversight.</w:t>
      </w:r>
    </w:p>
    <w:p>
      <w:pPr>
        <w:pStyle w:val="Heading2"/>
      </w:pPr>
      <w:r>
        <w:t xml:space="preserve">8.3 Transferable Architectural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Pattern from Thesis System</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Enterprise Generalisation</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Workforce AI Application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Chat-as-Audit-Trail: All human decisions are first-class messages in the conversation stream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Event-sourced interaction logging where the chat log IS the governance record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officers can replay any AI-assisted decision to see exactly what the human reviewed, modified, and approved</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Progressive HITL Modes: Baseline → HITL-R → HITL-G → HITL-Full</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Configurable human oversight levels per task risk classification</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Low-risk tasks run fully automated; high-risk tasks require human review at retrieval, generation, or both stages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Selection (HITL-R): Human curates which retrieved sections feed into 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gatekeeping at the context-assembly stage of any AI pipeline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Analysts select which data sources, reports, or records the AI uses before generating recommendations</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Summary Editing (HITL-G): Human refines AI-generated output with hallucination flagging</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Structured human review with explicit error categorisation</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Workforce AI outputs are edited rather than regenerated; flagged errors create feedback signals for model improvement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PageIndex Tree Structure: Documents indexed as hierarchical sections, not arbitrary chunks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Preserving institutional document structure in AI retrieval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policies, procedures, and knowledge bases retain their organisational hierarchy when indexed for AI</w:t>
            </w:r>
          </w:p>
        </w:tc>
      </w:tr>
      <w:tr>
        <w:tc>
          <w:tcPr>
            <w:tcW w:type="dxa" w:w="2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Interaction Events Table: Every user action timestamped and typed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Audit-grade telemetry for AI-assisted workflows</w:t>
            </w:r>
          </w:p>
        </w:tc>
        <w:tc>
          <w:tcPr>
            <w:tcW w:type="dxa" w:w="3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sz w:val="20"/>
                <w:szCs w:val="20"/>
              </w:rPr>
              <w:t xml:space="preserve">Regulators can audit which human reviewed which AI output, when, and what modifications were made</w:t>
            </w:r>
          </w:p>
        </w:tc>
      </w:tr>
    </w:tbl>
    <w:p>
      <w:pPr>
        <w:pStyle w:val="Heading2"/>
      </w:pPr>
      <w:r>
        <w:t xml:space="preserve">8.4 Workforce AI Platform Architecture (Derived)</w:t>
      </w:r>
    </w:p>
    <w:p>
      <w:pPr>
        <w:spacing w:after="120"/>
      </w:pPr>
      <w:r>
        <w:rPr>
          <w:rFonts w:ascii="Arial" w:cs="Arial" w:eastAsia="Arial" w:hAnsi="Arial"/>
          <w:sz w:val="22"/>
          <w:szCs w:val="22"/>
        </w:rPr>
        <w:t xml:space="preserve">The following architecture extends the thesis system to a general-purpose enterprise AI platform:</w:t>
      </w:r>
    </w:p>
    <w:p>
      <w:pPr>
        <w:spacing w:after="40" w:before="40"/>
        <w:ind w:left="360"/>
      </w:pPr>
      <w:r>
        <w:rPr>
          <w:rFonts w:ascii="Courier New" w:cs="Courier New" w:eastAsia="Courier New" w:hAnsi="Courier New"/>
          <w:sz w:val="19"/>
          <w:szCs w:val="19"/>
        </w:rPr>
        <w:t xml:space="preserve">Layer 1 — GOVERNANCE: Risk classification engine, role-based oversight rules, audit logging</w:t>
      </w:r>
    </w:p>
    <w:p>
      <w:pPr>
        <w:spacing w:after="40" w:before="40"/>
        <w:ind w:left="360"/>
      </w:pPr>
      <w:r>
        <w:rPr>
          <w:rFonts w:ascii="Courier New" w:cs="Courier New" w:eastAsia="Courier New" w:hAnsi="Courier New"/>
          <w:sz w:val="19"/>
          <w:szCs w:val="19"/>
        </w:rPr>
        <w:t xml:space="preserve">Layer 2 — RETRIEVAL: PageIndex-style document indexing (preserving structure), reasoning-based search</w:t>
      </w:r>
    </w:p>
    <w:p>
      <w:pPr>
        <w:spacing w:after="40" w:before="40"/>
        <w:ind w:left="360"/>
      </w:pPr>
      <w:r>
        <w:rPr>
          <w:rFonts w:ascii="Courier New" w:cs="Courier New" w:eastAsia="Courier New" w:hAnsi="Courier New"/>
          <w:sz w:val="19"/>
          <w:szCs w:val="19"/>
        </w:rPr>
        <w:t xml:space="preserve">Layer 3 — GENERATION: LLM pipeline with configurable prompt templates per domain</w:t>
      </w:r>
    </w:p>
    <w:p>
      <w:pPr>
        <w:spacing w:after="40" w:before="40"/>
        <w:ind w:left="360"/>
      </w:pPr>
      <w:r>
        <w:rPr>
          <w:rFonts w:ascii="Courier New" w:cs="Courier New" w:eastAsia="Courier New" w:hAnsi="Courier New"/>
          <w:sz w:val="19"/>
          <w:szCs w:val="19"/>
        </w:rPr>
        <w:t xml:space="preserve">Layer 4 — HUMAN OVERSIGHT: Progressive HITL controls (configurable per task risk level)</w:t>
      </w:r>
    </w:p>
    <w:p>
      <w:pPr>
        <w:spacing w:after="40" w:before="40"/>
        <w:ind w:left="360"/>
      </w:pPr>
      <w:r>
        <w:rPr>
          <w:rFonts w:ascii="Courier New" w:cs="Courier New" w:eastAsia="Courier New" w:hAnsi="Courier New"/>
          <w:sz w:val="19"/>
          <w:szCs w:val="19"/>
        </w:rPr>
        <w:t xml:space="preserve">Layer 5 — INTERFACE: Chat-native UI with interactive message components</w:t>
      </w:r>
    </w:p>
    <w:p>
      <w:pPr>
        <w:spacing w:after="40" w:before="40"/>
        <w:ind w:left="360"/>
      </w:pPr>
      <w:r>
        <w:rPr>
          <w:rFonts w:ascii="Courier New" w:cs="Courier New" w:eastAsia="Courier New" w:hAnsi="Courier New"/>
          <w:sz w:val="19"/>
          <w:szCs w:val="19"/>
        </w:rPr>
        <w:t xml:space="preserve">Layer 6 — FEEDBACK: Event-sourced logs → analytics dashboard → model improvement signals</w:t>
      </w:r>
    </w:p>
    <w:p>
      <w:pPr>
        <w:spacing w:after="120"/>
      </w:pPr>
      <w:r>
        <w:rPr>
          <w:rFonts w:ascii="Arial" w:cs="Arial" w:eastAsia="Arial" w:hAnsi="Arial"/>
          <w:sz w:val="22"/>
          <w:szCs w:val="22"/>
        </w:rPr>
        <w:t xml:space="preserve">Each layer maps directly to a component built and validated in the thesis system. The progression from a research prototype to an enterprise platform involves scaling (more documents, users, domains) and hardening (authentication, role-based access, deployment infrastructure), but the architectural patterns remain identical.</w:t>
      </w:r>
    </w:p>
    <w:p>
      <w:pPr>
        <w:pStyle w:val="Heading2"/>
      </w:pPr>
      <w:r>
        <w:t xml:space="preserve">8.5 Presentation Angle for Workforce AI Director</w:t>
      </w:r>
    </w:p>
    <w:p>
      <w:pPr>
        <w:spacing w:after="120"/>
      </w:pPr>
      <w:r>
        <w:rPr>
          <w:rFonts w:ascii="Arial" w:cs="Arial" w:eastAsia="Arial" w:hAnsi="Arial"/>
          <w:sz w:val="22"/>
          <w:szCs w:val="22"/>
        </w:rPr>
        <w:t xml:space="preserve">The recommended framing for the internal presentation is:</w:t>
      </w:r>
    </w:p>
    <w:p>
      <w:pPr>
        <w:spacing w:after="120"/>
      </w:pPr>
      <w:r>
        <w:rPr>
          <w:rFonts w:ascii="Arial" w:cs="Arial" w:eastAsia="Arial" w:hAnsi="Arial"/>
          <w:i/>
          <w:iCs/>
          <w:color w:val="4A5568"/>
          <w:sz w:val="22"/>
          <w:szCs w:val="22"/>
        </w:rPr>
        <w:t xml:space="preserve">"We built a system that lets financial analysts control exactly how much they trust AI at every step. Here's what that teaches us about designing AI tools for the entire workforce."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Key messages:</w:t>
      </w:r>
    </w:p>
    <w:p>
      <w:pPr>
        <w:pStyle w:val="ListParagraph"/>
        <w:numPr>
          <w:ilvl w:val="0"/>
          <w:numId w:val="6"/>
        </w:numPr>
        <w:spacing w:after="60"/>
      </w:pPr>
      <w:r>
        <w:rPr>
          <w:rFonts w:ascii="Arial" w:cs="Arial" w:eastAsia="Arial" w:hAnsi="Arial"/>
          <w:sz w:val="22"/>
          <w:szCs w:val="22"/>
        </w:rPr>
        <w:t xml:space="preserve">The problem: Enterprise AI needs human oversight, but most approaches are either too little (compliance risk) or too much (kills productivity). This research shows a configurable middle path.</w:t>
      </w:r>
    </w:p>
    <w:p>
      <w:pPr>
        <w:pStyle w:val="ListParagraph"/>
        <w:numPr>
          <w:ilvl w:val="0"/>
          <w:numId w:val="6"/>
        </w:numPr>
        <w:spacing w:after="60"/>
      </w:pPr>
      <w:r>
        <w:rPr>
          <w:rFonts w:ascii="Arial" w:cs="Arial" w:eastAsia="Arial" w:hAnsi="Arial"/>
          <w:sz w:val="22"/>
          <w:szCs w:val="22"/>
        </w:rPr>
        <w:t xml:space="preserve">The evidence: Empirical data from 16 professionals shows which intervention points matter most (retrieval vs. generation) and what the time-quality trade-offs are.</w:t>
      </w:r>
    </w:p>
    <w:p>
      <w:pPr>
        <w:pStyle w:val="ListParagraph"/>
        <w:numPr>
          <w:ilvl w:val="0"/>
          <w:numId w:val="6"/>
        </w:numPr>
        <w:spacing w:after="60"/>
      </w:pPr>
      <w:r>
        <w:rPr>
          <w:rFonts w:ascii="Arial" w:cs="Arial" w:eastAsia="Arial" w:hAnsi="Arial"/>
          <w:sz w:val="22"/>
          <w:szCs w:val="22"/>
        </w:rPr>
        <w:t xml:space="preserve">The architecture: Chat-native design with event-sourced logging creates an audit trail by default. Every AI-assisted decision is reconstructable.</w:t>
      </w:r>
    </w:p>
    <w:p>
      <w:pPr>
        <w:pStyle w:val="ListParagraph"/>
        <w:numPr>
          <w:ilvl w:val="0"/>
          <w:numId w:val="6"/>
        </w:numPr>
        <w:spacing w:after="60"/>
      </w:pPr>
      <w:r>
        <w:rPr>
          <w:rFonts w:ascii="Arial" w:cs="Arial" w:eastAsia="Arial" w:hAnsi="Arial"/>
          <w:sz w:val="22"/>
          <w:szCs w:val="22"/>
        </w:rPr>
        <w:t xml:space="preserve">The platform play: The same architecture that governs financial risk analysis can govern any workforce AI use case — HR document review, legal contract analysis, compliance monitoring — by swapping the document corpus and tuning the oversight level.</w:t>
      </w:r>
    </w:p>
    <w:p>
      <w:r>
        <w:r>
          <w:br w:type="page"/>
        </w:r>
      </w:r>
    </w:p>
    <w:p>
      <w:pPr>
        <w:pStyle w:val="Heading1"/>
      </w:pPr>
      <w:r>
        <w:t xml:space="preserve">9. Ethics Approval</w:t>
      </w:r>
    </w:p>
    <w:p>
      <w:pPr>
        <w:pStyle w:val="Heading2"/>
      </w:pPr>
      <w:r>
        <w:t xml:space="preserve">Ethics Approval Requirement</w:t>
      </w:r>
    </w:p>
    <w:p>
      <w:pPr>
        <w:spacing w:after="120"/>
      </w:pPr>
      <w:r>
        <w:rPr>
          <w:rFonts w:ascii="Arial" w:cs="Arial" w:eastAsia="Arial" w:hAnsi="Arial"/>
          <w:sz w:val="22"/>
          <w:szCs w:val="22"/>
        </w:rPr>
        <w:t xml:space="preserve">This project requires ethics approval from the University of Hertfordshire as it involves human participants in user studies. The research involves: (1) 16 financial analysts or advanced finance students as participants, (2) system interaction logs, questionnaire responses, and audio-recorded interviews, (3) professional work domain context using only public SEC data.</w:t>
      </w:r>
    </w:p>
    <w:p>
      <w:pPr>
        <w:pStyle w:val="Heading2"/>
      </w:pPr>
      <w:r>
        <w:t xml:space="preserve">Ethics Submission Status</w:t>
      </w:r>
    </w:p>
    <w:p>
      <w:pPr>
        <w:spacing w:after="80"/>
      </w:pPr>
      <w:r>
        <w:rPr>
          <w:rFonts w:ascii="Arial" w:cs="Arial" w:eastAsia="Arial" w:hAnsi="Arial"/>
          <w:b/>
          <w:bCs/>
          <w:sz w:val="22"/>
          <w:szCs w:val="22"/>
        </w:rPr>
        <w:t xml:space="preserve">Submission Date: </w:t>
      </w:r>
      <w:r>
        <w:rPr>
          <w:rFonts w:ascii="Arial" w:cs="Arial" w:eastAsia="Arial" w:hAnsi="Arial"/>
          <w:sz w:val="22"/>
          <w:szCs w:val="22"/>
        </w:rPr>
        <w:t xml:space="preserve">January 12, 2026 (submitted)</w:t>
      </w:r>
    </w:p>
    <w:p>
      <w:pPr>
        <w:spacing w:after="80"/>
      </w:pPr>
      <w:r>
        <w:rPr>
          <w:rFonts w:ascii="Arial" w:cs="Arial" w:eastAsia="Arial" w:hAnsi="Arial"/>
          <w:b/>
          <w:bCs/>
          <w:sz w:val="22"/>
          <w:szCs w:val="22"/>
        </w:rPr>
        <w:t xml:space="preserve">Expected Approval: </w:t>
      </w:r>
      <w:r>
        <w:rPr>
          <w:rFonts w:ascii="Arial" w:cs="Arial" w:eastAsia="Arial" w:hAnsi="Arial"/>
          <w:sz w:val="22"/>
          <w:szCs w:val="22"/>
        </w:rPr>
        <w:t xml:space="preserve">Mid-February 2026 (before Week 12 pilot)</w:t>
      </w:r>
    </w:p>
    <w:p>
      <w:pPr>
        <w:spacing w:after="80"/>
      </w:pPr>
      <w:r>
        <w:rPr>
          <w:rFonts w:ascii="Arial" w:cs="Arial" w:eastAsia="Arial" w:hAnsi="Arial"/>
          <w:b/>
          <w:bCs/>
          <w:sz w:val="22"/>
          <w:szCs w:val="22"/>
        </w:rPr>
        <w:t xml:space="preserve">Application Components: </w:t>
      </w:r>
      <w:r>
        <w:rPr>
          <w:rFonts w:ascii="Arial" w:cs="Arial" w:eastAsia="Arial" w:hAnsi="Arial"/>
          <w:sz w:val="22"/>
          <w:szCs w:val="22"/>
        </w:rPr>
        <w:t xml:space="preserve">Form 1919, Participant Information Sheet, Consent Form, Risk Assessment, Data Management Plan, Recruitment Materials, Study Protocols (all complete and submitted).</w:t>
      </w:r>
    </w:p>
    <w:p>
      <w:pPr>
        <w:pStyle w:val="Heading2"/>
      </w:pPr>
      <w:r>
        <w:t xml:space="preserve">Data Protection</w:t>
      </w:r>
    </w:p>
    <w:p>
      <w:pPr>
        <w:pStyle w:val="ListParagraph"/>
        <w:numPr>
          <w:ilvl w:val="0"/>
          <w:numId w:val="7"/>
        </w:numPr>
        <w:spacing w:after="60"/>
      </w:pPr>
      <w:r>
        <w:rPr>
          <w:rFonts w:ascii="Arial" w:cs="Arial" w:eastAsia="Arial" w:hAnsi="Arial"/>
          <w:sz w:val="22"/>
          <w:szCs w:val="22"/>
        </w:rPr>
        <w:t xml:space="preserve">Anonymisation: Participant IDs (P01-P16) used throughout; no personally identifiable information in analysis or publications</w:t>
      </w:r>
    </w:p>
    <w:p>
      <w:pPr>
        <w:pStyle w:val="ListParagraph"/>
        <w:numPr>
          <w:ilvl w:val="0"/>
          <w:numId w:val="7"/>
        </w:numPr>
        <w:spacing w:after="60"/>
      </w:pPr>
      <w:r>
        <w:rPr>
          <w:rFonts w:ascii="Arial" w:cs="Arial" w:eastAsia="Arial" w:hAnsi="Arial"/>
          <w:sz w:val="22"/>
          <w:szCs w:val="22"/>
        </w:rPr>
        <w:t xml:space="preserve">Storage: Encrypted university servers (OneDrive), password-protected files</w:t>
      </w:r>
    </w:p>
    <w:p>
      <w:pPr>
        <w:pStyle w:val="ListParagraph"/>
        <w:numPr>
          <w:ilvl w:val="0"/>
          <w:numId w:val="7"/>
        </w:numPr>
        <w:spacing w:after="60"/>
      </w:pPr>
      <w:r>
        <w:rPr>
          <w:rFonts w:ascii="Arial" w:cs="Arial" w:eastAsia="Arial" w:hAnsi="Arial"/>
          <w:sz w:val="22"/>
          <w:szCs w:val="22"/>
        </w:rPr>
        <w:t xml:space="preserve">Retention: Anonymised data retained 5 years per university policy; raw recordings deleted after transcription if participant requests</w:t>
      </w:r>
    </w:p>
    <w:p>
      <w:pPr>
        <w:pStyle w:val="ListParagraph"/>
        <w:numPr>
          <w:ilvl w:val="0"/>
          <w:numId w:val="7"/>
        </w:numPr>
        <w:spacing w:after="60"/>
      </w:pPr>
      <w:r>
        <w:rPr>
          <w:rFonts w:ascii="Arial" w:cs="Arial" w:eastAsia="Arial" w:hAnsi="Arial"/>
          <w:sz w:val="22"/>
          <w:szCs w:val="22"/>
        </w:rPr>
        <w:t xml:space="preserve">GDPR Compliance: Right to withdraw, data access requests, minimal data principle</w:t>
      </w:r>
    </w:p>
    <w:p>
      <w:pPr>
        <w:pStyle w:val="Heading2"/>
      </w:pPr>
      <w:r>
        <w:t xml:space="preserve">Contingency Plan</w:t>
      </w:r>
    </w:p>
    <w:p>
      <w:pPr>
        <w:spacing w:after="120"/>
      </w:pPr>
      <w:r>
        <w:rPr>
          <w:rFonts w:ascii="Arial" w:cs="Arial" w:eastAsia="Arial" w:hAnsi="Arial"/>
          <w:sz w:val="22"/>
          <w:szCs w:val="22"/>
        </w:rPr>
        <w:t xml:space="preserve">If ethics approval is delayed or denied: (1) rule-based intervention profiles already prepared as fallback, (2) thesis can be reframed as system design and architecture contribution, (3) if approval comes late, extend study into April with supervisor agreement.</w:t>
      </w:r>
    </w:p>
    <w:p>
      <w:pPr>
        <w:pStyle w:val="Heading1"/>
      </w:pPr>
      <w:r>
        <w:t xml:space="preserve">10. List of References</w:t>
      </w:r>
    </w:p>
    <w:p>
      <w:pPr>
        <w:spacing w:after="120"/>
      </w:pPr>
      <w:r>
        <w:rPr>
          <w:rFonts w:ascii="Arial" w:cs="Arial" w:eastAsia="Arial" w:hAnsi="Arial"/>
          <w:sz w:val="22"/>
          <w:szCs w:val="22"/>
        </w:rPr>
        <w:t xml:space="preserve">Bracke, P., Datta, A., Jung, C., &amp; Sen, S. (2019). Machine learning explainability in finance: An application to default risk analysis. Bank of England Staff Working Paper, 816.</w:t>
      </w:r>
    </w:p>
    <w:p>
      <w:pPr>
        <w:spacing w:after="120"/>
      </w:pPr>
      <w:r>
        <w:rPr>
          <w:rFonts w:ascii="Arial" w:cs="Arial" w:eastAsia="Arial" w:hAnsi="Arial"/>
          <w:sz w:val="22"/>
          <w:szCs w:val="22"/>
        </w:rPr>
        <w:t xml:space="preserve">Braun, V., &amp; Clarke, V. (2006). Using thematic analysis in psychology. Qualitative Research in Psychology, 3(2), 77-101.</w:t>
      </w:r>
    </w:p>
    <w:p>
      <w:pPr>
        <w:spacing w:after="120"/>
      </w:pPr>
      <w:r>
        <w:rPr>
          <w:rFonts w:ascii="Arial" w:cs="Arial" w:eastAsia="Arial" w:hAnsi="Arial"/>
          <w:sz w:val="22"/>
          <w:szCs w:val="22"/>
        </w:rPr>
        <w:t xml:space="preserve">Ehsan, U., Liao, Q. V., Muller, M., Riedl, M. O., &amp; Weisz, J. D. (2021). Expanding explainability: Towards social transparency in AI systems. Proceedings of the 2021 CHI Conference on Human Factors in Computing Systems (pp. 1-19).</w:t>
      </w:r>
    </w:p>
    <w:p>
      <w:pPr>
        <w:spacing w:after="120"/>
      </w:pPr>
      <w:r>
        <w:rPr>
          <w:rFonts w:ascii="Arial" w:cs="Arial" w:eastAsia="Arial" w:hAnsi="Arial"/>
          <w:sz w:val="22"/>
          <w:szCs w:val="22"/>
        </w:rPr>
        <w:t xml:space="preserve">Guu, K., Lee, K., Tung, Z., Pasupat, P., &amp; Chang, M. (2020). REALM: Retrieval-augmented language model pre-training. International Conference on Machine Learning (pp. 3929-3938). PMLR.</w:t>
      </w:r>
    </w:p>
    <w:p>
      <w:pPr>
        <w:spacing w:after="120"/>
      </w:pPr>
      <w:r>
        <w:rPr>
          <w:rFonts w:ascii="Arial" w:cs="Arial" w:eastAsia="Arial" w:hAnsi="Arial"/>
          <w:sz w:val="22"/>
          <w:szCs w:val="22"/>
        </w:rPr>
        <w:t xml:space="preserve">Ji, Z., Lee, N., Frieske, R., Yu, T., Su, D., Xu, Y., ... &amp; Fung, P. (2023). Survey of hallucination in natural language generation. ACM Computing Surveys, 55(12), 1-38.</w:t>
      </w:r>
    </w:p>
    <w:p>
      <w:pPr>
        <w:spacing w:after="120"/>
      </w:pPr>
      <w:r>
        <w:rPr>
          <w:rFonts w:ascii="Arial" w:cs="Arial" w:eastAsia="Arial" w:hAnsi="Arial"/>
          <w:sz w:val="22"/>
          <w:szCs w:val="22"/>
        </w:rPr>
        <w:t xml:space="preserve">Karpukhin, V., Oguz, B., Min, S., Lewis, P., Wu, L., Edunov, S., ... &amp; Yih, W. T. (2020). Dense passage retrieval for open-domain question answering. Proceedings of the 2020 Conference on Empirical Methods in Natural Language Processing (pp. 6769-6781).</w:t>
      </w:r>
    </w:p>
    <w:p>
      <w:pPr>
        <w:spacing w:after="120"/>
      </w:pPr>
      <w:r>
        <w:rPr>
          <w:rFonts w:ascii="Arial" w:cs="Arial" w:eastAsia="Arial" w:hAnsi="Arial"/>
          <w:sz w:val="22"/>
          <w:szCs w:val="22"/>
        </w:rPr>
        <w:t xml:space="preserve">Lewis, P., Perez, E., Piktus, A., Petroni, F., Karpukhin, V., Goyal, N., ... &amp; Kiela, D. (2020). Retrieval-augmented generation for knowledge-intensive NLP tasks. Advances in Neural Information Processing Systems, 33, 9459-9474.</w:t>
      </w:r>
    </w:p>
    <w:p>
      <w:pPr>
        <w:spacing w:after="120"/>
      </w:pPr>
      <w:r>
        <w:rPr>
          <w:rFonts w:ascii="Arial" w:cs="Arial" w:eastAsia="Arial" w:hAnsi="Arial"/>
          <w:sz w:val="22"/>
          <w:szCs w:val="22"/>
        </w:rPr>
        <w:t xml:space="preserve">Mosqueira-Rey, E., Hernandez-Pereira, E., Alonso-Rios, D., Bobes-Bascaran, J., &amp; Fernandez-Leal, A. (2023). Human-in-the-loop machine learning: A state of the art. Artificial Intelligence Review, 56(4), 3005-3054.</w:t>
      </w:r>
    </w:p>
    <w:p>
      <w:pPr>
        <w:spacing w:after="120"/>
      </w:pPr>
      <w:r>
        <w:rPr>
          <w:rFonts w:ascii="Arial" w:cs="Arial" w:eastAsia="Arial" w:hAnsi="Arial"/>
          <w:sz w:val="22"/>
          <w:szCs w:val="22"/>
        </w:rPr>
        <w:t xml:space="preserve">Ribeiro, M. T., Singh, S., &amp; Guestrin, C. (2016). Why should I trust you? Explaining the predictions of any classifier. Proceedings of the 22nd ACM SIGKDD International Conference on Knowledge Discovery and Data Mining (pp. 1135-1144).</w:t>
      </w:r>
    </w:p>
    <w:p>
      <w:pPr>
        <w:spacing w:after="120"/>
      </w:pPr>
      <w:r>
        <w:rPr>
          <w:rFonts w:ascii="Arial" w:cs="Arial" w:eastAsia="Arial" w:hAnsi="Arial"/>
          <w:sz w:val="22"/>
          <w:szCs w:val="22"/>
        </w:rPr>
        <w:t xml:space="preserve">U.S. Securities and Exchange Commission. (2023). Form 10-K. Retrieved from https://www.sec.gov/forms</w:t>
      </w:r>
    </w:p>
    <w:p>
      <w:pPr>
        <w:spacing w:after="120"/>
      </w:pPr>
      <w:r>
        <w:rPr>
          <w:rFonts w:ascii="Arial" w:cs="Arial" w:eastAsia="Arial" w:hAnsi="Arial"/>
          <w:sz w:val="22"/>
          <w:szCs w:val="22"/>
        </w:rPr>
        <w:t xml:space="preserve">Zhang, M., Tang, Y., &amp; PageIndex Team. (2025). PageIndex: Next-generation vectorless, reasoning-based RAG. PageIndex Blog. https://pageindex.ai/blog/pageindex-intro</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EPP (Revised) — Zulhafiz Zaini — 23089377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2026-02-06T09:25:07.064Z</dcterms:created>
  <dcterms:modified xsi:type="dcterms:W3CDTF">2026-02-06T09:25:07.064Z</dcterms:modified>
</cp:coreProperties>
</file>

<file path=docProps/custom.xml><?xml version="1.0" encoding="utf-8"?>
<Properties xmlns="http://schemas.openxmlformats.org/officeDocument/2006/custom-properties" xmlns:vt="http://schemas.openxmlformats.org/officeDocument/2006/docPropsVTypes"/>
</file>