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2" w:color="0b3d62"/>
        </w:pBdr>
        <w:bidi w:val="1"/>
        <w:spacing w:after="160" w:before="0"/>
        <w:jc w:val="center"/>
      </w:pPr>
      <w:r>
        <w:rPr>
          <w:rFonts w:ascii="B Titr" w:hAnsi="B Titr" w:cs="B Titr" w:eastAsia="B Titr"/>
          <w:b/>
          <w:color w:val="0B3D62"/>
          <w:sz w:val="32"/>
          <w:rtl w:val="1"/>
        </w:rPr>
        <w:t>پیش‌نویس ثبت دانش در DANA</w:t>
      </w:r>
    </w:p>
    <w:p>
      <w:pPr>
        <w:pBdr>
          <w:bottom w:val="single" w:sz="6" w:space="2" w:color="0b3d62"/>
        </w:pBdr>
        <w:bidi w:val="1"/>
        <w:spacing w:after="80" w:before="200"/>
        <w:jc w:val="right"/>
      </w:pPr>
      <w:r>
        <w:rPr>
          <w:rFonts w:ascii="B Titr" w:hAnsi="B Titr" w:cs="B Titr" w:eastAsia="B Titr"/>
          <w:b/>
          <w:color w:val="0B3D62"/>
          <w:sz w:val="25"/>
          <w:rtl w:val="1"/>
        </w:rPr>
        <w:t>اطلاعات ثبت</w:t>
      </w:r>
    </w:p>
    <w:p>
      <w:pPr>
        <w:bidi w:val="1"/>
        <w:spacing w:after="60" w:before="0"/>
        <w:jc w:val="right"/>
      </w:pPr>
      <w:r>
        <w:rPr>
          <w:rFonts w:ascii="B Nazanin" w:hAnsi="B Nazanin" w:cs="B Nazanin" w:eastAsia="B Nazanin"/>
          <w:b w:val="0"/>
          <w:color w:val="1A1A1A"/>
          <w:sz w:val="22"/>
          <w:rtl w:val="1"/>
        </w:rPr>
        <w:t>نوع دانش: پیشنهاد</w:t>
      </w:r>
    </w:p>
    <w:p>
      <w:pPr>
        <w:bidi w:val="1"/>
        <w:spacing w:after="60" w:before="0"/>
        <w:jc w:val="right"/>
      </w:pPr>
      <w:r>
        <w:rPr>
          <w:rFonts w:ascii="B Nazanin" w:hAnsi="B Nazanin" w:cs="B Nazanin" w:eastAsia="B Nazanin"/>
          <w:b w:val="0"/>
          <w:color w:val="1A1A1A"/>
          <w:sz w:val="22"/>
          <w:rtl w:val="1"/>
        </w:rPr>
        <w:t>وضعیت QA: نیازمند بازبینی</w:t>
      </w:r>
    </w:p>
    <w:p>
      <w:pPr>
        <w:bidi w:val="1"/>
        <w:spacing w:after="60" w:before="0"/>
        <w:jc w:val="right"/>
      </w:pPr>
      <w:r>
        <w:rPr>
          <w:rFonts w:ascii="B Nazanin" w:hAnsi="B Nazanin" w:cs="B Nazanin" w:eastAsia="B Nazanin"/>
          <w:b w:val="0"/>
          <w:color w:val="1A1A1A"/>
          <w:sz w:val="22"/>
          <w:rtl w:val="1"/>
        </w:rPr>
        <w:t>بازبینی اپراتور: الزامی</w:t>
      </w:r>
    </w:p>
    <w:p>
      <w:pPr>
        <w:pBdr>
          <w:bottom w:val="single" w:sz="6" w:space="2" w:color="0b3d62"/>
        </w:pBdr>
        <w:bidi w:val="1"/>
        <w:spacing w:after="80" w:before="200"/>
        <w:jc w:val="right"/>
      </w:pPr>
      <w:r>
        <w:rPr>
          <w:rFonts w:ascii="B Titr" w:hAnsi="B Titr" w:cs="B Titr" w:eastAsia="B Titr"/>
          <w:b/>
          <w:color w:val="0B3D62"/>
          <w:sz w:val="25"/>
          <w:rtl w:val="1"/>
        </w:rPr>
        <w:t>محتوا</w:t>
      </w:r>
    </w:p>
    <w:p>
      <w:pPr>
        <w:bidi w:val="1"/>
        <w:spacing w:after="60" w:before="0"/>
        <w:jc w:val="right"/>
      </w:pPr>
      <w:r>
        <w:rPr>
          <w:rFonts w:ascii="B Nazanin" w:hAnsi="B Nazanin" w:cs="B Nazanin" w:eastAsia="B Nazanin"/>
          <w:b/>
          <w:color w:val="1A1A1A"/>
          <w:sz w:val="22"/>
          <w:rtl w:val="1"/>
        </w:rPr>
        <w:t>عنوان پیشنهاد</w:t>
      </w:r>
    </w:p>
    <w:p>
      <w:pPr>
        <w:bidi w:val="1"/>
        <w:spacing w:after="60" w:before="0"/>
        <w:jc w:val="right"/>
      </w:pPr>
      <w:r>
        <w:rPr>
          <w:rFonts w:ascii="B Nazanin" w:hAnsi="B Nazanin" w:cs="B Nazanin" w:eastAsia="B Nazanin"/>
          <w:b w:val="0"/>
          <w:color w:val="1A1A1A"/>
          <w:sz w:val="22"/>
          <w:rtl w:val="1"/>
        </w:rPr>
        <w:t>حذف عملیات حرارتی تنش‌زدایی (PWHT) از خطوط پایپینگ توربین بخار بر اساس استانداردهای جدید و کاهش هزینه‌های اجرای پایپینگ</w:t>
      </w:r>
    </w:p>
    <w:p>
      <w:pPr>
        <w:bidi w:val="1"/>
        <w:spacing w:after="60" w:before="0"/>
        <w:jc w:val="right"/>
      </w:pPr>
      <w:r>
        <w:rPr>
          <w:rFonts w:ascii="B Nazanin" w:hAnsi="B Nazanin" w:cs="B Nazanin" w:eastAsia="B Nazanin"/>
          <w:b/>
          <w:color w:val="1A1A1A"/>
          <w:sz w:val="22"/>
          <w:rtl w:val="1"/>
        </w:rPr>
        <w:t>وضع موجود</w:t>
      </w:r>
    </w:p>
    <w:p>
      <w:pPr>
        <w:bidi w:val="1"/>
        <w:spacing w:after="60" w:before="0"/>
        <w:jc w:val="right"/>
      </w:pPr>
      <w:r>
        <w:rPr>
          <w:rFonts w:ascii="B Nazanin" w:hAnsi="B Nazanin" w:cs="B Nazanin" w:eastAsia="B Nazanin"/>
          <w:b w:val="0"/>
          <w:color w:val="1A1A1A"/>
          <w:sz w:val="22"/>
          <w:rtl w:val="1"/>
        </w:rPr>
        <w:t>طبق مدارک پروژه به شماره MD1-TU-00-TG-G-23-TGC-360، کل حجم پایپینگ هر واحد توربین بخار (مدل MST-50C، سفارش T10752، ساخت شرکت مهندسی و ساخت توگا) حدود ۲۹۰۰ دیا-اینچ و حجم تنش‌زدایی مورد نیاز حدود ۲۳۰ اینچ (۲۴۲ سرجوش) است. مواد خطوط بر پایه DIN 17175 (منسوخ ۱۹۹۰، جایگزین ISO 10216-2) با گریدهای 15MO3 (1.5415)، 10 CrMo 9 10 (1.7380) و 13 CrMo 4 4 (1.7335) هستند. در رویکردهای جدید مهندسی (ASME STP PT 033) تنش‌زدایی «تیغ دو لبه» است؛ مکانیزم‌های تخریبی مانند ترک بازگرمایش، DMWC و تردی تمپر می‌تواند خاستگاه تنش‌زدایی باشد و کمینه ضخامت نیازمند PWHT در استانداردهای اروپایی/آمریکایی رو به افزایش است. اجرای تنش‌زدایی بر لوله‌های ضخامت/قطر پایین (Measuring) در سایت با مشکلات جدی مواجه است: اعوجاج شدید، نوسان زیاد ترموکوپل‌ها، عدم امکان نصب دو ترموکوپل، عدم تماس کافی سرامیک‌های المنت کتابی، کمبود فضا برای بستن ترموکوپل و نگرانی از تخریب اجزای داخلی ولوهای مجاور.</w:t>
      </w:r>
    </w:p>
    <w:p>
      <w:pPr>
        <w:bidi w:val="1"/>
        <w:spacing w:after="60" w:before="0"/>
        <w:jc w:val="right"/>
      </w:pPr>
      <w:r>
        <w:rPr>
          <w:rFonts w:ascii="B Nazanin" w:hAnsi="B Nazanin" w:cs="B Nazanin" w:eastAsia="B Nazanin"/>
          <w:b/>
          <w:color w:val="1A1A1A"/>
          <w:sz w:val="22"/>
          <w:rtl w:val="1"/>
        </w:rPr>
        <w:t>پیشنهاد بهبود</w:t>
      </w:r>
    </w:p>
    <w:p>
      <w:pPr>
        <w:bidi w:val="1"/>
        <w:spacing w:after="60" w:before="0"/>
        <w:jc w:val="right"/>
      </w:pPr>
      <w:r>
        <w:rPr>
          <w:rFonts w:ascii="B Nazanin" w:hAnsi="B Nazanin" w:cs="B Nazanin" w:eastAsia="B Nazanin"/>
          <w:b w:val="0"/>
          <w:color w:val="1A1A1A"/>
          <w:sz w:val="22"/>
          <w:rtl w:val="1"/>
        </w:rPr>
        <w:t>حذف عملیات حرارتی تنش‌زدایی (PWHT) از خطوط پایپینگ توربین بخار (به‌ویژه خطوط Measuring با ضخامت/قطر پایین) بر اساس الزام استانداردهای جدید (EN 13480-4، ASME B31.1 و B31.3) و جایگزینی با پیش‌گرم جوش در صورت لزوم. نحوه اجرا: ارزیابی الزام تنش‌زدایی بر اساس ضخامت و قطر لوله و گرید متریال مطابق استانداردهای مرجع و اعمال الزام استاندارد جدید؛ جزئیات اجرایی و فرآیند جایگزینی در سند به تفصیل ارائه نشده است.</w:t>
      </w:r>
    </w:p>
    <w:p>
      <w:pPr>
        <w:bidi w:val="1"/>
        <w:spacing w:after="60" w:before="0"/>
        <w:jc w:val="right"/>
      </w:pPr>
      <w:r>
        <w:rPr>
          <w:rFonts w:ascii="B Nazanin" w:hAnsi="B Nazanin" w:cs="B Nazanin" w:eastAsia="B Nazanin"/>
          <w:b/>
          <w:color w:val="1A1A1A"/>
          <w:sz w:val="22"/>
          <w:rtl w:val="1"/>
        </w:rPr>
        <w:t>تاثیر اجرای پیشنهاد</w:t>
      </w:r>
    </w:p>
    <w:p>
      <w:pPr>
        <w:bidi w:val="1"/>
        <w:spacing w:after="60" w:before="0"/>
        <w:jc w:val="right"/>
      </w:pPr>
      <w:r>
        <w:rPr>
          <w:rFonts w:ascii="B Nazanin" w:hAnsi="B Nazanin" w:cs="B Nazanin" w:eastAsia="B Nazanin"/>
          <w:b w:val="0"/>
          <w:color w:val="1A1A1A"/>
          <w:sz w:val="22"/>
          <w:rtl w:val="1"/>
        </w:rPr>
        <w:t>کمی</w:t>
      </w:r>
    </w:p>
    <w:p>
      <w:pPr>
        <w:bidi w:val="1"/>
        <w:spacing w:after="60" w:before="0"/>
        <w:jc w:val="right"/>
      </w:pPr>
      <w:r>
        <w:rPr>
          <w:rFonts w:ascii="B Nazanin" w:hAnsi="B Nazanin" w:cs="B Nazanin" w:eastAsia="B Nazanin"/>
          <w:b/>
          <w:color w:val="1A1A1A"/>
          <w:sz w:val="22"/>
          <w:rtl w:val="1"/>
        </w:rPr>
        <w:t>نتایج حاصل از اجرای پیشنهاد</w:t>
      </w:r>
    </w:p>
    <w:p>
      <w:pPr>
        <w:bidi w:val="1"/>
        <w:spacing w:after="60" w:before="0"/>
        <w:jc w:val="right"/>
      </w:pPr>
      <w:r>
        <w:rPr>
          <w:rFonts w:ascii="B Nazanin" w:hAnsi="B Nazanin" w:cs="B Nazanin" w:eastAsia="B Nazanin"/>
          <w:b w:val="0"/>
          <w:color w:val="1A1A1A"/>
          <w:sz w:val="22"/>
          <w:rtl w:val="1"/>
        </w:rPr>
        <w:t>حذف بیش از ۷۰ روز عملیات تنش‌زدایی از برنامه ۱۵۰ روزه نصب پایپینگ توربین؛ حذف حدود ۷۰ روز اجاره دستگاه تنش‌زدایی به همراه دو نفر پرسنل اجرایی: حدود ۳۸ میلیون تومان (قیمت استعلامی از سایت‌های فردوسی، شیروان و عسلویه)؛ حذف هزینه نفرات اجرایی کنترل کیفیت و ایمنی: حدود ۶ میلیون تومان (معادل حذف یک نفر/ماه کارشناس فنی)؛ کاهش هزینه برق مصرفی: حدود ۲ میلیون تومان (دستگاه ۶ کاناله، ۷۰ روز). مجموع صرفه‌جویی مالی قابل پیش‌بینی: حدود ۴۶ میلیون تومان. (اثر مورد انتظار — تأیید نشده؛ محاسبات مالی از سند استخراج شده است.)</w:t>
      </w:r>
    </w:p>
    <w:p>
      <w:pPr>
        <w:pBdr>
          <w:bottom w:val="single" w:sz="6" w:space="2" w:color="0b3d62"/>
        </w:pBdr>
        <w:bidi w:val="1"/>
        <w:spacing w:after="80" w:before="200"/>
        <w:jc w:val="right"/>
      </w:pPr>
      <w:r>
        <w:rPr>
          <w:rFonts w:ascii="B Titr" w:hAnsi="B Titr" w:cs="B Titr" w:eastAsia="B Titr"/>
          <w:b/>
          <w:color w:val="0B3D62"/>
          <w:sz w:val="25"/>
          <w:rtl w:val="1"/>
        </w:rPr>
        <w:t>فراداده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  <w:bidiVisual w:val="1"/>
        <w:tblLayout w:type="fixed"/>
      </w:tblPr>
      <w:tblGrid>
        <w:gridCol w:w="4933"/>
        <w:gridCol w:w="4933"/>
      </w:tblGrid>
      <w:tr>
        <w:tc>
          <w:tcPr>
            <w:tcW w:type="dxa" w:w="1984"/>
          </w:tcPr>
          <w:p>
            <w:pPr>
              <w:bidi w:val="1"/>
              <w:jc w:val="right"/>
            </w:pPr>
            <w:r>
              <w:rPr>
                <w:rFonts w:ascii="B Titr" w:hAnsi="B Titr" w:cs="B Titr" w:eastAsia="B Titr"/>
                <w:b/>
                <w:color w:val="0B3D62"/>
                <w:sz w:val="20"/>
                <w:rtl w:val="1"/>
              </w:rPr>
              <w:t>فیلد</w:t>
            </w:r>
          </w:p>
        </w:tc>
        <w:tc>
          <w:tcPr>
            <w:tcW w:type="dxa" w:w="7880"/>
          </w:tcPr>
          <w:p>
            <w:pPr>
              <w:bidi w:val="1"/>
              <w:jc w:val="right"/>
            </w:pPr>
            <w:r>
              <w:rPr>
                <w:rFonts w:ascii="B Titr" w:hAnsi="B Titr" w:cs="B Titr" w:eastAsia="B Titr"/>
                <w:b/>
                <w:color w:val="0B3D62"/>
                <w:sz w:val="20"/>
                <w:rtl w:val="1"/>
              </w:rPr>
              <w:t>مقدار</w:t>
            </w:r>
          </w:p>
        </w:tc>
      </w:tr>
      <w:tr>
        <w:tc>
          <w:tcPr>
            <w:tcW w:type="dxa" w:w="1984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درخت دانش</w:t>
            </w:r>
          </w:p>
        </w:tc>
        <w:tc>
          <w:tcPr>
            <w:tcW w:type="dxa" w:w="7880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[پیشنهادی] Design and Engineering &gt; Mechanical Engineering &gt; Turbine / Generator — ورودی اپراتور الزامی (شاخه جایگزین: System and Piping Layout)</w:t>
            </w:r>
          </w:p>
        </w:tc>
      </w:tr>
      <w:tr>
        <w:tc>
          <w:tcPr>
            <w:tcW w:type="dxa" w:w="1984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پروژه</w:t>
            </w:r>
          </w:p>
        </w:tc>
        <w:tc>
          <w:tcPr>
            <w:tcW w:type="dxa" w:w="7880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نیروگاه سیکل ترکیبی فردوسی مشهد (مطابق سند)</w:t>
            </w:r>
          </w:p>
        </w:tc>
      </w:tr>
      <w:tr>
        <w:tc>
          <w:tcPr>
            <w:tcW w:type="dxa" w:w="1984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محدوده سازمانی</w:t>
            </w:r>
          </w:p>
        </w:tc>
        <w:tc>
          <w:tcPr>
            <w:tcW w:type="dxa" w:w="7880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کیفیت (کنترل کیفیت پروژه) — پیشنهادی</w:t>
            </w:r>
          </w:p>
        </w:tc>
      </w:tr>
      <w:tr>
        <w:tc>
          <w:tcPr>
            <w:tcW w:type="dxa" w:w="1984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کمیته تخصصی</w:t>
            </w:r>
          </w:p>
        </w:tc>
        <w:tc>
          <w:tcPr>
            <w:tcW w:type="dxa" w:w="7880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کمیته پیشنهادات مدیریت پروژه — ورودی اپراتور الزامی</w:t>
            </w:r>
          </w:p>
        </w:tc>
      </w:tr>
      <w:tr>
        <w:tc>
          <w:tcPr>
            <w:tcW w:type="dxa" w:w="1984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بذر پیشنهاد</w:t>
            </w:r>
          </w:p>
        </w:tc>
        <w:tc>
          <w:tcPr>
            <w:tcW w:type="dxa" w:w="7880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[اختیاری - ارائه نشده]</w:t>
            </w:r>
          </w:p>
        </w:tc>
      </w:tr>
      <w:tr>
        <w:tc>
          <w:tcPr>
            <w:tcW w:type="dxa" w:w="1984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تاثیر اجرای پیشنهاد</w:t>
            </w:r>
          </w:p>
        </w:tc>
        <w:tc>
          <w:tcPr>
            <w:tcW w:type="dxa" w:w="7880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کمی</w:t>
            </w:r>
          </w:p>
        </w:tc>
      </w:tr>
      <w:tr>
        <w:tc>
          <w:tcPr>
            <w:tcW w:type="dxa" w:w="1984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همکاران</w:t>
            </w:r>
          </w:p>
        </w:tc>
        <w:tc>
          <w:tcPr>
            <w:tcW w:type="dxa" w:w="7880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[اختیاری - ارائه نشده]</w:t>
            </w:r>
          </w:p>
        </w:tc>
      </w:tr>
      <w:tr>
        <w:tc>
          <w:tcPr>
            <w:tcW w:type="dxa" w:w="1984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سطح دسترسی</w:t>
            </w:r>
          </w:p>
        </w:tc>
        <w:tc>
          <w:tcPr>
            <w:tcW w:type="dxa" w:w="7880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عادی</w:t>
            </w:r>
          </w:p>
        </w:tc>
      </w:tr>
      <w:tr>
        <w:tc>
          <w:tcPr>
            <w:tcW w:type="dxa" w:w="1984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هشتگ‌ها</w:t>
            </w:r>
          </w:p>
        </w:tc>
        <w:tc>
          <w:tcPr>
            <w:tcW w:type="dxa" w:w="7880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#PWHT #تنش‌زدایی #پایپینگ #توربین_بخار #جوشکاری #پروژه_فردوسی</w:t>
            </w:r>
          </w:p>
        </w:tc>
      </w:tr>
    </w:tbl>
    <w:p>
      <w:pPr>
        <w:pBdr>
          <w:bottom w:val="single" w:sz="6" w:space="2" w:color="0b3d62"/>
        </w:pBdr>
        <w:bidi w:val="1"/>
        <w:spacing w:after="80" w:before="200"/>
        <w:jc w:val="right"/>
      </w:pPr>
      <w:r>
        <w:rPr>
          <w:rFonts w:ascii="B Titr" w:hAnsi="B Titr" w:cs="B Titr" w:eastAsia="B Titr"/>
          <w:b/>
          <w:color w:val="0B3D62"/>
          <w:sz w:val="25"/>
          <w:rtl w:val="1"/>
        </w:rPr>
        <w:t>منابع</w:t>
      </w:r>
    </w:p>
    <w:p>
      <w:pPr>
        <w:bidi w:val="1"/>
        <w:spacing w:after="60" w:before="0"/>
        <w:jc w:val="right"/>
      </w:pPr>
      <w:r>
        <w:rPr>
          <w:rFonts w:ascii="B Nazanin" w:hAnsi="B Nazanin" w:cs="B Nazanin" w:eastAsia="B Nazanin"/>
          <w:b/>
          <w:color w:val="1A1A1A"/>
          <w:sz w:val="22"/>
          <w:rtl w:val="1"/>
        </w:rPr>
        <w:t>فایل پیوست (آماده برای بارگذاری، نه بارگذاری‌شده):</w:t>
      </w:r>
    </w:p>
    <w:p>
      <w:pPr>
        <w:bidi w:val="1"/>
        <w:spacing w:after="60" w:before="0"/>
        <w:jc w:val="right"/>
      </w:pPr>
      <w:r>
        <w:rPr>
          <w:rFonts w:ascii="B Nazanin" w:hAnsi="B Nazanin" w:cs="B Nazanin" w:eastAsia="B Nazanin"/>
          <w:b w:val="0"/>
          <w:color w:val="1A1A1A"/>
          <w:sz w:val="22"/>
          <w:rtl w:val="1"/>
        </w:rPr>
        <w:t>۱. پیشنهاد حذف تنش زدایی.pdf</w:t>
      </w:r>
    </w:p>
    <w:p>
      <w:pPr>
        <w:pBdr>
          <w:bottom w:val="single" w:sz="6" w:space="2" w:color="0b3d62"/>
        </w:pBdr>
        <w:bidi w:val="1"/>
        <w:spacing w:after="80" w:before="200"/>
        <w:jc w:val="right"/>
      </w:pPr>
      <w:r>
        <w:rPr>
          <w:rFonts w:ascii="B Titr" w:hAnsi="B Titr" w:cs="B Titr" w:eastAsia="B Titr"/>
          <w:b/>
          <w:color w:val="0B3D62"/>
          <w:sz w:val="25"/>
          <w:rtl w:val="1"/>
        </w:rPr>
        <w:t>وضعیت QA</w:t>
      </w:r>
    </w:p>
    <w:p>
      <w:pPr>
        <w:bidi w:val="1"/>
        <w:spacing w:after="60" w:before="0"/>
        <w:jc w:val="right"/>
      </w:pPr>
      <w:r>
        <w:rPr>
          <w:rFonts w:ascii="B Nazanin" w:hAnsi="B Nazanin" w:cs="B Nazanin" w:eastAsia="B Nazanin"/>
          <w:b w:val="0"/>
          <w:color w:val="1A1A1A"/>
          <w:sz w:val="22"/>
          <w:rtl w:val="1"/>
        </w:rPr>
        <w:t>نیازمند بازبینی — بدون مسئله حیاتی؛ نیاز به تأیید درخت دانش، راستی‌آزمایی ادعاهای فنی/استانداردها و تأیید کمیته.</w:t>
      </w:r>
    </w:p>
    <w:p>
      <w:pPr>
        <w:pBdr>
          <w:bottom w:val="single" w:sz="6" w:space="2" w:color="0b3d62"/>
        </w:pBdr>
        <w:bidi w:val="1"/>
        <w:spacing w:after="80" w:before="200"/>
        <w:jc w:val="right"/>
      </w:pPr>
      <w:r>
        <w:rPr>
          <w:rFonts w:ascii="B Titr" w:hAnsi="B Titr" w:cs="B Titr" w:eastAsia="B Titr"/>
          <w:b/>
          <w:color w:val="0B3D62"/>
          <w:sz w:val="25"/>
          <w:rtl w:val="1"/>
        </w:rPr>
        <w:t>بازبینی اپراتور الزامی است</w:t>
      </w:r>
    </w:p>
    <w:p>
      <w:pPr>
        <w:bidi w:val="1"/>
        <w:spacing w:after="60" w:before="0"/>
        <w:jc w:val="right"/>
      </w:pPr>
      <w:r>
        <w:rPr>
          <w:rFonts w:ascii="B Nazanin" w:hAnsi="B Nazanin" w:cs="B Nazanin" w:eastAsia="B Nazanin"/>
          <w:b w:val="0"/>
          <w:color w:val="1A1A1A"/>
          <w:sz w:val="22"/>
          <w:rtl w:val="1"/>
        </w:rPr>
        <w:t>بله — موارد زیر نیازمند بازبینی/تأیید است: درخت دانش، پروژه، اعتبار ادعاهای فنی/استانداردها، کمیته.</w:t>
      </w:r>
    </w:p>
    <w:p>
      <w:pPr>
        <w:pBdr>
          <w:bottom w:val="single" w:sz="6" w:space="2" w:color="0b3d62"/>
        </w:pBdr>
        <w:bidi w:val="1"/>
        <w:spacing w:after="80" w:before="200"/>
        <w:jc w:val="right"/>
      </w:pPr>
      <w:r>
        <w:rPr>
          <w:rFonts w:ascii="B Titr" w:hAnsi="B Titr" w:cs="B Titr" w:eastAsia="B Titr"/>
          <w:b/>
          <w:color w:val="0B3D62"/>
          <w:sz w:val="25"/>
          <w:rtl w:val="1"/>
        </w:rPr>
        <w:t>موارد حل‌نشده</w:t>
      </w:r>
    </w:p>
    <w:p>
      <w:pPr>
        <w:bidi w:val="1"/>
        <w:spacing w:after="60" w:before="0"/>
        <w:jc w:val="right"/>
      </w:pPr>
      <w:r>
        <w:rPr>
          <w:rFonts w:ascii="B Nazanin" w:hAnsi="B Nazanin" w:cs="B Nazanin" w:eastAsia="B Nazanin"/>
          <w:b w:val="0"/>
          <w:color w:val="1A1A1A"/>
          <w:sz w:val="22"/>
          <w:rtl w:val="1"/>
        </w:rPr>
        <w:t>• انتخاب و تأیید نهایی درخت دانش (پیشنهادی: Turbine / Generator یا System and Piping Layout).</w:t>
      </w:r>
    </w:p>
    <w:p>
      <w:pPr>
        <w:bidi w:val="1"/>
        <w:spacing w:after="60" w:before="0"/>
        <w:jc w:val="right"/>
      </w:pPr>
      <w:r>
        <w:rPr>
          <w:rFonts w:ascii="B Nazanin" w:hAnsi="B Nazanin" w:cs="B Nazanin" w:eastAsia="B Nazanin"/>
          <w:b w:val="0"/>
          <w:color w:val="1A1A1A"/>
          <w:sz w:val="22"/>
          <w:rtl w:val="1"/>
        </w:rPr>
        <w:t>• راستی‌آزمایی ادعاهای فنی (ASME STP PT 033، EN 13480-4، ASME B31.1/B31.3، DIN 17175 منسوخ به جای ISO 10216-2) توسط بازبینی فنی.</w:t>
      </w:r>
    </w:p>
    <w:p>
      <w:pPr>
        <w:bidi w:val="1"/>
        <w:spacing w:after="60" w:before="0"/>
        <w:jc w:val="right"/>
      </w:pPr>
      <w:r>
        <w:rPr>
          <w:rFonts w:ascii="B Nazanin" w:hAnsi="B Nazanin" w:cs="B Nazanin" w:eastAsia="B Nazanin"/>
          <w:b w:val="0"/>
          <w:color w:val="1A1A1A"/>
          <w:sz w:val="22"/>
          <w:rtl w:val="1"/>
        </w:rPr>
        <w:t>• تأیید محاسبات صرفه‌جویی (حدود ۴۶ میلیون تومان) و مبنای قیمت‌های استعلامی (فردوسی، شیروان، عسلویه).</w:t>
      </w:r>
    </w:p>
    <w:p>
      <w:pPr>
        <w:bidi w:val="1"/>
        <w:spacing w:after="60" w:before="0"/>
        <w:jc w:val="right"/>
      </w:pPr>
      <w:r>
        <w:rPr>
          <w:rFonts w:ascii="B Nazanin" w:hAnsi="B Nazanin" w:cs="B Nazanin" w:eastAsia="B Nazanin"/>
          <w:b w:val="0"/>
          <w:color w:val="1A1A1A"/>
          <w:sz w:val="22"/>
          <w:rtl w:val="1"/>
        </w:rPr>
        <w:t>• تعیین تکلیف «سایر پیشنهادات» (فیلر ER-80S/ER-70S، گاز پرج N2/H2، حذف WPS) — ثبت مستقل یا به‌عنوان عناصر ثانویه.</w:t>
      </w:r>
    </w:p>
    <w:p>
      <w:pPr>
        <w:bidi w:val="1"/>
        <w:spacing w:after="60" w:before="0"/>
        <w:jc w:val="right"/>
      </w:pPr>
      <w:r>
        <w:rPr>
          <w:rFonts w:ascii="B Nazanin" w:hAnsi="B Nazanin" w:cs="B Nazanin" w:eastAsia="B Nazanin"/>
          <w:b w:val="0"/>
          <w:color w:val="1A1A1A"/>
          <w:sz w:val="22"/>
          <w:rtl w:val="1"/>
        </w:rPr>
        <w:t>• تأیید کمیته پیشنهادات.</w:t>
      </w:r>
    </w:p>
    <w:p>
      <w:pPr>
        <w:pBdr>
          <w:bottom w:val="single" w:sz="6" w:space="2" w:color="0b3d62"/>
        </w:pBdr>
        <w:bidi w:val="1"/>
        <w:spacing w:after="80" w:before="200"/>
        <w:jc w:val="right"/>
      </w:pPr>
      <w:r>
        <w:rPr>
          <w:rFonts w:ascii="B Titr" w:hAnsi="B Titr" w:cs="B Titr" w:eastAsia="B Titr"/>
          <w:b/>
          <w:color w:val="0B3D62"/>
          <w:sz w:val="25"/>
          <w:rtl w:val="1"/>
        </w:rPr>
        <w:t>چک‌لیست نهایی اپراتور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  <w:bidiVisual w:val="1"/>
        <w:tblLayout w:type="fixed"/>
      </w:tblPr>
      <w:tblGrid>
        <w:gridCol w:w="4933"/>
        <w:gridCol w:w="4933"/>
      </w:tblGrid>
      <w:tr>
        <w:tc>
          <w:tcPr>
            <w:tcW w:type="dxa" w:w="6803"/>
          </w:tcPr>
          <w:p>
            <w:pPr>
              <w:bidi w:val="1"/>
              <w:jc w:val="right"/>
            </w:pPr>
            <w:r>
              <w:rPr>
                <w:rFonts w:ascii="B Titr" w:hAnsi="B Titr" w:cs="B Titr" w:eastAsia="B Titr"/>
                <w:b/>
                <w:color w:val="0B3D62"/>
                <w:sz w:val="20"/>
                <w:rtl w:val="1"/>
              </w:rPr>
              <w:t>مورد</w:t>
            </w:r>
          </w:p>
        </w:tc>
        <w:tc>
          <w:tcPr>
            <w:tcW w:type="dxa" w:w="3061"/>
          </w:tcPr>
          <w:p>
            <w:pPr>
              <w:bidi w:val="1"/>
              <w:jc w:val="right"/>
            </w:pPr>
            <w:r>
              <w:rPr>
                <w:rFonts w:ascii="B Titr" w:hAnsi="B Titr" w:cs="B Titr" w:eastAsia="B Titr"/>
                <w:b/>
                <w:color w:val="0B3D62"/>
                <w:sz w:val="20"/>
                <w:rtl w:val="1"/>
              </w:rPr>
              <w:t>وضعیت</w:t>
            </w:r>
          </w:p>
        </w:tc>
      </w:tr>
      <w:tr>
        <w:tc>
          <w:tcPr>
            <w:tcW w:type="dxa" w:w="6803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نوع دانش تأیید شد (پیشنهاد)</w:t>
            </w:r>
          </w:p>
        </w:tc>
        <w:tc>
          <w:tcPr>
            <w:tcW w:type="dxa" w:w="3061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☐</w:t>
            </w:r>
          </w:p>
        </w:tc>
      </w:tr>
      <w:tr>
        <w:tc>
          <w:tcPr>
            <w:tcW w:type="dxa" w:w="6803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درخت دانش تأیید شد</w:t>
            </w:r>
          </w:p>
        </w:tc>
        <w:tc>
          <w:tcPr>
            <w:tcW w:type="dxa" w:w="3061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☐</w:t>
            </w:r>
          </w:p>
        </w:tc>
      </w:tr>
      <w:tr>
        <w:tc>
          <w:tcPr>
            <w:tcW w:type="dxa" w:w="6803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پروژه تأیید شد</w:t>
            </w:r>
          </w:p>
        </w:tc>
        <w:tc>
          <w:tcPr>
            <w:tcW w:type="dxa" w:w="3061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☐</w:t>
            </w:r>
          </w:p>
        </w:tc>
      </w:tr>
      <w:tr>
        <w:tc>
          <w:tcPr>
            <w:tcW w:type="dxa" w:w="6803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محدوده سازمانی تأیید شد</w:t>
            </w:r>
          </w:p>
        </w:tc>
        <w:tc>
          <w:tcPr>
            <w:tcW w:type="dxa" w:w="3061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☐</w:t>
            </w:r>
          </w:p>
        </w:tc>
      </w:tr>
      <w:tr>
        <w:tc>
          <w:tcPr>
            <w:tcW w:type="dxa" w:w="6803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سطح دسترسی تأیید شد</w:t>
            </w:r>
          </w:p>
        </w:tc>
        <w:tc>
          <w:tcPr>
            <w:tcW w:type="dxa" w:w="3061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☐</w:t>
            </w:r>
          </w:p>
        </w:tc>
      </w:tr>
      <w:tr>
        <w:tc>
          <w:tcPr>
            <w:tcW w:type="dxa" w:w="6803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همکاران تأیید شدند</w:t>
            </w:r>
          </w:p>
        </w:tc>
        <w:tc>
          <w:tcPr>
            <w:tcW w:type="dxa" w:w="3061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☐</w:t>
            </w:r>
          </w:p>
        </w:tc>
      </w:tr>
      <w:tr>
        <w:tc>
          <w:tcPr>
            <w:tcW w:type="dxa" w:w="6803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محتوا بازبینی شد</w:t>
            </w:r>
          </w:p>
        </w:tc>
        <w:tc>
          <w:tcPr>
            <w:tcW w:type="dxa" w:w="3061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☐</w:t>
            </w:r>
          </w:p>
        </w:tc>
      </w:tr>
      <w:tr>
        <w:tc>
          <w:tcPr>
            <w:tcW w:type="dxa" w:w="6803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فایل پیوست بازبینی شد</w:t>
            </w:r>
          </w:p>
        </w:tc>
        <w:tc>
          <w:tcPr>
            <w:tcW w:type="dxa" w:w="3061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☐</w:t>
            </w:r>
          </w:p>
        </w:tc>
      </w:tr>
      <w:tr>
        <w:tc>
          <w:tcPr>
            <w:tcW w:type="dxa" w:w="6803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هشتگ‌ها بازبینی شدند</w:t>
            </w:r>
          </w:p>
        </w:tc>
        <w:tc>
          <w:tcPr>
            <w:tcW w:type="dxa" w:w="3061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☐</w:t>
            </w:r>
          </w:p>
        </w:tc>
      </w:tr>
      <w:tr>
        <w:tc>
          <w:tcPr>
            <w:tcW w:type="dxa" w:w="6803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مسائل QA حل شدند</w:t>
            </w:r>
          </w:p>
        </w:tc>
        <w:tc>
          <w:tcPr>
            <w:tcW w:type="dxa" w:w="3061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☐</w:t>
            </w:r>
          </w:p>
        </w:tc>
      </w:tr>
      <w:tr>
        <w:tc>
          <w:tcPr>
            <w:tcW w:type="dxa" w:w="6803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پیش‌نویس نهایی برای ثبت در DANA تأیید شد</w:t>
            </w:r>
          </w:p>
        </w:tc>
        <w:tc>
          <w:tcPr>
            <w:tcW w:type="dxa" w:w="3061"/>
          </w:tcPr>
          <w:p>
            <w:pPr>
              <w:bidi w:val="1"/>
              <w:jc w:val="right"/>
            </w:pPr>
            <w:r>
              <w:rPr>
                <w:rFonts w:ascii="B Nazanin" w:hAnsi="B Nazanin" w:cs="B Nazanin" w:eastAsia="B Nazanin"/>
                <w:b w:val="0"/>
                <w:color w:val="1A1A1A"/>
                <w:sz w:val="20"/>
                <w:rtl w:val="1"/>
              </w:rPr>
              <w:t>☐</w:t>
            </w:r>
          </w:p>
        </w:tc>
      </w:tr>
    </w:tbl>
    <w:p>
      <w:pPr>
        <w:bidi w:val="1"/>
        <w:spacing w:after="60" w:before="200"/>
        <w:jc w:val="right"/>
      </w:pPr>
      <w:r>
        <w:rPr>
          <w:rFonts w:ascii="B Nazanin" w:hAnsi="B Nazanin" w:cs="B Nazanin" w:eastAsia="B Nazanin"/>
          <w:b w:val="0"/>
          <w:color w:val="555555"/>
          <w:sz w:val="18"/>
          <w:rtl w:val="1"/>
        </w:rPr>
        <w:t>تولید شده توسط organizational-knowledge-skill — پیش‌نویس برای بازبینی و تأیید انسانی؛ ثبت نهایی در DANA بر عهده اپراتور است.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