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properly classified and well labeled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7"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 do file from</w:t>
      </w:r>
      <w:r>
        <w:t xml:space="preserve"> </w:t>
      </w:r>
      <w:r>
        <w:rPr>
          <w:bCs/>
          <w:b/>
        </w:rPr>
        <w:t xml:space="preserve">within</w:t>
      </w:r>
      <w:r>
        <w:t xml:space="preserve"> </w:t>
      </w:r>
      <w:r>
        <w:t xml:space="preserve">an do file script using a command like</w:t>
      </w:r>
    </w:p>
    <w:p>
      <w:pPr>
        <w:pStyle w:val="SourceCode"/>
      </w:pPr>
      <w:r>
        <w:rPr>
          <w:rStyle w:val="VerbatimChar"/>
        </w:rPr>
        <w:t xml:space="preserve">do myscriptfilename</w:t>
      </w:r>
    </w:p>
    <w:p>
      <w:pPr>
        <w:pStyle w:val="FirstParagraph"/>
      </w:pPr>
      <w:r>
        <w:t xml:space="preserve">but of course change the path and file name to match your set-up.</w:t>
      </w:r>
    </w:p>
    <w:bookmarkEnd w:id="27"/>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w:t>
      </w:r>
    </w:p>
    <w:p>
      <w:pPr>
        <w:pStyle w:val="BodyText"/>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8"/>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r>
        <w:br/>
      </w:r>
      <w:r>
        <w:rPr>
          <w:rStyle w:val="VerbatimChar"/>
        </w:rPr>
        <w:t xml:space="preserve">`</w:t>
      </w:r>
    </w:p>
    <w:p>
      <w:pPr>
        <w:pStyle w:val="FirstParagraph"/>
      </w:pPr>
      <w:r>
        <w:t xml:space="preserve">or</w:t>
      </w:r>
    </w:p>
    <w:p>
      <w:pPr>
        <w:pStyle w:val="SourceCode"/>
      </w:pPr>
      <w:r>
        <w:rPr>
          <w:rStyle w:val="VerbatimChar"/>
        </w:rPr>
        <w:t xml:space="preserve">`quietly {</w:t>
      </w:r>
      <w:r>
        <w:br/>
      </w:r>
      <w:r>
        <w:rPr>
          <w:rStyle w:val="VerbatimChar"/>
        </w:rPr>
        <w:t xml:space="preserve">regress history maths</w:t>
      </w:r>
      <w:r>
        <w:br/>
      </w:r>
      <w:r>
        <w:rPr>
          <w:rStyle w:val="VerbatimChar"/>
        </w:rPr>
        <w:t xml:space="preserve">predict resid, resid</w:t>
      </w:r>
      <w:r>
        <w:br/>
      </w:r>
      <w:r>
        <w:rPr>
          <w:rStyle w:val="VerbatimChar"/>
        </w:rPr>
        <w:t xml:space="preserve">}</w:t>
      </w:r>
      <w:r>
        <w:br/>
      </w:r>
      <w:r>
        <w:rPr>
          <w:rStyle w:val="VerbatimChar"/>
        </w:rPr>
        <w:t xml:space="preserve">summarize resid</w:t>
      </w:r>
      <w:r>
        <w:br/>
      </w:r>
      <w:r>
        <w:rPr>
          <w:rStyle w:val="VerbatimChar"/>
        </w:rPr>
        <w:t xml:space="preserve">`</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2"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preserve</w:t>
      </w:r>
      <w:r>
        <w:br/>
      </w:r>
      <w:r>
        <w:rPr>
          <w:rStyle w:val="VerbatimChar"/>
        </w:rPr>
        <w:t xml:space="preserve">describe, replace clear</w:t>
      </w:r>
      <w:r>
        <w:br/>
      </w:r>
      <w:r>
        <w:rPr>
          <w:rStyle w:val="VerbatimChar"/>
        </w:rPr>
        <w:t xml:space="preserve">list</w:t>
      </w:r>
      <w:r>
        <w:br/>
      </w:r>
      <w:r>
        <w:rPr>
          <w:rStyle w:val="VerbatimChar"/>
        </w:rPr>
        <w:t xml:space="preserve">restore</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format</w:t>
            </w:r>
          </w:p>
        </w:tc>
        <w:tc>
          <w:p>
            <w:pPr>
              <w:pStyle w:val="Compact"/>
              <w:jc w:val="left"/>
            </w:pPr>
            <w:r>
              <w:t xml:space="preserve">label</w:t>
            </w:r>
          </w:p>
        </w:tc>
        <w:tc>
          <w:p>
            <w:pPr>
              <w:pStyle w:val="Compact"/>
              <w:jc w:val="left"/>
            </w:pPr>
            <w:r>
              <w:t xml:space="preserve">variable label</w:t>
            </w:r>
          </w:p>
        </w:tc>
      </w:tr>
    </w:tbl>
    <w:p/>
    <w:tbl>
      <w:tblPr>
        <w:tblStyle w:val="Table"/>
        <w:tblW w:type="pct" w:w="0.0"/>
        <w:tblLook w:firstRow="1" w:lastRow="0" w:firstColumn="0" w:lastColumn="0" w:noHBand="0" w:noVBand="0" w:val="0020"/>
      </w:tblPr>
      <w:tblGrid/>
      <w:tr>
        <w:tc>
          <w:p>
            <w:pPr>
              <w:pStyle w:val="Compact"/>
              <w:jc w:val="left"/>
            </w:pPr>
            <w:r>
              <w:t xml:space="preserve">Contains</w:t>
            </w:r>
          </w:p>
        </w:tc>
        <w:tc>
          <w:p>
            <w:pPr>
              <w:pStyle w:val="Compact"/>
              <w:jc w:val="left"/>
            </w:pPr>
            <w:r>
              <w:t xml:space="preserve">data</w:t>
            </w:r>
          </w:p>
        </w:tc>
        <w:tc>
          <w:p/>
        </w:tc>
      </w:tr>
      <w:tr>
        <w:tc>
          <w:p/>
        </w:tc>
        <w:tc>
          <w:p>
            <w:pPr>
              <w:pStyle w:val="Compact"/>
              <w:jc w:val="left"/>
            </w:pPr>
            <w:r>
              <w:t xml:space="preserve">obs:</w:t>
            </w:r>
          </w:p>
        </w:tc>
        <w:tc>
          <w:p>
            <w:pPr>
              <w:pStyle w:val="Compact"/>
              <w:jc w:val="left"/>
            </w:pPr>
            <w:r>
              <w:t xml:space="preserve">30</w:t>
            </w:r>
          </w:p>
        </w:tc>
      </w:tr>
      <w:tr>
        <w:tc>
          <w:p/>
        </w:tc>
        <w:tc>
          <w:p>
            <w:pPr>
              <w:pStyle w:val="Compact"/>
              <w:jc w:val="left"/>
            </w:pPr>
            <w:r>
              <w:t xml:space="preserve">vars:</w:t>
            </w:r>
          </w:p>
        </w:tc>
        <w:tc>
          <w:p>
            <w:pPr>
              <w:pStyle w:val="Compact"/>
              <w:jc w:val="left"/>
            </w:pPr>
            <w:r>
              <w:t xml:space="preserve">6</w:t>
            </w:r>
          </w:p>
        </w:tc>
      </w:tr>
      <w:tr>
        <w:tc>
          <w:p/>
        </w:tc>
        <w:tc>
          <w:p>
            <w:pPr>
              <w:pStyle w:val="Compact"/>
              <w:jc w:val="left"/>
            </w:pPr>
            <w:r>
              <w:t xml:space="preserve">size:</w:t>
            </w:r>
          </w:p>
        </w:tc>
        <w:tc>
          <w:p>
            <w:pPr>
              <w:pStyle w:val="Compact"/>
              <w:jc w:val="left"/>
            </w:pPr>
            <w:r>
              <w:t xml:space="preserve">480</w:t>
            </w:r>
          </w:p>
        </w:tc>
      </w:tr>
      <w:tr>
        <w:tc>
          <w:p/>
        </w:tc>
        <w:tc>
          <w:p/>
        </w:tc>
        <w:tc>
          <w:p/>
        </w:tc>
      </w:tr>
      <w:tr>
        <w:tc>
          <w:p>
            <w:pPr>
              <w:pStyle w:val="Compact"/>
              <w:jc w:val="left"/>
            </w:pPr>
            <w:r>
              <w:t xml:space="preserve">surname</w:t>
            </w:r>
          </w:p>
        </w:tc>
        <w:tc>
          <w:p>
            <w:pPr>
              <w:pStyle w:val="Compact"/>
              <w:jc w:val="left"/>
            </w:pPr>
            <w:r>
              <w:t xml:space="preserve">str10</w:t>
            </w:r>
          </w:p>
        </w:tc>
        <w:tc>
          <w:p>
            <w:pPr>
              <w:pStyle w:val="Compact"/>
              <w:jc w:val="left"/>
            </w:pPr>
            <w:r>
              <w:t xml:space="preserve">%10s</w:t>
            </w:r>
          </w:p>
        </w:tc>
      </w:tr>
      <w:tr>
        <w:tc>
          <w:p>
            <w:pPr>
              <w:pStyle w:val="Compact"/>
              <w:jc w:val="left"/>
            </w:pPr>
            <w:r>
              <w:t xml:space="preserve">sex</w:t>
            </w:r>
          </w:p>
        </w:tc>
        <w:tc>
          <w:p>
            <w:pPr>
              <w:pStyle w:val="Compact"/>
              <w:jc w:val="left"/>
            </w:pPr>
            <w:r>
              <w:t xml:space="preserve">byte</w:t>
            </w:r>
          </w:p>
        </w:tc>
        <w:tc>
          <w:p>
            <w:pPr>
              <w:pStyle w:val="Compact"/>
              <w:jc w:val="left"/>
            </w:pPr>
            <w:r>
              <w:t xml:space="preserve">%8.0g</w:t>
            </w:r>
          </w:p>
        </w:tc>
      </w:tr>
      <w:tr>
        <w:tc>
          <w:p>
            <w:pPr>
              <w:pStyle w:val="Compact"/>
              <w:jc w:val="left"/>
            </w:pPr>
            <w:r>
              <w:t xml:space="preserve">class</w:t>
            </w:r>
          </w:p>
        </w:tc>
        <w:tc>
          <w:p>
            <w:pPr>
              <w:pStyle w:val="Compact"/>
              <w:jc w:val="left"/>
            </w:pPr>
            <w:r>
              <w:t xml:space="preserve">byte</w:t>
            </w:r>
          </w:p>
        </w:tc>
        <w:tc>
          <w:p>
            <w:pPr>
              <w:pStyle w:val="Compact"/>
              <w:jc w:val="left"/>
            </w:pPr>
            <w:r>
              <w:t xml:space="preserve">%8.0g</w:t>
            </w:r>
          </w:p>
        </w:tc>
      </w:tr>
      <w:tr>
        <w:tc>
          <w:p>
            <w:pPr>
              <w:pStyle w:val="Compact"/>
              <w:jc w:val="left"/>
            </w:pPr>
            <w:r>
              <w:t xml:space="preserve">maths</w:t>
            </w:r>
          </w:p>
        </w:tc>
        <w:tc>
          <w:p>
            <w:pPr>
              <w:pStyle w:val="Compact"/>
              <w:jc w:val="left"/>
            </w:pPr>
            <w:r>
              <w:t xml:space="preserve">int</w:t>
            </w:r>
          </w:p>
        </w:tc>
        <w:tc>
          <w:p>
            <w:pPr>
              <w:pStyle w:val="Compact"/>
              <w:jc w:val="left"/>
            </w:pPr>
            <w:r>
              <w:t xml:space="preserve">%8.0g</w:t>
            </w:r>
          </w:p>
        </w:tc>
      </w:tr>
      <w:tr>
        <w:tc>
          <w:p>
            <w:pPr>
              <w:pStyle w:val="Compact"/>
              <w:jc w:val="left"/>
            </w:pPr>
            <w:r>
              <w:t xml:space="preserve">english</w:t>
            </w:r>
          </w:p>
        </w:tc>
        <w:tc>
          <w:p>
            <w:pPr>
              <w:pStyle w:val="Compact"/>
              <w:jc w:val="left"/>
            </w:pPr>
            <w:r>
              <w:t xml:space="preserve">byte</w:t>
            </w:r>
          </w:p>
        </w:tc>
        <w:tc>
          <w:p>
            <w:pPr>
              <w:pStyle w:val="Compact"/>
              <w:jc w:val="left"/>
            </w:pPr>
            <w:r>
              <w:t xml:space="preserve">%8.0g</w:t>
            </w:r>
          </w:p>
        </w:tc>
      </w:tr>
      <w:tr>
        <w:tc>
          <w:p>
            <w:pPr>
              <w:pStyle w:val="Compact"/>
              <w:jc w:val="left"/>
            </w:pPr>
            <w:r>
              <w:t xml:space="preserve">history</w:t>
            </w:r>
          </w:p>
        </w:tc>
        <w:tc>
          <w:p>
            <w:pPr>
              <w:pStyle w:val="Compact"/>
              <w:jc w:val="left"/>
            </w:pPr>
            <w:r>
              <w:t xml:space="preserve">byte</w:t>
            </w:r>
          </w:p>
        </w:tc>
        <w:tc>
          <w:p>
            <w:pPr>
              <w:pStyle w:val="Compact"/>
              <w:jc w:val="left"/>
            </w:pPr>
            <w:r>
              <w:t xml:space="preserve">%8.0g</w:t>
            </w:r>
          </w:p>
        </w:tc>
      </w:tr>
    </w:tbl>
    <w:p>
      <w:pPr>
        <w:pStyle w:val="BodyText"/>
      </w:pPr>
      <w:r>
        <w:rPr>
          <w:rStyle w:val="VerbatimChar"/>
        </w:rPr>
        <w:t xml:space="preserve">Sorted by:</w:t>
      </w:r>
    </w:p>
    <w:p>
      <w:pPr>
        <w:pStyle w:val="BodyText"/>
      </w:pPr>
      <w:r>
        <w:rPr>
          <w:rStyle w:val="VerbatimChar"/>
        </w:rP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 a stop (ie</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 `.` 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6"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Another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The output is substantially the same as</w:t>
      </w:r>
      <w:r>
        <w:t xml:space="preserve"> </w:t>
      </w:r>
      <w:r>
        <w:rPr>
          <w:rStyle w:val="VerbatimChar"/>
        </w:rPr>
        <w:t xml:space="preserve">describe, replace</w:t>
      </w:r>
      <w:r>
        <w:t xml:space="preserve">.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Start w:id="45" w:name="coercing-to-integer"/>
    <w:p>
      <w:pPr>
        <w:pStyle w:val="Heading3"/>
      </w:pPr>
      <w:r>
        <w:t xml:space="preserve">Coercing to integer</w:t>
      </w:r>
    </w:p>
    <w:p>
      <w:pPr>
        <w:pStyle w:val="FirstParagraph"/>
      </w:pPr>
      <w:r>
        <w:t xml:space="preserve">If you have a variable of type float and you wish to convert it to integer values, then assuming that rounding is appropriate you should generate a new variable of type integer with the following code:</w:t>
      </w:r>
    </w:p>
    <w:p>
      <w:pPr>
        <w:pStyle w:val="SourceCode"/>
      </w:pPr>
      <w:r>
        <w:rPr>
          <w:rStyle w:val="VerbatimChar"/>
        </w:rPr>
        <w:t xml:space="preserve">gen int myvari = round(myvar)</w:t>
      </w:r>
    </w:p>
    <w:p>
      <w:pPr>
        <w:pStyle w:val="FirstParagraph"/>
      </w:pPr>
      <w:r>
        <w:t xml:space="preserve">where I have chosen</w:t>
      </w:r>
      <w:r>
        <w:t xml:space="preserve"> </w:t>
      </w:r>
      <w:r>
        <w:rPr>
          <w:rStyle w:val="VerbatimChar"/>
        </w:rPr>
        <w:t xml:space="preserve">myvari</w:t>
      </w:r>
      <w:r>
        <w:t xml:space="preserve"> </w:t>
      </w:r>
      <w:r>
        <w:t xml:space="preserve">as the new variable name. As well as</w:t>
      </w:r>
      <w:r>
        <w:t xml:space="preserve"> </w:t>
      </w:r>
      <w:r>
        <w:rPr>
          <w:rStyle w:val="VerbatimChar"/>
        </w:rPr>
        <w:t xml:space="preserve">round()</w:t>
      </w:r>
      <w:r>
        <w:t xml:space="preserve">, you can use the functions</w:t>
      </w:r>
      <w:r>
        <w:t xml:space="preserve"> </w:t>
      </w:r>
      <w:r>
        <w:rPr>
          <w:rStyle w:val="VerbatimChar"/>
        </w:rPr>
        <w:t xml:space="preserve">floor()</w:t>
      </w:r>
      <w:r>
        <w:t xml:space="preserve"> </w:t>
      </w:r>
      <w:r>
        <w:t xml:space="preserve">and</w:t>
      </w:r>
      <w:r>
        <w:t xml:space="preserve"> </w:t>
      </w:r>
      <w:r>
        <w:rPr>
          <w:rStyle w:val="VerbatimChar"/>
        </w:rPr>
        <w:t xml:space="preserve">ceiling()</w:t>
      </w:r>
      <w:r>
        <w:t xml:space="preserve">.</w:t>
      </w:r>
    </w:p>
    <w:bookmarkEnd w:id="45"/>
    <w:bookmarkEnd w:id="46"/>
    <w:bookmarkStart w:id="47" w:name="range-checking"/>
    <w:p>
      <w:pPr>
        <w:pStyle w:val="Heading2"/>
      </w:pPr>
      <w:r>
        <w:t xml:space="preserve">Range checking</w:t>
      </w:r>
    </w:p>
    <w:p>
      <w:pPr>
        <w:pStyle w:val="FirstParagraph"/>
      </w:pPr>
      <w:r>
        <w:t xml:space="preserve">The strategy for range checking is to create a semaphore or alert variable if a value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w:t>
      </w:r>
      <w:r>
        <w:t xml:space="preserve">, english** 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rPr>
          <w:rStyle w:val="VerbatimChar"/>
        </w:rP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bookmarkEnd w:id="47"/>
    <w:bookmarkStart w:id="51" w:name="factor-variables"/>
    <w:p>
      <w:pPr>
        <w:pStyle w:val="Heading2"/>
      </w:pPr>
      <w:r>
        <w:t xml:space="preserve">Factor variables</w:t>
      </w:r>
    </w:p>
    <w:bookmarkStart w:id="48"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ethnicityl</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8"/>
    <w:bookmarkStart w:id="49" w:name="defining-and-managing-factors"/>
    <w:p>
      <w:pPr>
        <w:pStyle w:val="Heading3"/>
      </w:pPr>
      <w:r>
        <w:t xml:space="preserve">Defining and managing factors</w:t>
      </w:r>
    </w:p>
    <w:p>
      <w:pPr>
        <w:pStyle w:val="FirstParagraph"/>
      </w:pPr>
      <w:r>
        <w:t xml:space="preserve">Stata (unlike for example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9"/>
    <w:bookmarkStart w:id="50"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50"/>
    <w:bookmarkEnd w:id="51"/>
    <w:bookmarkEnd w:id="52"/>
    <w:bookmarkStart w:id="57"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rPr>
          <w:rStyle w:val="VerbatimChar"/>
        </w:rPr>
        <w:t xml:space="preserve">replace myvar = .a if myvar == -99 replace myvar = .b if myvar == -98 replace myvar = .c if myvar == -97</w:t>
      </w:r>
    </w:p>
    <w:p>
      <w:pPr>
        <w:pStyle w:val="BodyText"/>
      </w:pPr>
      <w:r>
        <w:t xml:space="preserve">and then apply a label set like</w:t>
      </w:r>
    </w:p>
    <w:p>
      <w:pPr>
        <w:pStyle w:val="BodyText"/>
      </w:pPr>
      <w:r>
        <w:rPr>
          <w:rStyle w:val="VerbatimChar"/>
        </w:rPr>
        <w:t xml:space="preserve">label define formissing .a "MCAR" .b "MAR" .c "MNAR"</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rPr>
          <w:rStyle w:val="VerbatimChar"/>
        </w:rP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rPr>
          <w:rStyle w:val="VerbatimChar"/>
        </w:rP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rPr>
          <w:rStyle w:val="VerbatimChar"/>
        </w:rP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an</w:t>
      </w:r>
      <w:r>
        <w:t xml:space="preserve"> </w:t>
      </w:r>
      <w:r>
        <w:rPr>
          <w:rStyle w:val="VerbatimChar"/>
        </w:rPr>
        <w:t xml:space="preserve">if</w:t>
      </w:r>
      <w:r>
        <w:t xml:space="preserve"> </w:t>
      </w:r>
      <w:r>
        <w:t xml:space="preserve">condition with a comparison operator like</w:t>
      </w:r>
    </w:p>
    <w:p>
      <w:pPr>
        <w:pStyle w:val="BodyText"/>
      </w:pPr>
      <w:r>
        <w:rPr>
          <w:rStyle w:val="VerbatimChar"/>
        </w:rPr>
        <w:t xml:space="preserve">if myvar &gt;= .</w:t>
      </w:r>
    </w:p>
    <w:bookmarkStart w:id="53"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SourceCode"/>
      </w:pPr>
      <w:r>
        <w:rPr>
          <w:rStyle w:val="VerbatimChar"/>
        </w:rPr>
        <w:t xml:space="preserve">tabstat maths, statistics(p25 p50 p75 iqr) save</w:t>
      </w:r>
      <w:r>
        <w:br/>
      </w:r>
      <w:r>
        <w:br/>
      </w:r>
      <w:r>
        <w:rPr>
          <w:rStyle w:val="VerbatimChar"/>
        </w:rPr>
        <w:t xml:space="preserve">matrix statsc=r(StatTotal)</w:t>
      </w:r>
      <w:r>
        <w:br/>
      </w:r>
      <w:r>
        <w:br/>
      </w:r>
      <w:r>
        <w:rPr>
          <w:rStyle w:val="VerbatimChar"/>
        </w:rPr>
        <w:t xml:space="preserve">local p75 = statsc[3,1]</w:t>
      </w:r>
      <w:r>
        <w:br/>
      </w:r>
      <w:r>
        <w:rPr>
          <w:rStyle w:val="VerbatimChar"/>
        </w:rPr>
        <w:t xml:space="preserve">local p25 = statsc[1,1]</w:t>
      </w:r>
      <w:r>
        <w:br/>
      </w:r>
      <w:r>
        <w:rPr>
          <w:rStyle w:val="VerbatimChar"/>
        </w:rPr>
        <w:t xml:space="preserve">local IQR = statsc[4,1] </w:t>
      </w:r>
      <w:r>
        <w:br/>
      </w:r>
      <w:r>
        <w:br/>
      </w:r>
      <w:r>
        <w:br/>
      </w:r>
      <w:r>
        <w:rPr>
          <w:rStyle w:val="VerbatimChar"/>
        </w:rPr>
        <w:t xml:space="preserve">disp "`p75'"</w:t>
      </w:r>
      <w:r>
        <w:br/>
      </w:r>
      <w:r>
        <w:br/>
      </w:r>
      <w:r>
        <w:rPr>
          <w:rStyle w:val="VerbatimChar"/>
        </w:rPr>
        <w:t xml:space="preserve">disp "`IQR'"</w:t>
      </w:r>
      <w:r>
        <w:br/>
      </w:r>
      <w:r>
        <w:br/>
      </w:r>
      <w:r>
        <w:rPr>
          <w:rStyle w:val="VerbatimChar"/>
        </w:rPr>
        <w:t xml:space="preserve">local upperwhisker = `p75' + 1.5* `IQR' </w:t>
      </w:r>
      <w:r>
        <w:br/>
      </w:r>
      <w:r>
        <w:rPr>
          <w:rStyle w:val="VerbatimChar"/>
        </w:rPr>
        <w:t xml:space="preserve">local lowerwhisker = `p25' - 1.5* `IQR'</w:t>
      </w:r>
      <w:r>
        <w:br/>
      </w:r>
      <w:r>
        <w:br/>
      </w:r>
      <w:r>
        <w:rPr>
          <w:rStyle w:val="VerbatimChar"/>
        </w:rPr>
        <w:t xml:space="preserve">disp "`upperwhisker'"</w:t>
      </w:r>
      <w:r>
        <w:br/>
      </w:r>
      <w:r>
        <w:rPr>
          <w:rStyle w:val="VerbatimChar"/>
        </w:rPr>
        <w:t xml:space="preserve">disp "`lowerwhisker'"</w:t>
      </w:r>
      <w:r>
        <w:br/>
      </w:r>
      <w:r>
        <w:br/>
      </w:r>
      <w:r>
        <w:rPr>
          <w:rStyle w:val="VerbatimChar"/>
        </w:rPr>
        <w:t xml:space="preserve">list surname maths if maths &gt;= `upperwhisker'</w:t>
      </w:r>
      <w:r>
        <w:br/>
      </w:r>
      <w:r>
        <w:rPr>
          <w:rStyle w:val="VerbatimChar"/>
        </w:rPr>
        <w:t xml:space="preserve">list surname maths if maths &lt;= `lowerwhisker'</w:t>
      </w:r>
    </w:p>
    <w:p>
      <w:pPr>
        <w:pStyle w:val="FirstParagraph"/>
      </w:pPr>
      <w:r>
        <w:t xml:space="preserve">But it is very important not to rely on the output of this (or any other computation of extreme values) automatically. It is critical that you consider carefully what constitutes an extreme or otherwise interesting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 imagining for a moment data with 30 rows like the following:</w:t>
      </w:r>
    </w:p>
    <w:tbl>
      <w:tblPr>
        <w:tblStyle w:val="Table"/>
        <w:tblW w:type="pct" w:w="0.0"/>
        <w:tblLook w:firstRow="1" w:lastRow="0" w:firstColumn="0" w:lastColumn="0" w:noHBand="0" w:noVBand="0" w:val="0020"/>
      </w:tblPr>
      <w:tblGrid/>
      <w:tr>
        <w:tc>
          <w:p>
            <w:pPr>
              <w:pStyle w:val="Compact"/>
              <w:jc w:val="left"/>
            </w:pPr>
            <w:r>
              <w:t xml:space="preserve">surname</w:t>
            </w:r>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2</w:t>
            </w:r>
          </w:p>
        </w:tc>
        <w:tc>
          <w:p>
            <w:pPr>
              <w:pStyle w:val="Compact"/>
              <w:jc w:val="left"/>
            </w:pPr>
            <w:r>
              <w:t xml:space="preserve">99</w:t>
            </w:r>
          </w:p>
        </w:tc>
      </w:tr>
      <w:tr>
        <w:tc>
          <w:p>
            <w:pPr>
              <w:pStyle w:val="Compact"/>
              <w:jc w:val="left"/>
            </w:pPr>
            <w:r>
              <w:t xml:space="preserve">ALI</w:t>
            </w:r>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We can investigate any very influential points with this code:</w:t>
      </w:r>
    </w:p>
    <w:p>
      <w:pPr>
        <w:pStyle w:val="SourceCode"/>
      </w:pPr>
      <w:r>
        <w:rPr>
          <w:rStyle w:val="VerbatimChar"/>
        </w:rPr>
        <w:t xml:space="preserve">scatter english history</w:t>
      </w:r>
      <w:r>
        <w:br/>
      </w:r>
      <w:r>
        <w:rPr>
          <w:rStyle w:val="VerbatimChar"/>
        </w:rPr>
        <w:t xml:space="preserve">reg history english</w:t>
      </w:r>
      <w:r>
        <w:br/>
      </w:r>
      <w:r>
        <w:rPr>
          <w:rStyle w:val="VerbatimChar"/>
        </w:rPr>
        <w:t xml:space="preserve">capture gen id=_n</w:t>
      </w:r>
      <w:r>
        <w:br/>
      </w:r>
      <w:r>
        <w:rPr>
          <w:rStyle w:val="VerbatimChar"/>
        </w:rPr>
        <w:t xml:space="preserve">lvr2plot, mlabel(id)</w:t>
      </w:r>
      <w:r>
        <w:br/>
      </w:r>
      <w:r>
        <w:rPr>
          <w:rStyle w:val="VerbatimChar"/>
        </w:rPr>
        <w:t xml:space="preserve">predict l, leverage</w:t>
      </w:r>
      <w:r>
        <w:br/>
      </w:r>
      <w:r>
        <w:rPr>
          <w:rStyle w:val="VerbatimChar"/>
        </w:rPr>
        <w:t xml:space="preserve">hilo l  english history id, high show(5)</w:t>
      </w:r>
    </w:p>
    <w:p>
      <w:pPr>
        <w:pStyle w:val="FirstParagraph"/>
      </w:pPr>
      <w:r>
        <w:t xml:space="preserve">This allows us to consider any outliers and their effect.</w:t>
      </w:r>
    </w:p>
    <w:bookmarkEnd w:id="53"/>
    <w:bookmarkStart w:id="54" w:name="duplicates"/>
    <w:p>
      <w:pPr>
        <w:pStyle w:val="Heading2"/>
      </w:pPr>
      <w:r>
        <w:t xml:space="preserve">Duplicates</w:t>
      </w:r>
    </w:p>
    <w:bookmarkEnd w:id="54"/>
    <w:bookmarkStart w:id="55"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rPr>
          <w:rStyle w:val="VerbatimChar"/>
        </w:rP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 As usual with processes that replace data, you should probably wrap this in</w:t>
      </w:r>
      <w:r>
        <w:t xml:space="preserve"> </w:t>
      </w:r>
      <w:r>
        <w:rPr>
          <w:rStyle w:val="VerbatimChar"/>
        </w:rPr>
        <w:t xml:space="preserve">preserve</w:t>
      </w:r>
      <w:r>
        <w:t xml:space="preserve"> </w:t>
      </w:r>
      <w:r>
        <w:t xml:space="preserve">and</w:t>
      </w:r>
      <w:r>
        <w:t xml:space="preserve"> </w:t>
      </w:r>
      <w:r>
        <w:rPr>
          <w:rStyle w:val="VerbatimChar"/>
        </w:rPr>
        <w:t xml:space="preserve">restore</w:t>
      </w:r>
      <w:r>
        <w:t xml:space="preserve">.</w:t>
      </w:r>
    </w:p>
    <w:bookmarkEnd w:id="55"/>
    <w:bookmarkStart w:id="56"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6"/>
    <w:bookmarkEnd w:id="57"/>
    <w:bookmarkStart w:id="59"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8"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rPr>
          <w:rStyle w:val="VerbatimChar"/>
        </w:rP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rPr>
          <w:rStyle w:val="VerbatimChar"/>
        </w:rP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rPr>
          <w:rStyle w:val="VerbatimChar"/>
        </w:rPr>
        <w:t xml:space="preserve">egen stream = cut(avxm), at(0,50,60,101) icodes</w:t>
      </w:r>
    </w:p>
    <w:p>
      <w:pPr>
        <w:pStyle w:val="BodyText"/>
      </w:pPr>
      <w:r>
        <w:t xml:space="preserve">To check that the result is correct we can run this line:</w:t>
      </w:r>
    </w:p>
    <w:p>
      <w:pPr>
        <w:pStyle w:val="BodyText"/>
      </w:pPr>
      <w:r>
        <w:rPr>
          <w:rStyle w:val="VerbatimChar"/>
        </w:rP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8"/>
    <w:bookmarkEnd w:id="59"/>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rPr>
          <w:rStyle w:val="VerbatimChar"/>
        </w:rP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SourceCode"/>
      </w:pPr>
      <w:r>
        <w:rPr>
          <w:rStyle w:val="VerbatimChar"/>
        </w:rPr>
        <w:t xml:space="preserve">dateone          datetwo</w:t>
      </w:r>
      <w:r>
        <w:br/>
      </w:r>
      <w:r>
        <w:rPr>
          <w:rStyle w:val="VerbatimChar"/>
        </w:rPr>
        <w:t xml:space="preserve">01-01-2000       01-01-2000</w:t>
      </w:r>
      <w:r>
        <w:br/>
      </w:r>
      <w:r>
        <w:rPr>
          <w:rStyle w:val="VerbatimChar"/>
        </w:rPr>
        <w:t xml:space="preserve">03-02-2001       03-02-2005</w:t>
      </w:r>
      <w:r>
        <w:br/>
      </w:r>
      <w:r>
        <w:rPr>
          <w:rStyle w:val="VerbatimChar"/>
        </w:rPr>
        <w:t xml:space="preserve">01-01-2000       01-01-1960</w:t>
      </w:r>
    </w:p>
    <w:p>
      <w:pPr>
        <w:pStyle w:val="FirstParagraph"/>
      </w:pPr>
      <w:r>
        <w:t xml:space="preserve">First, I will assume that the data are in two columns of a table in a single Excel worksheet and import them with this command:</w:t>
      </w:r>
    </w:p>
    <w:p>
      <w:pPr>
        <w:pStyle w:val="BodyText"/>
      </w:pPr>
      <w:r>
        <w:rPr>
          <w:rStyle w:val="VerbatimChar"/>
        </w:rPr>
        <w:t xml:space="preserve">import excel https://www.ucl.ac.uk/~ccaajim/datesstataexample.xlsx,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rPr>
          <w:rStyle w:val="VerbatimChar"/>
        </w:rP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SourceCode"/>
      </w:pPr>
      <w:r>
        <w:rPr>
          <w:rStyle w:val="VerbatimChar"/>
        </w:rPr>
        <w:t xml:space="preserve">gen newidate = date(idate, "MDY")</w:t>
      </w:r>
    </w:p>
    <w:p>
      <w:pPr>
        <w:pStyle w:val="FirstParagraph"/>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rPr>
          <w:rStyle w:val="VerbatimChar"/>
        </w:rPr>
        <w:t xml:space="preserve">gen yearalone = year(date1)</w:t>
      </w:r>
    </w:p>
    <w:p>
      <w:pPr>
        <w:pStyle w:val="BodyText"/>
      </w:pPr>
      <w:r>
        <w:rPr>
          <w:rStyle w:val="VerbatimChar"/>
        </w:rPr>
        <w:t xml:space="preserve">gen dayalone = day(date1)</w:t>
      </w:r>
    </w:p>
    <w:p>
      <w:pPr>
        <w:pStyle w:val="BodyText"/>
      </w:pPr>
      <w:r>
        <w:rPr>
          <w:rStyle w:val="VerbatimChar"/>
        </w:rPr>
        <w:t xml:space="preserve">gen monthalone = month(date1)</w:t>
      </w:r>
    </w:p>
    <w:bookmarkEnd w:id="61"/>
    <w:bookmarkEnd w:id="62"/>
    <w:bookmarkStart w:id="63" w:name="Xa7e831db3ca6b54a54228595885726f779cbb6a"/>
    <w:p>
      <w:pPr>
        <w:pStyle w:val="Heading1"/>
      </w:pPr>
      <w:r>
        <w:t xml:space="preserve">Exporting tables to Office or LaTeX format from scripts</w:t>
      </w:r>
    </w:p>
    <w:p>
      <w:pPr>
        <w:pStyle w:val="FirstParagraph"/>
      </w:pPr>
      <w:r>
        <w:t xml:space="preserve">Dynamic reporting using</w:t>
      </w:r>
      <w:r>
        <w:t xml:space="preserve"> </w:t>
      </w:r>
      <w:r>
        <w:rPr>
          <w:rStyle w:val="VerbatimChar"/>
        </w:rPr>
        <w:t xml:space="preserve">dyndoc</w:t>
      </w:r>
      <w:r>
        <w:t xml:space="preserve"> </w:t>
      </w:r>
      <w:r>
        <w:t xml:space="preserve">or</w:t>
      </w:r>
      <w:r>
        <w:t xml:space="preserve"> </w:t>
      </w:r>
      <w:r>
        <w:rPr>
          <w:rStyle w:val="VerbatimChar"/>
        </w:rPr>
        <w:t xml:space="preserve">markstat</w:t>
      </w:r>
      <w:r>
        <w:t xml:space="preserve"> </w:t>
      </w:r>
      <w:r>
        <w:t xml:space="preserve">is a great way to work with Stata. However, not everyone wants to take on the whole workflow of producing documents programmatically, it is useful to have a script that analyses your data and exports tables of results as you go.</w:t>
      </w:r>
    </w:p>
    <w:p>
      <w:pPr>
        <w:pStyle w:val="BodyText"/>
      </w:pPr>
      <w:r>
        <w:t xml:space="preserve">One of the simplest ways to do this is to use</w:t>
      </w:r>
      <w:r>
        <w:t xml:space="preserve"> </w:t>
      </w:r>
      <w:r>
        <w:rPr>
          <w:rStyle w:val="VerbatimChar"/>
        </w:rPr>
        <w:t xml:space="preserve">collect export</w:t>
      </w:r>
      <w:r>
        <w:t xml:space="preserve"> </w:t>
      </w:r>
      <w:r>
        <w:t xml:space="preserve">in your scripts after you run a routine. Suppose that you create a simple cross tabulation, for example</w:t>
      </w:r>
    </w:p>
    <w:p>
      <w:pPr>
        <w:pStyle w:val="SourceCode"/>
      </w:pPr>
      <w:r>
        <w:rPr>
          <w:rStyle w:val="VerbatimChar"/>
        </w:rPr>
        <w:t xml:space="preserve">table teacher class</w:t>
      </w:r>
    </w:p>
    <w:p>
      <w:pPr>
        <w:pStyle w:val="FirstParagraph"/>
      </w:pPr>
      <w:r>
        <w:t xml:space="preserve">You can immediately export the result to excel with</w:t>
      </w:r>
    </w:p>
    <w:p>
      <w:pPr>
        <w:pStyle w:val="SourceCode"/>
      </w:pPr>
      <w:r>
        <w:rPr>
          <w:rStyle w:val="VerbatimChar"/>
        </w:rPr>
        <w:t xml:space="preserve">collect export teacherclass.xls</w:t>
      </w:r>
    </w:p>
    <w:p>
      <w:pPr>
        <w:pStyle w:val="FirstParagraph"/>
      </w:pPr>
      <w:r>
        <w:t xml:space="preserve">or</w:t>
      </w:r>
    </w:p>
    <w:p>
      <w:pPr>
        <w:pStyle w:val="SourceCode"/>
      </w:pPr>
      <w:r>
        <w:rPr>
          <w:rStyle w:val="VerbatimChar"/>
        </w:rPr>
        <w:t xml:space="preserve">collect export teacherclass.tex, tableonly</w:t>
      </w:r>
    </w:p>
    <w:p>
      <w:pPr>
        <w:pStyle w:val="FirstParagraph"/>
      </w:pPr>
      <w:r>
        <w:t xml:space="preserve">The option</w:t>
      </w:r>
      <w:r>
        <w:t xml:space="preserve"> </w:t>
      </w:r>
      <w:r>
        <w:rPr>
          <w:rStyle w:val="VerbatimChar"/>
        </w:rPr>
        <w:t xml:space="preserve">tableonly</w:t>
      </w:r>
      <w:r>
        <w:t xml:space="preserve"> </w:t>
      </w:r>
      <w:r>
        <w:t xml:space="preserve">prevents the tex output including a full document environment, restricting it to the</w:t>
      </w:r>
      <w:r>
        <w:t xml:space="preserve"> </w:t>
      </w:r>
      <w:r>
        <w:rPr>
          <w:rStyle w:val="VerbatimChar"/>
        </w:rPr>
        <w:t xml:space="preserve">tabular</w:t>
      </w:r>
      <w:r>
        <w:t xml:space="preserve"> </w:t>
      </w:r>
      <w:r>
        <w:t xml:space="preserve">float code.</w:t>
      </w:r>
    </w:p>
    <w:p>
      <w:pPr>
        <w:pStyle w:val="BodyText"/>
      </w:pPr>
      <w:r>
        <w:t xml:space="preserve">So this will create an Excel or tex file with the results of table. You can use .docx, .html, and .pdf files (see the Stata documentation for the full list) as well as .xls(x) and .tex.</w:t>
      </w:r>
    </w:p>
    <w:p>
      <w:pPr>
        <w:pStyle w:val="BodyText"/>
      </w:pPr>
      <w:r>
        <w:t xml:space="preserve">Unfortunately, it is not possible to append all your outputs to one file with</w:t>
      </w:r>
      <w:r>
        <w:t xml:space="preserve"> </w:t>
      </w:r>
      <w:r>
        <w:rPr>
          <w:rStyle w:val="VerbatimChar"/>
        </w:rPr>
        <w:t xml:space="preserve">collect export</w:t>
      </w:r>
      <w:r>
        <w:t xml:space="preserve"> </w:t>
      </w:r>
      <w:r>
        <w:t xml:space="preserve">(it is allowed for some formats but not others), nor can you label the ouput easily.</w:t>
      </w:r>
    </w:p>
    <w:p>
      <w:pPr>
        <w:pStyle w:val="BodyText"/>
      </w:pPr>
      <w:r>
        <w:t xml:space="preserve">A more sophisticated method which allows you to label the exported content and collect all ouput in one document uses the</w:t>
      </w:r>
      <w:r>
        <w:t xml:space="preserve"> </w:t>
      </w:r>
      <w:r>
        <w:rPr>
          <w:rStyle w:val="VerbatimChar"/>
        </w:rPr>
        <w:t xml:space="preserve">putdocx</w:t>
      </w:r>
      <w:r>
        <w:t xml:space="preserve"> </w:t>
      </w:r>
      <w:r>
        <w:t xml:space="preserve">or</w:t>
      </w:r>
      <w:r>
        <w:t xml:space="preserve"> </w:t>
      </w:r>
      <w:r>
        <w:rPr>
          <w:rStyle w:val="VerbatimChar"/>
        </w:rPr>
        <w:t xml:space="preserve">putexcel</w:t>
      </w:r>
      <w:r>
        <w:t xml:space="preserve">. Since this is outside the central topic of this guide (ie data management), an example do file that illustrates the process is provided in</w:t>
      </w:r>
      <w:r>
        <w:t xml:space="preserve"> </w:t>
      </w:r>
      <w:r>
        <w:rPr>
          <w:rStyle w:val="VerbatimChar"/>
        </w:rPr>
        <w:t xml:space="preserve">putdocxexample.do</w:t>
      </w:r>
      <w:r>
        <w:t xml:space="preserve">.</w:t>
      </w:r>
    </w:p>
    <w:bookmarkEnd w:id="63"/>
    <w:bookmarkStart w:id="67" w:name="references"/>
    <w:p>
      <w:pPr>
        <w:pStyle w:val="Heading1"/>
      </w:pPr>
      <w:r>
        <w:t xml:space="preserve">References</w:t>
      </w:r>
    </w:p>
    <w:bookmarkStart w:id="66" w:name="refs"/>
    <w:bookmarkStart w:id="65"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4">
        <w:r>
          <w:rPr>
            <w:rStyle w:val="Hyperlink"/>
          </w:rPr>
          <w:t xml:space="preserve">https://doi.org/10.18637/jss.v094.c01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8">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2022-01-10T17:22:10Z</dcterms:created>
  <dcterms:modified xsi:type="dcterms:W3CDTF">2022-01-10T17:22:10Z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