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136" w:rsidRDefault="00F875CF" w:rsidP="005F4D98">
      <w:pPr>
        <w:spacing w:line="360" w:lineRule="auto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4652645</wp:posOffset>
            </wp:positionH>
            <wp:positionV relativeFrom="paragraph">
              <wp:posOffset>116205</wp:posOffset>
            </wp:positionV>
            <wp:extent cx="1097047" cy="1200658"/>
            <wp:effectExtent l="0" t="0" r="8255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635-Logo_Bioprojet-1a(Q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047" cy="12006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6F22" w:rsidRDefault="001C6F22" w:rsidP="00937D68">
      <w:pPr>
        <w:rPr>
          <w:rFonts w:asciiTheme="minorHAnsi" w:hAnsiTheme="minorHAnsi" w:cs="Arial"/>
          <w:b/>
          <w:color w:val="1F3864" w:themeColor="accent1" w:themeShade="80"/>
          <w:sz w:val="36"/>
          <w:szCs w:val="36"/>
          <w:u w:val="single"/>
        </w:rPr>
      </w:pPr>
    </w:p>
    <w:p w:rsidR="001C6F22" w:rsidRDefault="001C6F22" w:rsidP="00937D68">
      <w:pPr>
        <w:rPr>
          <w:rFonts w:asciiTheme="minorHAnsi" w:hAnsiTheme="minorHAnsi" w:cs="Arial"/>
          <w:b/>
          <w:color w:val="1F3864" w:themeColor="accent1" w:themeShade="80"/>
          <w:sz w:val="36"/>
          <w:szCs w:val="36"/>
          <w:u w:val="single"/>
        </w:rPr>
      </w:pPr>
    </w:p>
    <w:p w:rsidR="001C6F22" w:rsidRDefault="001C6F22" w:rsidP="00937D68">
      <w:pPr>
        <w:rPr>
          <w:rFonts w:asciiTheme="minorHAnsi" w:hAnsiTheme="minorHAnsi" w:cs="Arial"/>
          <w:b/>
          <w:color w:val="1F3864" w:themeColor="accent1" w:themeShade="80"/>
          <w:sz w:val="36"/>
          <w:szCs w:val="36"/>
          <w:u w:val="single"/>
        </w:rPr>
      </w:pPr>
    </w:p>
    <w:p w:rsidR="00F05136" w:rsidRPr="00090957" w:rsidRDefault="005070C4" w:rsidP="00937D68">
      <w:pPr>
        <w:rPr>
          <w:rFonts w:asciiTheme="minorHAnsi" w:hAnsiTheme="minorHAnsi" w:cs="Arial"/>
          <w:b/>
          <w:color w:val="2F5496" w:themeColor="accent1" w:themeShade="BF"/>
          <w:sz w:val="36"/>
          <w:szCs w:val="36"/>
          <w:u w:val="single"/>
        </w:rPr>
      </w:pPr>
      <w:r w:rsidRPr="00090957">
        <w:rPr>
          <w:rFonts w:asciiTheme="minorHAnsi" w:hAnsiTheme="minorHAnsi" w:cs="Arial"/>
          <w:b/>
          <w:color w:val="2F5496" w:themeColor="accent1" w:themeShade="BF"/>
          <w:sz w:val="36"/>
          <w:szCs w:val="36"/>
          <w:u w:val="single"/>
        </w:rPr>
        <w:t>P</w:t>
      </w:r>
      <w:r w:rsidR="00586A64" w:rsidRPr="00090957">
        <w:rPr>
          <w:rFonts w:asciiTheme="minorHAnsi" w:hAnsiTheme="minorHAnsi" w:cs="Arial"/>
          <w:b/>
          <w:color w:val="2F5496" w:themeColor="accent1" w:themeShade="BF"/>
          <w:sz w:val="36"/>
          <w:szCs w:val="36"/>
          <w:u w:val="single"/>
        </w:rPr>
        <w:t>RESSEMITTEILUNG</w:t>
      </w:r>
      <w:r w:rsidRPr="00090957">
        <w:rPr>
          <w:rFonts w:asciiTheme="minorHAnsi" w:hAnsiTheme="minorHAnsi" w:cs="Arial"/>
          <w:b/>
          <w:color w:val="2F5496" w:themeColor="accent1" w:themeShade="BF"/>
          <w:sz w:val="36"/>
          <w:szCs w:val="36"/>
          <w:u w:val="single"/>
        </w:rPr>
        <w:t xml:space="preserve"> </w:t>
      </w:r>
      <w:r w:rsidR="002752B5" w:rsidRPr="00090957">
        <w:rPr>
          <w:rFonts w:asciiTheme="minorHAnsi" w:hAnsiTheme="minorHAnsi" w:cs="Arial"/>
          <w:b/>
          <w:color w:val="2F5496" w:themeColor="accent1" w:themeShade="BF"/>
          <w:sz w:val="36"/>
          <w:szCs w:val="36"/>
          <w:u w:val="single"/>
        </w:rPr>
        <w:t>05/2018</w:t>
      </w:r>
      <w:r w:rsidR="00F05136" w:rsidRPr="00090957">
        <w:rPr>
          <w:rFonts w:asciiTheme="minorHAnsi" w:hAnsiTheme="minorHAnsi" w:cs="Arial"/>
          <w:b/>
          <w:color w:val="2F5496" w:themeColor="accent1" w:themeShade="BF"/>
          <w:sz w:val="36"/>
          <w:szCs w:val="36"/>
          <w:u w:val="single"/>
        </w:rPr>
        <w:t>:</w:t>
      </w:r>
    </w:p>
    <w:p w:rsidR="002168C0" w:rsidRPr="00090957" w:rsidRDefault="002168C0" w:rsidP="00937D68">
      <w:pPr>
        <w:spacing w:before="100" w:beforeAutospacing="1" w:after="100" w:afterAutospacing="1"/>
        <w:jc w:val="both"/>
        <w:outlineLvl w:val="0"/>
        <w:rPr>
          <w:rFonts w:asciiTheme="minorHAnsi" w:hAnsiTheme="minorHAnsi"/>
          <w:b/>
          <w:bCs/>
          <w:color w:val="2F5496" w:themeColor="accent1" w:themeShade="BF"/>
          <w:kern w:val="36"/>
          <w:sz w:val="44"/>
          <w:szCs w:val="44"/>
        </w:rPr>
      </w:pPr>
      <w:proofErr w:type="spellStart"/>
      <w:r w:rsidRPr="00C62AF2">
        <w:rPr>
          <w:rFonts w:asciiTheme="minorHAnsi" w:hAnsiTheme="minorHAnsi"/>
          <w:b/>
          <w:bCs/>
          <w:color w:val="2F5496" w:themeColor="accent1" w:themeShade="BF"/>
          <w:kern w:val="36"/>
          <w:sz w:val="44"/>
          <w:szCs w:val="44"/>
        </w:rPr>
        <w:t>Wakix</w:t>
      </w:r>
      <w:proofErr w:type="spellEnd"/>
      <w:r w:rsidRPr="00C62AF2">
        <w:rPr>
          <w:rFonts w:asciiTheme="minorHAnsi" w:hAnsiTheme="minorHAnsi"/>
          <w:b/>
          <w:bCs/>
          <w:color w:val="2F5496" w:themeColor="accent1" w:themeShade="BF"/>
          <w:kern w:val="36"/>
          <w:sz w:val="44"/>
          <w:szCs w:val="44"/>
        </w:rPr>
        <w:t xml:space="preserve">® </w:t>
      </w:r>
      <w:r w:rsidRPr="00090957">
        <w:rPr>
          <w:rFonts w:asciiTheme="minorHAnsi" w:hAnsiTheme="minorHAnsi"/>
          <w:b/>
          <w:bCs/>
          <w:color w:val="2F5496" w:themeColor="accent1" w:themeShade="BF"/>
          <w:kern w:val="36"/>
          <w:sz w:val="44"/>
          <w:szCs w:val="44"/>
        </w:rPr>
        <w:t>18 mg</w:t>
      </w:r>
      <w:r w:rsidR="002752B5" w:rsidRPr="00090957">
        <w:rPr>
          <w:rFonts w:asciiTheme="minorHAnsi" w:hAnsiTheme="minorHAnsi"/>
          <w:b/>
          <w:bCs/>
          <w:color w:val="2F5496" w:themeColor="accent1" w:themeShade="BF"/>
          <w:kern w:val="36"/>
          <w:sz w:val="44"/>
          <w:szCs w:val="44"/>
        </w:rPr>
        <w:t xml:space="preserve"> in </w:t>
      </w:r>
      <w:r w:rsidRPr="00090957">
        <w:rPr>
          <w:rFonts w:asciiTheme="minorHAnsi" w:hAnsiTheme="minorHAnsi"/>
          <w:b/>
          <w:bCs/>
          <w:color w:val="2F5496" w:themeColor="accent1" w:themeShade="BF"/>
          <w:kern w:val="36"/>
          <w:sz w:val="44"/>
          <w:szCs w:val="44"/>
        </w:rPr>
        <w:t xml:space="preserve">neuer </w:t>
      </w:r>
      <w:r w:rsidR="002752B5" w:rsidRPr="00090957">
        <w:rPr>
          <w:rFonts w:asciiTheme="minorHAnsi" w:hAnsiTheme="minorHAnsi"/>
          <w:b/>
          <w:bCs/>
          <w:color w:val="2F5496" w:themeColor="accent1" w:themeShade="BF"/>
          <w:kern w:val="36"/>
          <w:sz w:val="44"/>
          <w:szCs w:val="44"/>
        </w:rPr>
        <w:t>Bündelpackung</w:t>
      </w:r>
      <w:r w:rsidRPr="00090957">
        <w:rPr>
          <w:rFonts w:asciiTheme="minorHAnsi" w:hAnsiTheme="minorHAnsi"/>
          <w:b/>
          <w:bCs/>
          <w:color w:val="2F5496" w:themeColor="accent1" w:themeShade="BF"/>
          <w:kern w:val="36"/>
          <w:sz w:val="44"/>
          <w:szCs w:val="44"/>
        </w:rPr>
        <w:t xml:space="preserve"> verfügbar</w:t>
      </w:r>
    </w:p>
    <w:p w:rsidR="002168C0" w:rsidRPr="001C6F22" w:rsidRDefault="001C6F22" w:rsidP="0089509F">
      <w:pPr>
        <w:spacing w:before="100" w:beforeAutospacing="1" w:after="100" w:afterAutospacing="1"/>
        <w:jc w:val="both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anchor distT="0" distB="0" distL="114300" distR="114300" simplePos="0" relativeHeight="251658240" behindDoc="0" locked="0" layoutInCell="1" allowOverlap="1" wp14:anchorId="07354429">
            <wp:simplePos x="0" y="0"/>
            <wp:positionH relativeFrom="column">
              <wp:posOffset>4445</wp:posOffset>
            </wp:positionH>
            <wp:positionV relativeFrom="paragraph">
              <wp:posOffset>686435</wp:posOffset>
            </wp:positionV>
            <wp:extent cx="5173980" cy="3037840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ckung_Nr2_Grupp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68C0" w:rsidRPr="001C6F22">
        <w:rPr>
          <w:rFonts w:asciiTheme="minorHAnsi" w:hAnsiTheme="minorHAnsi"/>
          <w:b/>
        </w:rPr>
        <w:t>Seit Mai</w:t>
      </w:r>
      <w:r w:rsidR="0089509F" w:rsidRPr="001C6F22">
        <w:rPr>
          <w:rFonts w:asciiTheme="minorHAnsi" w:hAnsiTheme="minorHAnsi"/>
          <w:b/>
        </w:rPr>
        <w:t xml:space="preserve"> 2018</w:t>
      </w:r>
      <w:r w:rsidR="002168C0" w:rsidRPr="001C6F22">
        <w:rPr>
          <w:rFonts w:asciiTheme="minorHAnsi" w:hAnsiTheme="minorHAnsi"/>
        </w:rPr>
        <w:t xml:space="preserve"> </w:t>
      </w:r>
      <w:r w:rsidR="0089509F" w:rsidRPr="001C6F22">
        <w:rPr>
          <w:rFonts w:asciiTheme="minorHAnsi" w:hAnsiTheme="minorHAnsi"/>
        </w:rPr>
        <w:t>steht</w:t>
      </w:r>
      <w:r w:rsidR="002168C0" w:rsidRPr="001C6F22">
        <w:rPr>
          <w:rFonts w:asciiTheme="minorHAnsi" w:hAnsiTheme="minorHAnsi"/>
        </w:rPr>
        <w:t xml:space="preserve"> das </w:t>
      </w:r>
      <w:r w:rsidR="002168C0" w:rsidRPr="001C6F22">
        <w:rPr>
          <w:rFonts w:asciiTheme="minorHAnsi" w:hAnsiTheme="minorHAnsi"/>
          <w:b/>
        </w:rPr>
        <w:t xml:space="preserve">Medikament </w:t>
      </w:r>
      <w:proofErr w:type="spellStart"/>
      <w:r w:rsidR="002168C0" w:rsidRPr="001C6F22">
        <w:rPr>
          <w:rFonts w:asciiTheme="minorHAnsi" w:hAnsiTheme="minorHAnsi"/>
          <w:b/>
        </w:rPr>
        <w:t>Wakix</w:t>
      </w:r>
      <w:proofErr w:type="spellEnd"/>
      <w:r w:rsidR="002168C0" w:rsidRPr="001C6F22">
        <w:rPr>
          <w:rFonts w:asciiTheme="minorHAnsi" w:hAnsiTheme="minorHAnsi"/>
          <w:b/>
        </w:rPr>
        <w:t>®</w:t>
      </w:r>
      <w:r w:rsidR="002168C0" w:rsidRPr="001C6F22">
        <w:rPr>
          <w:rFonts w:asciiTheme="minorHAnsi" w:hAnsiTheme="minorHAnsi"/>
        </w:rPr>
        <w:t xml:space="preserve"> mit dem </w:t>
      </w:r>
      <w:r w:rsidR="002168C0" w:rsidRPr="001C6F22">
        <w:rPr>
          <w:rFonts w:asciiTheme="minorHAnsi" w:hAnsiTheme="minorHAnsi"/>
          <w:b/>
        </w:rPr>
        <w:t xml:space="preserve">Wirkstoff </w:t>
      </w:r>
      <w:proofErr w:type="spellStart"/>
      <w:r w:rsidR="002168C0" w:rsidRPr="001C6F22">
        <w:rPr>
          <w:rFonts w:asciiTheme="minorHAnsi" w:hAnsiTheme="minorHAnsi"/>
          <w:b/>
        </w:rPr>
        <w:t>Pitolisant</w:t>
      </w:r>
      <w:proofErr w:type="spellEnd"/>
      <w:r w:rsidR="002168C0" w:rsidRPr="001C6F22">
        <w:rPr>
          <w:rFonts w:asciiTheme="minorHAnsi" w:hAnsiTheme="minorHAnsi"/>
        </w:rPr>
        <w:t xml:space="preserve"> in der </w:t>
      </w:r>
      <w:r w:rsidR="002168C0" w:rsidRPr="001C6F22">
        <w:rPr>
          <w:rFonts w:asciiTheme="minorHAnsi" w:hAnsiTheme="minorHAnsi"/>
          <w:b/>
        </w:rPr>
        <w:t>Wirkstärke 18</w:t>
      </w:r>
      <w:r w:rsidR="0089509F" w:rsidRPr="001C6F22">
        <w:rPr>
          <w:rFonts w:asciiTheme="minorHAnsi" w:hAnsiTheme="minorHAnsi"/>
          <w:b/>
        </w:rPr>
        <w:t> </w:t>
      </w:r>
      <w:r w:rsidR="002168C0" w:rsidRPr="001C6F22">
        <w:rPr>
          <w:rFonts w:asciiTheme="minorHAnsi" w:hAnsiTheme="minorHAnsi"/>
          <w:b/>
        </w:rPr>
        <w:t>mg</w:t>
      </w:r>
      <w:r w:rsidR="002168C0" w:rsidRPr="001C6F22">
        <w:rPr>
          <w:rFonts w:asciiTheme="minorHAnsi" w:hAnsiTheme="minorHAnsi"/>
        </w:rPr>
        <w:t xml:space="preserve"> mit einer </w:t>
      </w:r>
      <w:r w:rsidR="002168C0" w:rsidRPr="001C6F22">
        <w:rPr>
          <w:rFonts w:asciiTheme="minorHAnsi" w:hAnsiTheme="minorHAnsi"/>
          <w:b/>
        </w:rPr>
        <w:t xml:space="preserve">neuen </w:t>
      </w:r>
      <w:r w:rsidR="002752B5" w:rsidRPr="001C6F22">
        <w:rPr>
          <w:rFonts w:asciiTheme="minorHAnsi" w:hAnsiTheme="minorHAnsi"/>
          <w:b/>
        </w:rPr>
        <w:t>Bündelpackung</w:t>
      </w:r>
      <w:r w:rsidR="002168C0" w:rsidRPr="001C6F22">
        <w:rPr>
          <w:rFonts w:asciiTheme="minorHAnsi" w:hAnsiTheme="minorHAnsi"/>
          <w:b/>
        </w:rPr>
        <w:t xml:space="preserve"> (3</w:t>
      </w:r>
      <w:r w:rsidR="002752B5" w:rsidRPr="001C6F22">
        <w:rPr>
          <w:rFonts w:asciiTheme="minorHAnsi" w:hAnsiTheme="minorHAnsi"/>
          <w:b/>
        </w:rPr>
        <w:t xml:space="preserve"> </w:t>
      </w:r>
      <w:r w:rsidR="002168C0" w:rsidRPr="001C6F22">
        <w:rPr>
          <w:rFonts w:asciiTheme="minorHAnsi" w:hAnsiTheme="minorHAnsi"/>
          <w:b/>
        </w:rPr>
        <w:t>x</w:t>
      </w:r>
      <w:r w:rsidR="002752B5" w:rsidRPr="001C6F22">
        <w:rPr>
          <w:rFonts w:asciiTheme="minorHAnsi" w:hAnsiTheme="minorHAnsi"/>
          <w:b/>
        </w:rPr>
        <w:t xml:space="preserve"> </w:t>
      </w:r>
      <w:r w:rsidR="002168C0" w:rsidRPr="001C6F22">
        <w:rPr>
          <w:rFonts w:asciiTheme="minorHAnsi" w:hAnsiTheme="minorHAnsi"/>
          <w:b/>
        </w:rPr>
        <w:t xml:space="preserve">30 Filmtabletten) </w:t>
      </w:r>
      <w:r w:rsidR="0089509F" w:rsidRPr="001C6F22">
        <w:rPr>
          <w:rFonts w:asciiTheme="minorHAnsi" w:hAnsiTheme="minorHAnsi"/>
          <w:b/>
        </w:rPr>
        <w:t>zur Dauertherapie der Narkolepsie</w:t>
      </w:r>
      <w:r w:rsidR="0089509F" w:rsidRPr="001C6F22">
        <w:rPr>
          <w:rFonts w:asciiTheme="minorHAnsi" w:hAnsiTheme="minorHAnsi"/>
        </w:rPr>
        <w:t xml:space="preserve"> </w:t>
      </w:r>
      <w:r w:rsidR="002168C0" w:rsidRPr="001C6F22">
        <w:rPr>
          <w:rFonts w:asciiTheme="minorHAnsi" w:hAnsiTheme="minorHAnsi"/>
        </w:rPr>
        <w:t xml:space="preserve">auf dem </w:t>
      </w:r>
      <w:r w:rsidR="006D2AFE" w:rsidRPr="001C6F22">
        <w:rPr>
          <w:rFonts w:asciiTheme="minorHAnsi" w:hAnsiTheme="minorHAnsi"/>
        </w:rPr>
        <w:t xml:space="preserve">deutschen </w:t>
      </w:r>
      <w:r w:rsidR="002168C0" w:rsidRPr="001C6F22">
        <w:rPr>
          <w:rFonts w:asciiTheme="minorHAnsi" w:hAnsiTheme="minorHAnsi"/>
        </w:rPr>
        <w:t>Markt</w:t>
      </w:r>
      <w:r w:rsidR="0089509F" w:rsidRPr="001C6F22">
        <w:rPr>
          <w:rFonts w:asciiTheme="minorHAnsi" w:hAnsiTheme="minorHAnsi"/>
        </w:rPr>
        <w:t xml:space="preserve"> zur Verfügung</w:t>
      </w:r>
      <w:r w:rsidR="002168C0" w:rsidRPr="001C6F22">
        <w:rPr>
          <w:rFonts w:asciiTheme="minorHAnsi" w:hAnsiTheme="minorHAnsi"/>
        </w:rPr>
        <w:t xml:space="preserve">. </w:t>
      </w:r>
    </w:p>
    <w:p w:rsidR="002752B5" w:rsidRPr="00937D68" w:rsidRDefault="002752B5" w:rsidP="0089509F">
      <w:pPr>
        <w:spacing w:before="100" w:beforeAutospacing="1" w:after="100" w:afterAutospacing="1"/>
        <w:jc w:val="both"/>
        <w:rPr>
          <w:rFonts w:asciiTheme="minorHAnsi" w:hAnsiTheme="minorHAnsi"/>
          <w:sz w:val="22"/>
          <w:szCs w:val="22"/>
        </w:rPr>
      </w:pPr>
    </w:p>
    <w:p w:rsidR="001C6F22" w:rsidRDefault="001C6F22" w:rsidP="002168C0">
      <w:pPr>
        <w:spacing w:before="100" w:beforeAutospacing="1" w:after="100" w:afterAutospacing="1"/>
        <w:rPr>
          <w:rFonts w:asciiTheme="minorHAnsi" w:hAnsiTheme="minorHAnsi"/>
          <w:b/>
          <w:bCs/>
          <w:color w:val="002060"/>
          <w:sz w:val="32"/>
          <w:szCs w:val="32"/>
        </w:rPr>
      </w:pPr>
      <w:bookmarkStart w:id="0" w:name="_GoBack"/>
    </w:p>
    <w:bookmarkEnd w:id="0"/>
    <w:p w:rsidR="001C6F22" w:rsidRDefault="001C6F22" w:rsidP="002168C0">
      <w:pPr>
        <w:spacing w:before="100" w:beforeAutospacing="1" w:after="100" w:afterAutospacing="1"/>
        <w:rPr>
          <w:rFonts w:asciiTheme="minorHAnsi" w:hAnsiTheme="minorHAnsi"/>
          <w:b/>
          <w:bCs/>
          <w:color w:val="002060"/>
          <w:sz w:val="32"/>
          <w:szCs w:val="32"/>
        </w:rPr>
      </w:pPr>
    </w:p>
    <w:p w:rsidR="001C6F22" w:rsidRDefault="001C6F22" w:rsidP="002168C0">
      <w:pPr>
        <w:spacing w:before="100" w:beforeAutospacing="1" w:after="100" w:afterAutospacing="1"/>
        <w:rPr>
          <w:rFonts w:asciiTheme="minorHAnsi" w:hAnsiTheme="minorHAnsi"/>
          <w:b/>
          <w:bCs/>
          <w:color w:val="002060"/>
          <w:sz w:val="32"/>
          <w:szCs w:val="32"/>
        </w:rPr>
      </w:pPr>
    </w:p>
    <w:p w:rsidR="001C6F22" w:rsidRDefault="001C6F22" w:rsidP="002168C0">
      <w:pPr>
        <w:spacing w:before="100" w:beforeAutospacing="1" w:after="100" w:afterAutospacing="1"/>
        <w:rPr>
          <w:rFonts w:asciiTheme="minorHAnsi" w:hAnsiTheme="minorHAnsi"/>
          <w:b/>
          <w:bCs/>
          <w:color w:val="002060"/>
          <w:sz w:val="32"/>
          <w:szCs w:val="32"/>
        </w:rPr>
      </w:pPr>
    </w:p>
    <w:p w:rsidR="001C6F22" w:rsidRDefault="001C6F22" w:rsidP="002168C0">
      <w:pPr>
        <w:spacing w:before="100" w:beforeAutospacing="1" w:after="100" w:afterAutospacing="1"/>
        <w:rPr>
          <w:rFonts w:asciiTheme="minorHAnsi" w:hAnsiTheme="minorHAnsi"/>
          <w:b/>
          <w:bCs/>
          <w:color w:val="002060"/>
          <w:sz w:val="32"/>
          <w:szCs w:val="32"/>
        </w:rPr>
      </w:pPr>
    </w:p>
    <w:p w:rsidR="001C6F22" w:rsidRDefault="001C6F22" w:rsidP="002168C0">
      <w:pPr>
        <w:spacing w:before="100" w:beforeAutospacing="1" w:after="100" w:afterAutospacing="1"/>
        <w:rPr>
          <w:rFonts w:asciiTheme="minorHAnsi" w:hAnsiTheme="minorHAnsi"/>
          <w:b/>
          <w:bCs/>
          <w:color w:val="002060"/>
          <w:sz w:val="32"/>
          <w:szCs w:val="32"/>
        </w:rPr>
      </w:pPr>
    </w:p>
    <w:p w:rsidR="001C6F22" w:rsidRPr="001C6F22" w:rsidRDefault="001C6F22" w:rsidP="002168C0">
      <w:pPr>
        <w:spacing w:before="100" w:beforeAutospacing="1" w:after="100" w:afterAutospacing="1"/>
        <w:rPr>
          <w:rFonts w:asciiTheme="minorHAnsi" w:hAnsiTheme="minorHAnsi"/>
          <w:b/>
          <w:bCs/>
          <w:color w:val="002060"/>
          <w:sz w:val="2"/>
          <w:szCs w:val="2"/>
        </w:rPr>
      </w:pPr>
    </w:p>
    <w:p w:rsidR="002752B5" w:rsidRPr="00173C3E" w:rsidRDefault="002752B5" w:rsidP="002168C0">
      <w:pPr>
        <w:spacing w:before="100" w:beforeAutospacing="1" w:after="100" w:afterAutospacing="1"/>
        <w:rPr>
          <w:rFonts w:asciiTheme="minorHAnsi" w:hAnsiTheme="minorHAnsi"/>
          <w:b/>
          <w:bCs/>
          <w:color w:val="2F5496" w:themeColor="accent1" w:themeShade="BF"/>
          <w:sz w:val="32"/>
          <w:szCs w:val="32"/>
        </w:rPr>
      </w:pPr>
      <w:proofErr w:type="spellStart"/>
      <w:r w:rsidRPr="006314E0">
        <w:rPr>
          <w:rFonts w:asciiTheme="minorHAnsi" w:hAnsiTheme="minorHAnsi"/>
          <w:b/>
          <w:bCs/>
          <w:color w:val="2F5496" w:themeColor="accent1" w:themeShade="BF"/>
          <w:sz w:val="32"/>
          <w:szCs w:val="32"/>
        </w:rPr>
        <w:t>W</w:t>
      </w:r>
      <w:r w:rsidRPr="00173C3E">
        <w:rPr>
          <w:rFonts w:asciiTheme="minorHAnsi" w:hAnsiTheme="minorHAnsi"/>
          <w:b/>
          <w:bCs/>
          <w:color w:val="2F5496" w:themeColor="accent1" w:themeShade="BF"/>
          <w:sz w:val="32"/>
          <w:szCs w:val="32"/>
        </w:rPr>
        <w:t>akix</w:t>
      </w:r>
      <w:proofErr w:type="spellEnd"/>
      <w:r w:rsidRPr="00173C3E">
        <w:rPr>
          <w:rFonts w:asciiTheme="minorHAnsi" w:hAnsiTheme="minorHAnsi"/>
          <w:b/>
          <w:bCs/>
          <w:color w:val="2F5496" w:themeColor="accent1" w:themeShade="BF"/>
          <w:sz w:val="32"/>
          <w:szCs w:val="32"/>
        </w:rPr>
        <w:t>® Wirkstärken und Packungsgrößen</w:t>
      </w:r>
    </w:p>
    <w:p w:rsidR="002168C0" w:rsidRPr="001C6F22" w:rsidRDefault="002168C0" w:rsidP="002168C0">
      <w:pPr>
        <w:spacing w:before="100" w:beforeAutospacing="1" w:after="100" w:afterAutospacing="1"/>
        <w:rPr>
          <w:rFonts w:asciiTheme="minorHAnsi" w:hAnsiTheme="minorHAnsi"/>
        </w:rPr>
      </w:pPr>
      <w:proofErr w:type="spellStart"/>
      <w:r w:rsidRPr="001C6F22">
        <w:rPr>
          <w:rFonts w:asciiTheme="minorHAnsi" w:hAnsiTheme="minorHAnsi"/>
          <w:b/>
          <w:bCs/>
        </w:rPr>
        <w:t>Wakix</w:t>
      </w:r>
      <w:proofErr w:type="spellEnd"/>
      <w:r w:rsidRPr="001C6F22">
        <w:rPr>
          <w:rFonts w:asciiTheme="minorHAnsi" w:hAnsiTheme="minorHAnsi"/>
          <w:b/>
          <w:bCs/>
        </w:rPr>
        <w:t xml:space="preserve">® 4,5 mg </w:t>
      </w:r>
      <w:r w:rsidRPr="001C6F22">
        <w:rPr>
          <w:rFonts w:asciiTheme="minorHAnsi" w:hAnsiTheme="minorHAnsi"/>
        </w:rPr>
        <w:t xml:space="preserve">ist </w:t>
      </w:r>
      <w:r w:rsidR="00053B92" w:rsidRPr="001C6F22">
        <w:rPr>
          <w:rFonts w:asciiTheme="minorHAnsi" w:hAnsiTheme="minorHAnsi"/>
        </w:rPr>
        <w:t xml:space="preserve">in </w:t>
      </w:r>
      <w:r w:rsidRPr="001C6F22">
        <w:rPr>
          <w:rFonts w:asciiTheme="minorHAnsi" w:hAnsiTheme="minorHAnsi"/>
        </w:rPr>
        <w:t>folgende</w:t>
      </w:r>
      <w:r w:rsidR="00053B92" w:rsidRPr="001C6F22">
        <w:rPr>
          <w:rFonts w:asciiTheme="minorHAnsi" w:hAnsiTheme="minorHAnsi"/>
        </w:rPr>
        <w:t>r</w:t>
      </w:r>
      <w:r w:rsidRPr="001C6F22">
        <w:rPr>
          <w:rFonts w:asciiTheme="minorHAnsi" w:hAnsiTheme="minorHAnsi"/>
        </w:rPr>
        <w:t xml:space="preserve"> Packungsgröße verfügbar: </w:t>
      </w:r>
    </w:p>
    <w:p w:rsidR="002168C0" w:rsidRPr="001C6F22" w:rsidRDefault="002168C0" w:rsidP="002168C0">
      <w:pPr>
        <w:pStyle w:val="Listenabsatz"/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/>
        </w:rPr>
      </w:pPr>
      <w:r w:rsidRPr="001C6F22">
        <w:rPr>
          <w:rFonts w:asciiTheme="minorHAnsi" w:hAnsiTheme="minorHAnsi"/>
        </w:rPr>
        <w:t>30 Filmtabletten (PZN -11617117)</w:t>
      </w:r>
    </w:p>
    <w:p w:rsidR="002168C0" w:rsidRPr="001C6F22" w:rsidRDefault="002168C0" w:rsidP="002168C0">
      <w:pPr>
        <w:spacing w:before="100" w:beforeAutospacing="1" w:after="100" w:afterAutospacing="1"/>
        <w:rPr>
          <w:rFonts w:asciiTheme="minorHAnsi" w:hAnsiTheme="minorHAnsi"/>
        </w:rPr>
      </w:pPr>
      <w:proofErr w:type="spellStart"/>
      <w:r w:rsidRPr="001C6F22">
        <w:rPr>
          <w:rFonts w:asciiTheme="minorHAnsi" w:hAnsiTheme="minorHAnsi"/>
          <w:b/>
          <w:bCs/>
        </w:rPr>
        <w:t>Wakix</w:t>
      </w:r>
      <w:proofErr w:type="spellEnd"/>
      <w:r w:rsidRPr="001C6F22">
        <w:rPr>
          <w:rFonts w:asciiTheme="minorHAnsi" w:hAnsiTheme="minorHAnsi"/>
          <w:b/>
          <w:bCs/>
        </w:rPr>
        <w:t xml:space="preserve">® 18 mg </w:t>
      </w:r>
      <w:r w:rsidRPr="001C6F22">
        <w:rPr>
          <w:rFonts w:asciiTheme="minorHAnsi" w:hAnsiTheme="minorHAnsi"/>
        </w:rPr>
        <w:t xml:space="preserve">ist </w:t>
      </w:r>
      <w:r w:rsidR="00053B92" w:rsidRPr="001C6F22">
        <w:rPr>
          <w:rFonts w:asciiTheme="minorHAnsi" w:hAnsiTheme="minorHAnsi"/>
        </w:rPr>
        <w:t xml:space="preserve">in </w:t>
      </w:r>
      <w:r w:rsidRPr="001C6F22">
        <w:rPr>
          <w:rFonts w:asciiTheme="minorHAnsi" w:hAnsiTheme="minorHAnsi"/>
        </w:rPr>
        <w:t>folgende</w:t>
      </w:r>
      <w:r w:rsidR="00053B92" w:rsidRPr="001C6F22">
        <w:rPr>
          <w:rFonts w:asciiTheme="minorHAnsi" w:hAnsiTheme="minorHAnsi"/>
        </w:rPr>
        <w:t>n</w:t>
      </w:r>
      <w:r w:rsidRPr="001C6F22">
        <w:rPr>
          <w:rFonts w:asciiTheme="minorHAnsi" w:hAnsiTheme="minorHAnsi"/>
        </w:rPr>
        <w:t xml:space="preserve"> Packungsgröße</w:t>
      </w:r>
      <w:r w:rsidR="00053B92" w:rsidRPr="001C6F22">
        <w:rPr>
          <w:rFonts w:asciiTheme="minorHAnsi" w:hAnsiTheme="minorHAnsi"/>
        </w:rPr>
        <w:t>n</w:t>
      </w:r>
      <w:r w:rsidRPr="001C6F22">
        <w:rPr>
          <w:rFonts w:asciiTheme="minorHAnsi" w:hAnsiTheme="minorHAnsi"/>
        </w:rPr>
        <w:t xml:space="preserve"> verfügbar: </w:t>
      </w:r>
    </w:p>
    <w:p w:rsidR="002168C0" w:rsidRPr="001C6F22" w:rsidRDefault="002168C0" w:rsidP="002168C0">
      <w:pPr>
        <w:pStyle w:val="Listenabsatz"/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/>
        </w:rPr>
      </w:pPr>
      <w:r w:rsidRPr="001C6F22">
        <w:rPr>
          <w:rFonts w:asciiTheme="minorHAnsi" w:hAnsiTheme="minorHAnsi"/>
        </w:rPr>
        <w:t>30 Filmtabletten (PZN -11617123)</w:t>
      </w:r>
    </w:p>
    <w:p w:rsidR="002168C0" w:rsidRPr="001C6F22" w:rsidRDefault="002168C0" w:rsidP="002168C0">
      <w:pPr>
        <w:pStyle w:val="Listenabsatz"/>
        <w:spacing w:before="100" w:beforeAutospacing="1" w:after="100" w:afterAutospacing="1"/>
        <w:rPr>
          <w:rFonts w:asciiTheme="minorHAnsi" w:hAnsiTheme="minorHAnsi"/>
        </w:rPr>
      </w:pPr>
    </w:p>
    <w:p w:rsidR="002168C0" w:rsidRPr="001C6F22" w:rsidRDefault="002168C0" w:rsidP="002168C0">
      <w:pPr>
        <w:pStyle w:val="Listenabsatz"/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/>
        </w:rPr>
      </w:pPr>
      <w:r w:rsidRPr="001C6F22">
        <w:rPr>
          <w:rFonts w:asciiTheme="minorHAnsi" w:hAnsiTheme="minorHAnsi"/>
          <w:b/>
          <w:color w:val="FF0000"/>
        </w:rPr>
        <w:t>3</w:t>
      </w:r>
      <w:r w:rsidR="002752B5" w:rsidRPr="001C6F22">
        <w:rPr>
          <w:rFonts w:asciiTheme="minorHAnsi" w:hAnsiTheme="minorHAnsi"/>
          <w:b/>
          <w:color w:val="FF0000"/>
        </w:rPr>
        <w:t xml:space="preserve"> </w:t>
      </w:r>
      <w:r w:rsidRPr="001C6F22">
        <w:rPr>
          <w:rFonts w:asciiTheme="minorHAnsi" w:hAnsiTheme="minorHAnsi"/>
          <w:b/>
          <w:color w:val="FF0000"/>
        </w:rPr>
        <w:t>x</w:t>
      </w:r>
      <w:r w:rsidR="002752B5" w:rsidRPr="001C6F22">
        <w:rPr>
          <w:rFonts w:asciiTheme="minorHAnsi" w:hAnsiTheme="minorHAnsi"/>
          <w:b/>
          <w:color w:val="FF0000"/>
        </w:rPr>
        <w:t xml:space="preserve"> </w:t>
      </w:r>
      <w:r w:rsidRPr="001C6F22">
        <w:rPr>
          <w:rFonts w:asciiTheme="minorHAnsi" w:hAnsiTheme="minorHAnsi"/>
          <w:b/>
          <w:color w:val="FF0000"/>
        </w:rPr>
        <w:t xml:space="preserve">30 Filmtabletten </w:t>
      </w:r>
      <w:r w:rsidRPr="001C6F22">
        <w:rPr>
          <w:rFonts w:asciiTheme="minorHAnsi" w:hAnsiTheme="minorHAnsi"/>
          <w:b/>
          <w:color w:val="FF0000"/>
          <w:u w:val="single"/>
        </w:rPr>
        <w:t>(PZN -13748964)</w:t>
      </w:r>
      <w:r w:rsidRPr="001C6F22">
        <w:rPr>
          <w:rFonts w:asciiTheme="minorHAnsi" w:hAnsiTheme="minorHAnsi"/>
          <w:color w:val="FF0000"/>
        </w:rPr>
        <w:t xml:space="preserve"> </w:t>
      </w:r>
      <w:r w:rsidRPr="001C6F22">
        <w:rPr>
          <w:rFonts w:asciiTheme="minorHAnsi" w:hAnsiTheme="minorHAnsi"/>
          <w:b/>
          <w:color w:val="FF0000"/>
        </w:rPr>
        <w:t>NEU!</w:t>
      </w:r>
    </w:p>
    <w:p w:rsidR="002752B5" w:rsidRPr="001C6F22" w:rsidRDefault="002168C0" w:rsidP="002752B5">
      <w:pPr>
        <w:spacing w:before="100" w:beforeAutospacing="1" w:after="100" w:afterAutospacing="1"/>
        <w:rPr>
          <w:rFonts w:asciiTheme="minorHAnsi" w:hAnsiTheme="minorHAnsi"/>
          <w:b/>
          <w:bCs/>
        </w:rPr>
      </w:pPr>
      <w:r w:rsidRPr="001C6F22">
        <w:rPr>
          <w:rFonts w:asciiTheme="minorHAnsi" w:hAnsiTheme="minorHAnsi"/>
          <w:b/>
          <w:bCs/>
        </w:rPr>
        <w:t xml:space="preserve">Alle Packungsgrößen </w:t>
      </w:r>
      <w:r w:rsidR="00431D77" w:rsidRPr="001C6F22">
        <w:rPr>
          <w:rFonts w:asciiTheme="minorHAnsi" w:hAnsiTheme="minorHAnsi"/>
          <w:b/>
          <w:bCs/>
        </w:rPr>
        <w:t xml:space="preserve">von </w:t>
      </w:r>
      <w:proofErr w:type="spellStart"/>
      <w:r w:rsidR="00431D77" w:rsidRPr="001C6F22">
        <w:rPr>
          <w:rFonts w:asciiTheme="minorHAnsi" w:hAnsiTheme="minorHAnsi"/>
          <w:b/>
          <w:bCs/>
        </w:rPr>
        <w:t>Wakix</w:t>
      </w:r>
      <w:proofErr w:type="spellEnd"/>
      <w:r w:rsidR="00431D77" w:rsidRPr="001C6F22">
        <w:rPr>
          <w:rFonts w:asciiTheme="minorHAnsi" w:hAnsiTheme="minorHAnsi"/>
          <w:b/>
          <w:bCs/>
        </w:rPr>
        <w:t xml:space="preserve">® </w:t>
      </w:r>
      <w:r w:rsidRPr="001C6F22">
        <w:rPr>
          <w:rFonts w:asciiTheme="minorHAnsi" w:hAnsiTheme="minorHAnsi"/>
          <w:b/>
          <w:bCs/>
        </w:rPr>
        <w:t>sind zulasten der GKV verordnungs</w:t>
      </w:r>
      <w:r w:rsidR="00431D77" w:rsidRPr="001C6F22">
        <w:rPr>
          <w:rFonts w:asciiTheme="minorHAnsi" w:hAnsiTheme="minorHAnsi"/>
          <w:b/>
          <w:bCs/>
        </w:rPr>
        <w:t>- und voll erstattungs</w:t>
      </w:r>
      <w:r w:rsidRPr="001C6F22">
        <w:rPr>
          <w:rFonts w:asciiTheme="minorHAnsi" w:hAnsiTheme="minorHAnsi"/>
          <w:b/>
          <w:bCs/>
        </w:rPr>
        <w:t>fähig!</w:t>
      </w:r>
    </w:p>
    <w:p w:rsidR="007D6C9B" w:rsidRDefault="00431D77" w:rsidP="005F6BC3">
      <w:pPr>
        <w:spacing w:before="100" w:beforeAutospacing="1" w:after="100" w:afterAutospacing="1"/>
        <w:jc w:val="both"/>
        <w:rPr>
          <w:rFonts w:asciiTheme="minorHAnsi" w:hAnsiTheme="minorHAnsi" w:cs="Arial"/>
          <w:b/>
        </w:rPr>
      </w:pPr>
      <w:r w:rsidRPr="001C6F22">
        <w:rPr>
          <w:rFonts w:asciiTheme="minorHAnsi" w:hAnsiTheme="minorHAnsi" w:cs="Arial"/>
          <w:b/>
        </w:rPr>
        <w:t>Seit dem 01.10.2017 w</w:t>
      </w:r>
      <w:r w:rsidR="002752B5" w:rsidRPr="001C6F22">
        <w:rPr>
          <w:rFonts w:asciiTheme="minorHAnsi" w:hAnsiTheme="minorHAnsi" w:cs="Arial"/>
          <w:b/>
        </w:rPr>
        <w:t>ird</w:t>
      </w:r>
      <w:r w:rsidRPr="001C6F22">
        <w:rPr>
          <w:rFonts w:asciiTheme="minorHAnsi" w:hAnsiTheme="minorHAnsi" w:cs="Arial"/>
          <w:b/>
        </w:rPr>
        <w:t xml:space="preserve"> </w:t>
      </w:r>
      <w:r w:rsidR="00937D68" w:rsidRPr="001C6F22">
        <w:rPr>
          <w:rFonts w:asciiTheme="minorHAnsi" w:hAnsiTheme="minorHAnsi" w:cs="Arial"/>
          <w:b/>
        </w:rPr>
        <w:t xml:space="preserve">der therapeutische Einsatz </w:t>
      </w:r>
      <w:r w:rsidR="00E030A3" w:rsidRPr="001C6F22">
        <w:rPr>
          <w:rFonts w:asciiTheme="minorHAnsi" w:hAnsiTheme="minorHAnsi" w:cs="Arial"/>
          <w:b/>
        </w:rPr>
        <w:t xml:space="preserve">von </w:t>
      </w:r>
      <w:proofErr w:type="spellStart"/>
      <w:r w:rsidRPr="001C6F22">
        <w:rPr>
          <w:rFonts w:asciiTheme="minorHAnsi" w:hAnsiTheme="minorHAnsi" w:cs="Arial"/>
          <w:b/>
        </w:rPr>
        <w:t>Wakix</w:t>
      </w:r>
      <w:proofErr w:type="spellEnd"/>
      <w:r w:rsidRPr="001C6F22">
        <w:rPr>
          <w:rFonts w:asciiTheme="minorHAnsi" w:hAnsiTheme="minorHAnsi" w:cs="Arial"/>
          <w:b/>
          <w:vertAlign w:val="superscript"/>
        </w:rPr>
        <w:t>®</w:t>
      </w:r>
      <w:r w:rsidRPr="001C6F22">
        <w:rPr>
          <w:rFonts w:asciiTheme="minorHAnsi" w:hAnsiTheme="minorHAnsi" w:cs="Arial"/>
          <w:b/>
        </w:rPr>
        <w:t xml:space="preserve"> </w:t>
      </w:r>
      <w:r w:rsidR="00937D68" w:rsidRPr="001C6F22">
        <w:rPr>
          <w:rFonts w:asciiTheme="minorHAnsi" w:hAnsiTheme="minorHAnsi" w:cs="Arial"/>
          <w:b/>
        </w:rPr>
        <w:t xml:space="preserve">ab dem ersten Behandlungsfall ausschließlich im Anwendungsgebiet </w:t>
      </w:r>
      <w:r w:rsidR="00E030A3" w:rsidRPr="001C6F22">
        <w:rPr>
          <w:rFonts w:asciiTheme="minorHAnsi" w:hAnsiTheme="minorHAnsi" w:cs="Arial"/>
          <w:b/>
        </w:rPr>
        <w:t>zur Behandlung der Narkolepsie mit oder ohne Kataplexie</w:t>
      </w:r>
      <w:r w:rsidR="00181E43" w:rsidRPr="001C6F22">
        <w:rPr>
          <w:rFonts w:asciiTheme="minorHAnsi" w:hAnsiTheme="minorHAnsi" w:cs="Arial"/>
          <w:b/>
        </w:rPr>
        <w:t xml:space="preserve"> bei Erwachsenen</w:t>
      </w:r>
      <w:r w:rsidR="00E030A3" w:rsidRPr="001C6F22">
        <w:rPr>
          <w:rFonts w:asciiTheme="minorHAnsi" w:hAnsiTheme="minorHAnsi" w:cs="Arial"/>
          <w:b/>
        </w:rPr>
        <w:t xml:space="preserve"> </w:t>
      </w:r>
      <w:r w:rsidR="00937D68" w:rsidRPr="001C6F22">
        <w:rPr>
          <w:rFonts w:asciiTheme="minorHAnsi" w:hAnsiTheme="minorHAnsi" w:cs="Arial"/>
          <w:b/>
        </w:rPr>
        <w:t xml:space="preserve">als Praxisbesonderheit </w:t>
      </w:r>
      <w:r w:rsidRPr="001C6F22">
        <w:rPr>
          <w:rFonts w:asciiTheme="minorHAnsi" w:hAnsiTheme="minorHAnsi" w:cs="Arial"/>
          <w:b/>
        </w:rPr>
        <w:t>anerk</w:t>
      </w:r>
      <w:r w:rsidR="00F9162A" w:rsidRPr="001C6F22">
        <w:rPr>
          <w:rFonts w:asciiTheme="minorHAnsi" w:hAnsiTheme="minorHAnsi" w:cs="Arial"/>
          <w:b/>
        </w:rPr>
        <w:t>annt.</w:t>
      </w:r>
    </w:p>
    <w:p w:rsidR="006314E0" w:rsidRDefault="006314E0" w:rsidP="006314E0">
      <w:pPr>
        <w:spacing w:before="100" w:beforeAutospacing="1" w:after="100" w:afterAutospacing="1"/>
        <w:jc w:val="both"/>
        <w:rPr>
          <w:rFonts w:asciiTheme="minorHAnsi" w:hAnsiTheme="minorHAnsi"/>
          <w:b/>
          <w:color w:val="2F5496" w:themeColor="accent1" w:themeShade="BF"/>
          <w:sz w:val="32"/>
          <w:szCs w:val="32"/>
        </w:rPr>
      </w:pPr>
      <w:r>
        <w:rPr>
          <w:rFonts w:asciiTheme="minorHAnsi" w:hAnsiTheme="minorHAnsi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8425613" wp14:editId="73ECC954">
            <wp:simplePos x="0" y="0"/>
            <wp:positionH relativeFrom="column">
              <wp:posOffset>4241800</wp:posOffset>
            </wp:positionH>
            <wp:positionV relativeFrom="paragraph">
              <wp:posOffset>240030</wp:posOffset>
            </wp:positionV>
            <wp:extent cx="1532255" cy="899795"/>
            <wp:effectExtent l="0" t="0" r="0" b="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ckung_Nr2_Grupp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225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314E0">
        <w:rPr>
          <w:rFonts w:asciiTheme="minorHAnsi" w:hAnsiTheme="minorHAnsi"/>
          <w:noProof/>
        </w:rPr>
        <w:drawing>
          <wp:anchor distT="0" distB="0" distL="114300" distR="114300" simplePos="0" relativeHeight="251662336" behindDoc="0" locked="0" layoutInCell="1" allowOverlap="1" wp14:anchorId="40CB3945" wp14:editId="4F60E322">
            <wp:simplePos x="0" y="0"/>
            <wp:positionH relativeFrom="column">
              <wp:posOffset>3061970</wp:posOffset>
            </wp:positionH>
            <wp:positionV relativeFrom="paragraph">
              <wp:posOffset>154305</wp:posOffset>
            </wp:positionV>
            <wp:extent cx="1022985" cy="899795"/>
            <wp:effectExtent l="0" t="0" r="5715" b="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876" t="67079" r="4140"/>
                    <a:stretch/>
                  </pic:blipFill>
                  <pic:spPr bwMode="auto">
                    <a:xfrm>
                      <a:off x="0" y="0"/>
                      <a:ext cx="102298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14E0" w:rsidRPr="006314E0" w:rsidRDefault="006314E0" w:rsidP="006314E0">
      <w:pPr>
        <w:spacing w:before="100" w:beforeAutospacing="1" w:after="100" w:afterAutospacing="1"/>
        <w:rPr>
          <w:rFonts w:asciiTheme="minorHAnsi" w:hAnsiTheme="minorHAnsi"/>
          <w:b/>
          <w:color w:val="2F5496" w:themeColor="accent1" w:themeShade="BF"/>
          <w:sz w:val="32"/>
          <w:szCs w:val="32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4084955</wp:posOffset>
                </wp:positionH>
                <wp:positionV relativeFrom="paragraph">
                  <wp:posOffset>118745</wp:posOffset>
                </wp:positionV>
                <wp:extent cx="262890" cy="285750"/>
                <wp:effectExtent l="0" t="0" r="0" b="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14E0" w:rsidRPr="006314E0" w:rsidRDefault="006314E0">
                            <w:pPr>
                              <w:rPr>
                                <w:rFonts w:asciiTheme="minorHAnsi" w:hAnsiTheme="minorHAnsi"/>
                                <w:b/>
                                <w:color w:val="2F5496" w:themeColor="accent1" w:themeShade="BF"/>
                              </w:rPr>
                            </w:pPr>
                            <w:r w:rsidRPr="006314E0">
                              <w:rPr>
                                <w:rFonts w:asciiTheme="minorHAnsi" w:hAnsiTheme="minorHAnsi"/>
                                <w:b/>
                                <w:color w:val="2F5496" w:themeColor="accent1" w:themeShade="BF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7" o:spid="_x0000_s1026" type="#_x0000_t202" style="position:absolute;margin-left:321.65pt;margin-top:9.35pt;width:20.7pt;height:2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" filled="f" stroked="f" strokeweight=".5pt">
                <v:textbox>
                  <w:txbxContent>
                    <w:p w:rsidR="006314E0" w:rsidRPr="006314E0" w:rsidRDefault="006314E0">
                      <w:pPr>
                        <w:rPr>
                          <w:rFonts w:asciiTheme="minorHAnsi" w:hAnsiTheme="minorHAnsi"/>
                          <w:b/>
                          <w:color w:val="2F5496" w:themeColor="accent1" w:themeShade="BF"/>
                        </w:rPr>
                      </w:pPr>
                      <w:r w:rsidRPr="006314E0">
                        <w:rPr>
                          <w:rFonts w:asciiTheme="minorHAnsi" w:hAnsiTheme="minorHAnsi"/>
                          <w:b/>
                          <w:color w:val="2F5496" w:themeColor="accent1" w:themeShade="BF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6314E0">
        <w:rPr>
          <w:rFonts w:asciiTheme="minorHAnsi" w:hAnsiTheme="minorHAnsi"/>
          <w:b/>
          <w:color w:val="2F5496" w:themeColor="accent1" w:themeShade="BF"/>
          <w:sz w:val="32"/>
          <w:szCs w:val="32"/>
        </w:rPr>
        <w:t>E</w:t>
      </w:r>
      <w:r>
        <w:rPr>
          <w:rFonts w:asciiTheme="minorHAnsi" w:hAnsiTheme="minorHAnsi"/>
          <w:b/>
          <w:color w:val="2F5496" w:themeColor="accent1" w:themeShade="BF"/>
          <w:sz w:val="32"/>
          <w:szCs w:val="32"/>
        </w:rPr>
        <w:t>infache und patientenfreundliche                                                                                                    Einmaldosierung</w:t>
      </w:r>
    </w:p>
    <w:p w:rsidR="006314E0" w:rsidRDefault="006314E0" w:rsidP="006314E0">
      <w:pPr>
        <w:spacing w:before="100" w:beforeAutospacing="1" w:after="100" w:afterAutospacing="1"/>
        <w:jc w:val="both"/>
        <w:rPr>
          <w:rFonts w:asciiTheme="minorHAnsi" w:hAnsiTheme="minorHAnsi"/>
          <w:b/>
          <w:color w:val="2F5496" w:themeColor="accent1" w:themeShade="BF"/>
          <w:sz w:val="28"/>
          <w:szCs w:val="28"/>
        </w:rPr>
      </w:pPr>
    </w:p>
    <w:p w:rsidR="006314E0" w:rsidRPr="006314E0" w:rsidRDefault="006314E0" w:rsidP="006314E0">
      <w:pPr>
        <w:spacing w:before="100" w:beforeAutospacing="1" w:after="100" w:afterAutospacing="1"/>
        <w:jc w:val="both"/>
        <w:rPr>
          <w:rFonts w:asciiTheme="minorHAnsi" w:hAnsiTheme="minorHAnsi"/>
          <w:b/>
          <w:color w:val="2F5496" w:themeColor="accent1" w:themeShade="BF"/>
          <w:sz w:val="28"/>
          <w:szCs w:val="28"/>
        </w:rPr>
      </w:pPr>
      <w:r w:rsidRPr="006314E0">
        <w:rPr>
          <w:rFonts w:asciiTheme="minorHAnsi" w:hAnsiTheme="minorHAnsi"/>
          <w:b/>
          <w:color w:val="2F5496" w:themeColor="accent1" w:themeShade="BF"/>
          <w:sz w:val="28"/>
          <w:szCs w:val="28"/>
        </w:rPr>
        <w:t>Dosistitration</w:t>
      </w:r>
    </w:p>
    <w:p w:rsidR="006314E0" w:rsidRPr="006314E0" w:rsidRDefault="006314E0" w:rsidP="006314E0">
      <w:pPr>
        <w:spacing w:before="100" w:beforeAutospacing="1" w:after="100" w:afterAutospacing="1"/>
        <w:jc w:val="both"/>
        <w:rPr>
          <w:rFonts w:asciiTheme="minorHAnsi" w:hAnsiTheme="minorHAnsi"/>
          <w:color w:val="2F5496" w:themeColor="accent1" w:themeShade="BF"/>
          <w:sz w:val="28"/>
          <w:szCs w:val="28"/>
        </w:rPr>
      </w:pPr>
      <w:r w:rsidRPr="006314E0">
        <w:rPr>
          <w:rFonts w:asciiTheme="minorHAnsi" w:hAnsiTheme="minorHAnsi"/>
          <w:noProof/>
          <w:color w:val="2F5496" w:themeColor="accent1" w:themeShade="BF"/>
          <w:sz w:val="28"/>
          <w:szCs w:val="28"/>
        </w:rPr>
        <w:drawing>
          <wp:inline distT="0" distB="0" distL="0" distR="0" wp14:anchorId="7255EA5E" wp14:editId="650D0D7C">
            <wp:extent cx="5674894" cy="1440000"/>
            <wp:effectExtent l="0" t="0" r="2540" b="825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57" t="22922" r="11053" b="56177"/>
                    <a:stretch/>
                  </pic:blipFill>
                  <pic:spPr bwMode="auto">
                    <a:xfrm>
                      <a:off x="0" y="0"/>
                      <a:ext cx="5674894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14E0" w:rsidRPr="006314E0" w:rsidRDefault="006314E0" w:rsidP="006314E0">
      <w:pPr>
        <w:spacing w:before="100" w:beforeAutospacing="1" w:after="100" w:afterAutospacing="1"/>
        <w:jc w:val="both"/>
        <w:rPr>
          <w:rFonts w:asciiTheme="minorHAnsi" w:hAnsiTheme="minorHAnsi"/>
          <w:b/>
          <w:color w:val="2F5496" w:themeColor="accent1" w:themeShade="BF"/>
          <w:sz w:val="28"/>
          <w:szCs w:val="28"/>
        </w:rPr>
      </w:pPr>
    </w:p>
    <w:p w:rsidR="006314E0" w:rsidRPr="006314E0" w:rsidRDefault="006314E0" w:rsidP="006314E0">
      <w:pPr>
        <w:spacing w:before="100" w:beforeAutospacing="1" w:after="100" w:afterAutospacing="1"/>
        <w:jc w:val="both"/>
        <w:rPr>
          <w:rFonts w:asciiTheme="minorHAnsi" w:hAnsiTheme="minorHAnsi"/>
          <w:b/>
          <w:color w:val="2F5496" w:themeColor="accent1" w:themeShade="BF"/>
          <w:sz w:val="28"/>
          <w:szCs w:val="28"/>
        </w:rPr>
      </w:pPr>
      <w:r w:rsidRPr="006314E0">
        <w:rPr>
          <w:rFonts w:asciiTheme="minorHAnsi" w:hAnsiTheme="minorHAnsi"/>
          <w:b/>
          <w:color w:val="2F5496" w:themeColor="accent1" w:themeShade="BF"/>
          <w:sz w:val="28"/>
          <w:szCs w:val="28"/>
        </w:rPr>
        <w:t>Dosisflexibilität</w:t>
      </w:r>
    </w:p>
    <w:p w:rsidR="006314E0" w:rsidRPr="006314E0" w:rsidRDefault="006314E0" w:rsidP="006314E0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Theme="minorHAnsi" w:hAnsiTheme="minorHAnsi"/>
        </w:rPr>
      </w:pPr>
      <w:r w:rsidRPr="006314E0">
        <w:rPr>
          <w:rFonts w:asciiTheme="minorHAnsi" w:hAnsiTheme="minorHAnsi"/>
        </w:rPr>
        <w:t xml:space="preserve">Die Dosis kann jederzeit nach Ermessen des Arztes und gemäß dem Ansprechen des Patienten bis auf 4,5 mg </w:t>
      </w:r>
      <w:proofErr w:type="spellStart"/>
      <w:r w:rsidRPr="006314E0">
        <w:rPr>
          <w:rFonts w:asciiTheme="minorHAnsi" w:hAnsiTheme="minorHAnsi"/>
        </w:rPr>
        <w:t>Pitolisant</w:t>
      </w:r>
      <w:proofErr w:type="spellEnd"/>
      <w:r w:rsidRPr="006314E0">
        <w:rPr>
          <w:rFonts w:asciiTheme="minorHAnsi" w:hAnsiTheme="minorHAnsi"/>
        </w:rPr>
        <w:t xml:space="preserve"> pro Tag verringert oder auf bis zu 36 mg </w:t>
      </w:r>
      <w:proofErr w:type="spellStart"/>
      <w:r w:rsidRPr="006314E0">
        <w:rPr>
          <w:rFonts w:asciiTheme="minorHAnsi" w:hAnsiTheme="minorHAnsi"/>
        </w:rPr>
        <w:t>Pitolisant</w:t>
      </w:r>
      <w:proofErr w:type="spellEnd"/>
      <w:r w:rsidRPr="006314E0">
        <w:rPr>
          <w:rFonts w:asciiTheme="minorHAnsi" w:hAnsiTheme="minorHAnsi"/>
        </w:rPr>
        <w:t xml:space="preserve"> pro Tag erhöht werden.</w:t>
      </w:r>
    </w:p>
    <w:p w:rsidR="006314E0" w:rsidRDefault="006314E0" w:rsidP="006314E0">
      <w:pPr>
        <w:spacing w:before="100" w:beforeAutospacing="1" w:after="100" w:afterAutospacing="1"/>
        <w:jc w:val="both"/>
        <w:rPr>
          <w:rFonts w:asciiTheme="minorHAnsi" w:hAnsiTheme="minorHAnsi"/>
          <w:b/>
          <w:color w:val="2F5496" w:themeColor="accent1" w:themeShade="BF"/>
        </w:rPr>
      </w:pPr>
    </w:p>
    <w:p w:rsidR="006314E0" w:rsidRPr="006314E0" w:rsidRDefault="006314E0" w:rsidP="006314E0">
      <w:pPr>
        <w:spacing w:before="100" w:beforeAutospacing="1" w:after="100" w:afterAutospacing="1"/>
        <w:jc w:val="both"/>
        <w:rPr>
          <w:rFonts w:asciiTheme="minorHAnsi" w:hAnsiTheme="minorHAnsi"/>
          <w:b/>
          <w:color w:val="2F5496" w:themeColor="accent1" w:themeShade="BF"/>
          <w:sz w:val="28"/>
          <w:szCs w:val="28"/>
        </w:rPr>
      </w:pPr>
      <w:r w:rsidRPr="006314E0">
        <w:rPr>
          <w:rFonts w:asciiTheme="minorHAnsi" w:hAnsiTheme="minorHAnsi"/>
          <w:b/>
          <w:color w:val="2F5496" w:themeColor="accent1" w:themeShade="BF"/>
          <w:sz w:val="28"/>
          <w:szCs w:val="28"/>
        </w:rPr>
        <w:t>Dosiseinnahme</w:t>
      </w:r>
    </w:p>
    <w:p w:rsidR="006314E0" w:rsidRPr="006314E0" w:rsidRDefault="006314E0" w:rsidP="006314E0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Theme="minorHAnsi" w:hAnsiTheme="minorHAnsi"/>
        </w:rPr>
      </w:pPr>
      <w:r w:rsidRPr="006314E0">
        <w:rPr>
          <w:rFonts w:asciiTheme="minorHAnsi" w:hAnsiTheme="minorHAnsi"/>
        </w:rPr>
        <w:t>WAKIX® wird einmalig am Morgen während des Frühstücks oral eingenommen,</w:t>
      </w:r>
    </w:p>
    <w:p w:rsidR="006314E0" w:rsidRPr="006314E0" w:rsidRDefault="006314E0" w:rsidP="006314E0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Theme="minorHAnsi" w:hAnsiTheme="minorHAnsi"/>
        </w:rPr>
      </w:pPr>
      <w:r w:rsidRPr="006314E0">
        <w:rPr>
          <w:rFonts w:asciiTheme="minorHAnsi" w:hAnsiTheme="minorHAnsi"/>
        </w:rPr>
        <w:t>sollte nicht am Nachmittag eingenommen werden, da es sonst zu Schlafstörungen kommen kann.</w:t>
      </w:r>
    </w:p>
    <w:p w:rsidR="006314E0" w:rsidRPr="001C6F22" w:rsidRDefault="006314E0" w:rsidP="005F6BC3">
      <w:pPr>
        <w:spacing w:before="100" w:beforeAutospacing="1" w:after="100" w:afterAutospacing="1"/>
        <w:jc w:val="both"/>
        <w:rPr>
          <w:rFonts w:asciiTheme="minorHAnsi" w:hAnsiTheme="minorHAnsi"/>
        </w:rPr>
      </w:pPr>
    </w:p>
    <w:sectPr w:rsidR="006314E0" w:rsidRPr="001C6F22" w:rsidSect="00755CF9">
      <w:footerReference w:type="default" r:id="rId11"/>
      <w:pgSz w:w="11910" w:h="16840" w:code="9"/>
      <w:pgMar w:top="567" w:right="1418" w:bottom="567" w:left="1418" w:header="284" w:footer="284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3A14" w:rsidRDefault="00033A14" w:rsidP="00F05136">
      <w:r>
        <w:separator/>
      </w:r>
    </w:p>
  </w:endnote>
  <w:endnote w:type="continuationSeparator" w:id="0">
    <w:p w:rsidR="00033A14" w:rsidRDefault="00033A14" w:rsidP="00F05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1E5C" w:rsidRDefault="00C61E5C" w:rsidP="00C61E5C">
    <w:pPr>
      <w:pStyle w:val="Fuzeile"/>
      <w:tabs>
        <w:tab w:val="clear" w:pos="9072"/>
      </w:tabs>
      <w:jc w:val="both"/>
      <w:rPr>
        <w:rFonts w:asciiTheme="minorHAnsi" w:hAnsiTheme="minorHAnsi"/>
        <w:sz w:val="16"/>
        <w:szCs w:val="16"/>
      </w:rPr>
    </w:pPr>
    <w:r>
      <w:rPr>
        <w:rFonts w:asciiTheme="minorHAnsi" w:hAnsiTheme="minorHAnsi"/>
        <w:sz w:val="16"/>
        <w:szCs w:val="16"/>
      </w:rPr>
      <w:t>_________________________________________________________________________________________________________________</w:t>
    </w:r>
  </w:p>
  <w:p w:rsidR="00F05136" w:rsidRPr="00F05136" w:rsidRDefault="00F05136" w:rsidP="00C61E5C">
    <w:pPr>
      <w:pStyle w:val="Fuzeile"/>
      <w:tabs>
        <w:tab w:val="clear" w:pos="9072"/>
      </w:tabs>
      <w:jc w:val="both"/>
      <w:rPr>
        <w:rFonts w:asciiTheme="minorHAnsi" w:hAnsiTheme="minorHAnsi"/>
        <w:sz w:val="16"/>
        <w:szCs w:val="16"/>
      </w:rPr>
    </w:pPr>
    <w:r w:rsidRPr="00F05136">
      <w:rPr>
        <w:rFonts w:asciiTheme="minorHAnsi" w:hAnsiTheme="minorHAnsi"/>
        <w:sz w:val="16"/>
        <w:szCs w:val="16"/>
      </w:rPr>
      <w:t>Bioprojet Deutschland GmbH · Bismarckstraße 63 · 12169 Berlin-Steglitz · Tel.: 030 / 3465 5460-0 · Fax: 030 / 3465 5460-9 · E-Mail: info@bioprojet.de · Geschäftsführer: François-Xavier Capelo; Dr. André Toussaint · Handelsregister: Amtsgericht Charlottenburg HRB 175913</w:t>
    </w:r>
    <w:r w:rsidR="007D6C9B">
      <w:rPr>
        <w:rFonts w:asciiTheme="minorHAnsi" w:hAnsiTheme="minorHAnsi"/>
        <w:sz w:val="16"/>
        <w:szCs w:val="16"/>
      </w:rPr>
      <w:t> </w:t>
    </w:r>
    <w:r w:rsidRPr="00F05136">
      <w:rPr>
        <w:rFonts w:asciiTheme="minorHAnsi" w:hAnsiTheme="minorHAnsi"/>
        <w:sz w:val="16"/>
        <w:szCs w:val="16"/>
      </w:rPr>
      <w:t xml:space="preserve">B · </w:t>
    </w:r>
    <w:proofErr w:type="spellStart"/>
    <w:r w:rsidRPr="00F05136">
      <w:rPr>
        <w:rFonts w:asciiTheme="minorHAnsi" w:hAnsiTheme="minorHAnsi"/>
        <w:sz w:val="16"/>
        <w:szCs w:val="16"/>
      </w:rPr>
      <w:t>USt</w:t>
    </w:r>
    <w:proofErr w:type="spellEnd"/>
    <w:r w:rsidRPr="00F05136">
      <w:rPr>
        <w:rFonts w:asciiTheme="minorHAnsi" w:hAnsiTheme="minorHAnsi"/>
        <w:sz w:val="16"/>
        <w:szCs w:val="16"/>
      </w:rPr>
      <w:t>.-ID Nr. DE306353028 · Steuer-Nr. 29/230/30069 · Bankverbindung: BNP Paribas S.A., NDL Deutschland, Frankfurt/Main · BIC: BNPADEFFXXX ·IBAN: DE45512106004220774014</w:t>
    </w:r>
  </w:p>
  <w:p w:rsidR="00F05136" w:rsidRDefault="00F0513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3A14" w:rsidRDefault="00033A14" w:rsidP="00F05136">
      <w:r>
        <w:separator/>
      </w:r>
    </w:p>
  </w:footnote>
  <w:footnote w:type="continuationSeparator" w:id="0">
    <w:p w:rsidR="00033A14" w:rsidRDefault="00033A14" w:rsidP="00F05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E7857"/>
    <w:multiLevelType w:val="hybridMultilevel"/>
    <w:tmpl w:val="92EAA666"/>
    <w:lvl w:ilvl="0" w:tplc="462A250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C2384"/>
    <w:multiLevelType w:val="hybridMultilevel"/>
    <w:tmpl w:val="565EB0CE"/>
    <w:lvl w:ilvl="0" w:tplc="5AA603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9406D"/>
    <w:multiLevelType w:val="hybridMultilevel"/>
    <w:tmpl w:val="FEB887E6"/>
    <w:lvl w:ilvl="0" w:tplc="5936C26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CFB"/>
    <w:rsid w:val="00033A14"/>
    <w:rsid w:val="00053B92"/>
    <w:rsid w:val="00090957"/>
    <w:rsid w:val="000D4ED4"/>
    <w:rsid w:val="00173C3E"/>
    <w:rsid w:val="00181E43"/>
    <w:rsid w:val="001C6F22"/>
    <w:rsid w:val="001D1CD4"/>
    <w:rsid w:val="002168C0"/>
    <w:rsid w:val="002752B5"/>
    <w:rsid w:val="002D5C9B"/>
    <w:rsid w:val="003219F3"/>
    <w:rsid w:val="0033523E"/>
    <w:rsid w:val="00363CFB"/>
    <w:rsid w:val="00401FAC"/>
    <w:rsid w:val="00431D77"/>
    <w:rsid w:val="00447929"/>
    <w:rsid w:val="004F669F"/>
    <w:rsid w:val="005070C4"/>
    <w:rsid w:val="00534A69"/>
    <w:rsid w:val="005459DC"/>
    <w:rsid w:val="00586A64"/>
    <w:rsid w:val="005926B6"/>
    <w:rsid w:val="005F4D98"/>
    <w:rsid w:val="005F6BC3"/>
    <w:rsid w:val="006314E0"/>
    <w:rsid w:val="006D2AFE"/>
    <w:rsid w:val="006E3ED7"/>
    <w:rsid w:val="006F78F0"/>
    <w:rsid w:val="00736AE4"/>
    <w:rsid w:val="00755CF9"/>
    <w:rsid w:val="007608FB"/>
    <w:rsid w:val="007D6C9B"/>
    <w:rsid w:val="0089509F"/>
    <w:rsid w:val="008A1525"/>
    <w:rsid w:val="00937D68"/>
    <w:rsid w:val="009A5ECE"/>
    <w:rsid w:val="009E630F"/>
    <w:rsid w:val="00A931EC"/>
    <w:rsid w:val="00C61E5C"/>
    <w:rsid w:val="00C62AF2"/>
    <w:rsid w:val="00CD0EB5"/>
    <w:rsid w:val="00D343D3"/>
    <w:rsid w:val="00E030A3"/>
    <w:rsid w:val="00E0430D"/>
    <w:rsid w:val="00F05136"/>
    <w:rsid w:val="00F70B81"/>
    <w:rsid w:val="00F875CF"/>
    <w:rsid w:val="00F9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8D27EF8-8AD1-4006-8894-5EB02F039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63C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berschrift1">
    <w:name w:val="heading 1"/>
    <w:basedOn w:val="Standard"/>
    <w:link w:val="berschrift1Zchn"/>
    <w:uiPriority w:val="9"/>
    <w:qFormat/>
    <w:rsid w:val="002168C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uiPriority w:val="99"/>
    <w:rsid w:val="00363CF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rsid w:val="00363CFB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363CFB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63CFB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63CFB"/>
    <w:rPr>
      <w:rFonts w:ascii="Segoe UI" w:eastAsia="Times New Roman" w:hAnsi="Segoe UI" w:cs="Segoe UI"/>
      <w:sz w:val="18"/>
      <w:szCs w:val="18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F0513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05136"/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F0513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05136"/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168C0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2168C0"/>
    <w:pPr>
      <w:spacing w:before="100" w:beforeAutospacing="1" w:after="100" w:afterAutospacing="1"/>
    </w:pPr>
  </w:style>
  <w:style w:type="paragraph" w:styleId="Listenabsatz">
    <w:name w:val="List Paragraph"/>
    <w:basedOn w:val="Standard"/>
    <w:uiPriority w:val="34"/>
    <w:qFormat/>
    <w:rsid w:val="00216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7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A.Toussaint</dc:creator>
  <cp:keywords/>
  <dc:description/>
  <cp:lastModifiedBy>Assistance Bioprojet</cp:lastModifiedBy>
  <cp:revision>5</cp:revision>
  <cp:lastPrinted>2018-05-03T14:38:00Z</cp:lastPrinted>
  <dcterms:created xsi:type="dcterms:W3CDTF">2018-05-03T14:37:00Z</dcterms:created>
  <dcterms:modified xsi:type="dcterms:W3CDTF">2018-05-22T10:10:00Z</dcterms:modified>
</cp:coreProperties>
</file>