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156" w:rsidRDefault="0031690B" w:rsidP="0031690B">
      <w:pPr>
        <w:jc w:val="center"/>
        <w:rPr>
          <w:rFonts w:ascii="Times New Roman" w:hAnsi="Times New Roman" w:cs="Times New Roman"/>
          <w:b/>
          <w:bCs/>
          <w:sz w:val="28"/>
          <w:szCs w:val="28"/>
        </w:rPr>
      </w:pPr>
      <w:r w:rsidRPr="0031690B">
        <w:rPr>
          <w:rFonts w:ascii="Times New Roman" w:hAnsi="Times New Roman" w:cs="Times New Roman"/>
          <w:b/>
          <w:bCs/>
          <w:sz w:val="28"/>
          <w:szCs w:val="28"/>
        </w:rPr>
        <w:t>R.E.S.I.L.I.E.N.C.E.</w:t>
      </w:r>
      <w:r w:rsidR="001756C7">
        <w:rPr>
          <w:rFonts w:ascii="Times New Roman" w:hAnsi="Times New Roman" w:cs="Times New Roman"/>
          <w:sz w:val="28"/>
          <w:szCs w:val="28"/>
        </w:rPr>
        <w:t xml:space="preserve">: </w:t>
      </w:r>
      <w:r w:rsidRPr="0031690B">
        <w:rPr>
          <w:rFonts w:ascii="Times New Roman" w:hAnsi="Times New Roman" w:cs="Times New Roman"/>
          <w:b/>
          <w:bCs/>
          <w:sz w:val="28"/>
          <w:szCs w:val="28"/>
        </w:rPr>
        <w:t>Risk Evaluation and Spatial Integratio</w:t>
      </w:r>
      <w:r w:rsidR="001756C7">
        <w:rPr>
          <w:rFonts w:ascii="Times New Roman" w:hAnsi="Times New Roman" w:cs="Times New Roman"/>
          <w:b/>
          <w:bCs/>
          <w:sz w:val="28"/>
          <w:szCs w:val="28"/>
        </w:rPr>
        <w:t xml:space="preserve">n for Load- and Impact-Enhanced </w:t>
      </w:r>
      <w:r w:rsidRPr="0031690B">
        <w:rPr>
          <w:rFonts w:ascii="Times New Roman" w:hAnsi="Times New Roman" w:cs="Times New Roman"/>
          <w:b/>
          <w:bCs/>
          <w:sz w:val="28"/>
          <w:szCs w:val="28"/>
        </w:rPr>
        <w:t>Networked Construction Engineering</w:t>
      </w:r>
    </w:p>
    <w:p w:rsidR="001756C7" w:rsidRDefault="001756C7" w:rsidP="001756C7">
      <w:pPr>
        <w:jc w:val="center"/>
        <w:rPr>
          <w:rFonts w:ascii="Times New Roman" w:hAnsi="Times New Roman" w:cs="Times New Roman"/>
          <w:sz w:val="24"/>
          <w:szCs w:val="24"/>
        </w:rPr>
      </w:pPr>
    </w:p>
    <w:p w:rsidR="001756C7" w:rsidRDefault="001756C7"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1756C7" w:rsidRDefault="001756C7" w:rsidP="001756C7">
      <w:pPr>
        <w:jc w:val="center"/>
        <w:rPr>
          <w:rFonts w:ascii="Times New Roman" w:hAnsi="Times New Roman" w:cs="Times New Roman"/>
          <w:sz w:val="24"/>
          <w:szCs w:val="24"/>
        </w:rPr>
      </w:pPr>
    </w:p>
    <w:p w:rsidR="001756C7" w:rsidRDefault="001756C7" w:rsidP="001756C7">
      <w:pPr>
        <w:jc w:val="center"/>
        <w:rPr>
          <w:rFonts w:ascii="Times New Roman" w:hAnsi="Times New Roman" w:cs="Times New Roman"/>
          <w:sz w:val="24"/>
          <w:szCs w:val="24"/>
        </w:rPr>
      </w:pPr>
      <w:proofErr w:type="spellStart"/>
      <w:r>
        <w:rPr>
          <w:rFonts w:ascii="Times New Roman" w:hAnsi="Times New Roman" w:cs="Times New Roman"/>
          <w:sz w:val="24"/>
          <w:szCs w:val="24"/>
        </w:rPr>
        <w:t>Becerro</w:t>
      </w:r>
      <w:proofErr w:type="spellEnd"/>
      <w:r>
        <w:rPr>
          <w:rFonts w:ascii="Times New Roman" w:hAnsi="Times New Roman" w:cs="Times New Roman"/>
          <w:sz w:val="24"/>
          <w:szCs w:val="24"/>
        </w:rPr>
        <w:t xml:space="preserve">, Rich </w:t>
      </w:r>
      <w:proofErr w:type="spellStart"/>
      <w:r>
        <w:rPr>
          <w:rFonts w:ascii="Times New Roman" w:hAnsi="Times New Roman" w:cs="Times New Roman"/>
          <w:sz w:val="24"/>
          <w:szCs w:val="24"/>
        </w:rPr>
        <w:t>Mee</w:t>
      </w:r>
      <w:proofErr w:type="spellEnd"/>
    </w:p>
    <w:p w:rsidR="001756C7" w:rsidRDefault="001756C7" w:rsidP="001756C7">
      <w:pPr>
        <w:jc w:val="center"/>
        <w:rPr>
          <w:rFonts w:ascii="Times New Roman" w:hAnsi="Times New Roman" w:cs="Times New Roman"/>
          <w:sz w:val="24"/>
          <w:szCs w:val="24"/>
        </w:rPr>
      </w:pPr>
      <w:proofErr w:type="spellStart"/>
      <w:r>
        <w:rPr>
          <w:rFonts w:ascii="Times New Roman" w:hAnsi="Times New Roman" w:cs="Times New Roman"/>
          <w:sz w:val="24"/>
          <w:szCs w:val="24"/>
        </w:rPr>
        <w:t>Dela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Calzada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Jeush</w:t>
      </w:r>
      <w:proofErr w:type="spellEnd"/>
      <w:r>
        <w:rPr>
          <w:rFonts w:ascii="Times New Roman" w:hAnsi="Times New Roman" w:cs="Times New Roman"/>
          <w:sz w:val="24"/>
          <w:szCs w:val="24"/>
        </w:rPr>
        <w:t xml:space="preserve"> Francis Rey D.</w:t>
      </w:r>
    </w:p>
    <w:p w:rsidR="001756C7" w:rsidRDefault="00EC457C" w:rsidP="001756C7">
      <w:pPr>
        <w:jc w:val="center"/>
        <w:rPr>
          <w:rFonts w:ascii="Times New Roman" w:hAnsi="Times New Roman" w:cs="Times New Roman"/>
          <w:sz w:val="24"/>
          <w:szCs w:val="24"/>
        </w:rPr>
      </w:pPr>
      <w:proofErr w:type="spellStart"/>
      <w:r>
        <w:rPr>
          <w:rFonts w:ascii="Times New Roman" w:hAnsi="Times New Roman" w:cs="Times New Roman"/>
          <w:sz w:val="24"/>
          <w:szCs w:val="24"/>
        </w:rPr>
        <w:t>Toquero</w:t>
      </w:r>
      <w:proofErr w:type="spellEnd"/>
      <w:r>
        <w:rPr>
          <w:rFonts w:ascii="Times New Roman" w:hAnsi="Times New Roman" w:cs="Times New Roman"/>
          <w:sz w:val="24"/>
          <w:szCs w:val="24"/>
        </w:rPr>
        <w:t>, Jan Marie</w:t>
      </w:r>
    </w:p>
    <w:p w:rsidR="00EC457C" w:rsidRDefault="00EC457C"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EC457C" w:rsidRDefault="00EC457C" w:rsidP="001756C7">
      <w:pPr>
        <w:jc w:val="center"/>
        <w:rPr>
          <w:rFonts w:ascii="Times New Roman" w:hAnsi="Times New Roman" w:cs="Times New Roman"/>
          <w:sz w:val="24"/>
          <w:szCs w:val="24"/>
        </w:rPr>
      </w:pPr>
    </w:p>
    <w:p w:rsidR="001756C7" w:rsidRDefault="001756C7" w:rsidP="001756C7">
      <w:pPr>
        <w:rPr>
          <w:rFonts w:ascii="Times New Roman" w:hAnsi="Times New Roman" w:cs="Times New Roman"/>
          <w:sz w:val="24"/>
          <w:szCs w:val="24"/>
        </w:rPr>
      </w:pPr>
    </w:p>
    <w:p w:rsidR="00EC457C" w:rsidRDefault="00EC457C" w:rsidP="001756C7">
      <w:pPr>
        <w:rPr>
          <w:rFonts w:ascii="Times New Roman" w:hAnsi="Times New Roman" w:cs="Times New Roman"/>
          <w:sz w:val="24"/>
          <w:szCs w:val="24"/>
        </w:rPr>
      </w:pPr>
    </w:p>
    <w:p w:rsidR="00EC457C" w:rsidRDefault="00EC457C" w:rsidP="001756C7">
      <w:pPr>
        <w:rPr>
          <w:rFonts w:ascii="Times New Roman" w:hAnsi="Times New Roman" w:cs="Times New Roman"/>
          <w:sz w:val="24"/>
          <w:szCs w:val="24"/>
        </w:rPr>
      </w:pPr>
    </w:p>
    <w:p w:rsidR="001756C7" w:rsidRDefault="001756C7" w:rsidP="001756C7">
      <w:pPr>
        <w:rPr>
          <w:rFonts w:ascii="Times New Roman" w:hAnsi="Times New Roman" w:cs="Times New Roman"/>
          <w:sz w:val="24"/>
          <w:szCs w:val="24"/>
        </w:rPr>
      </w:pPr>
    </w:p>
    <w:p w:rsidR="001756C7" w:rsidRPr="00FF0012" w:rsidRDefault="001756C7" w:rsidP="001756C7">
      <w:pPr>
        <w:spacing w:line="480" w:lineRule="auto"/>
        <w:jc w:val="center"/>
        <w:rPr>
          <w:rFonts w:ascii="Times New Roman" w:eastAsia="Times New Roman" w:hAnsi="Times New Roman" w:cs="Times New Roman"/>
          <w:color w:val="000000" w:themeColor="text1"/>
        </w:rPr>
      </w:pPr>
      <w:r>
        <w:rPr>
          <w:rFonts w:ascii="Times New Roman" w:hAnsi="Times New Roman" w:cs="Times New Roman"/>
          <w:b/>
          <w:sz w:val="24"/>
          <w:szCs w:val="24"/>
          <w:u w:val="single"/>
        </w:rPr>
        <w:t>MARK FEL JHON Y. MANLANGIT</w:t>
      </w:r>
    </w:p>
    <w:p w:rsidR="001756C7" w:rsidRDefault="001756C7" w:rsidP="001756C7">
      <w:pPr>
        <w:jc w:val="center"/>
        <w:rPr>
          <w:rFonts w:ascii="Times New Roman" w:hAnsi="Times New Roman" w:cs="Times New Roman"/>
          <w:sz w:val="24"/>
          <w:szCs w:val="24"/>
        </w:rPr>
      </w:pPr>
      <w:r>
        <w:rPr>
          <w:rFonts w:ascii="Times New Roman" w:hAnsi="Times New Roman" w:cs="Times New Roman"/>
          <w:sz w:val="24"/>
          <w:szCs w:val="24"/>
        </w:rPr>
        <w:t>Research Adviser</w:t>
      </w:r>
    </w:p>
    <w:p w:rsidR="001756C7" w:rsidRDefault="001756C7" w:rsidP="001756C7">
      <w:pPr>
        <w:jc w:val="center"/>
        <w:rPr>
          <w:rFonts w:ascii="Times New Roman" w:hAnsi="Times New Roman" w:cs="Times New Roman"/>
          <w:sz w:val="24"/>
          <w:szCs w:val="24"/>
        </w:rPr>
      </w:pPr>
    </w:p>
    <w:p w:rsidR="001756C7" w:rsidRDefault="001756C7" w:rsidP="001756C7">
      <w:pPr>
        <w:jc w:val="center"/>
        <w:rPr>
          <w:rFonts w:ascii="Times New Roman" w:hAnsi="Times New Roman" w:cs="Times New Roman"/>
          <w:sz w:val="24"/>
          <w:szCs w:val="24"/>
        </w:rPr>
      </w:pPr>
      <w:r>
        <w:rPr>
          <w:rFonts w:ascii="Times New Roman" w:hAnsi="Times New Roman" w:cs="Times New Roman"/>
          <w:sz w:val="24"/>
          <w:szCs w:val="24"/>
        </w:rPr>
        <w:t xml:space="preserve">   </w:t>
      </w:r>
      <w:r w:rsidR="00EC457C">
        <w:rPr>
          <w:rFonts w:ascii="Times New Roman" w:hAnsi="Times New Roman" w:cs="Times New Roman"/>
          <w:sz w:val="24"/>
          <w:szCs w:val="24"/>
        </w:rPr>
        <w:t>September</w:t>
      </w:r>
      <w:r>
        <w:rPr>
          <w:rFonts w:ascii="Times New Roman" w:hAnsi="Times New Roman" w:cs="Times New Roman"/>
          <w:sz w:val="24"/>
          <w:szCs w:val="24"/>
        </w:rPr>
        <w:t xml:space="preserve"> 2026</w:t>
      </w:r>
    </w:p>
    <w:p w:rsidR="00E2087A" w:rsidRDefault="00E2087A" w:rsidP="001756C7">
      <w:pPr>
        <w:jc w:val="center"/>
        <w:rPr>
          <w:rFonts w:ascii="Times New Roman" w:hAnsi="Times New Roman" w:cs="Times New Roman"/>
          <w:sz w:val="24"/>
          <w:szCs w:val="24"/>
        </w:rPr>
      </w:pPr>
    </w:p>
    <w:p w:rsidR="00E2087A" w:rsidRDefault="00E2087A" w:rsidP="001756C7">
      <w:pPr>
        <w:jc w:val="center"/>
        <w:rPr>
          <w:rFonts w:ascii="Times New Roman" w:hAnsi="Times New Roman" w:cs="Times New Roman"/>
          <w:sz w:val="24"/>
          <w:szCs w:val="24"/>
        </w:rPr>
      </w:pPr>
    </w:p>
    <w:p w:rsidR="001756C7" w:rsidRDefault="001756C7" w:rsidP="001756C7">
      <w:pPr>
        <w:jc w:val="center"/>
        <w:rPr>
          <w:rFonts w:ascii="Times New Roman" w:hAnsi="Times New Roman" w:cs="Times New Roman"/>
          <w:sz w:val="24"/>
          <w:szCs w:val="24"/>
        </w:rPr>
      </w:pPr>
    </w:p>
    <w:p w:rsidR="001756C7" w:rsidRDefault="00C86065" w:rsidP="00C86065">
      <w:pPr>
        <w:jc w:val="center"/>
        <w:rPr>
          <w:rFonts w:ascii="Times New Roman" w:hAnsi="Times New Roman" w:cs="Times New Roman"/>
          <w:b/>
          <w:sz w:val="24"/>
          <w:szCs w:val="24"/>
        </w:rPr>
      </w:pPr>
      <w:r>
        <w:rPr>
          <w:rFonts w:ascii="Times New Roman" w:hAnsi="Times New Roman" w:cs="Times New Roman"/>
          <w:b/>
          <w:sz w:val="24"/>
          <w:szCs w:val="24"/>
        </w:rPr>
        <w:lastRenderedPageBreak/>
        <w:t>INTRODUCTION</w:t>
      </w:r>
    </w:p>
    <w:p w:rsidR="001756C7" w:rsidRPr="001756C7" w:rsidRDefault="001756C7" w:rsidP="00F5625A">
      <w:pPr>
        <w:spacing w:line="480" w:lineRule="auto"/>
        <w:jc w:val="both"/>
        <w:rPr>
          <w:rFonts w:ascii="Times New Roman" w:hAnsi="Times New Roman" w:cs="Times New Roman"/>
          <w:sz w:val="24"/>
          <w:szCs w:val="24"/>
        </w:rPr>
      </w:pPr>
      <w:r>
        <w:rPr>
          <w:rFonts w:ascii="Times New Roman" w:hAnsi="Times New Roman" w:cs="Times New Roman"/>
          <w:b/>
          <w:sz w:val="24"/>
          <w:szCs w:val="24"/>
        </w:rPr>
        <w:tab/>
      </w:r>
      <w:r w:rsidRPr="001756C7">
        <w:rPr>
          <w:rFonts w:ascii="Times New Roman" w:hAnsi="Times New Roman" w:cs="Times New Roman"/>
          <w:sz w:val="24"/>
          <w:szCs w:val="24"/>
        </w:rPr>
        <w:t xml:space="preserve">Buildings are continuously exposed to natural hazards such as earthquakes and typhoons, making structural resilience an important consideration in building planning and design. Earthquakes can impose sudden ground-motion demands on structural systems, while typhoons generate strong winds that can damage roofs, walls, openings, and other building components. Because these hazards affect buildings in different ways, evaluating resilience requires consideration of both </w:t>
      </w:r>
      <w:r w:rsidRPr="001756C7">
        <w:rPr>
          <w:rFonts w:ascii="Times New Roman" w:hAnsi="Times New Roman" w:cs="Times New Roman"/>
          <w:bCs/>
          <w:sz w:val="24"/>
          <w:szCs w:val="24"/>
        </w:rPr>
        <w:t>hazard intensity and building characteristics</w:t>
      </w:r>
      <w:r w:rsidRPr="001756C7">
        <w:rPr>
          <w:rFonts w:ascii="Times New Roman" w:hAnsi="Times New Roman" w:cs="Times New Roman"/>
          <w:sz w:val="24"/>
          <w:szCs w:val="24"/>
        </w:rPr>
        <w:t xml:space="preserve">. Recent multi-hazard research emphasizes the importance of considering earthquake and wind hazards together rather than evaluating a building against only one dominant hazard. </w:t>
      </w:r>
      <w:r w:rsidR="00D73A30">
        <w:rPr>
          <w:rFonts w:ascii="Times New Roman" w:hAnsi="Times New Roman" w:cs="Times New Roman"/>
          <w:sz w:val="24"/>
          <w:szCs w:val="24"/>
        </w:rPr>
        <w:t xml:space="preserve">Studies </w:t>
      </w:r>
      <w:r w:rsidRPr="001756C7">
        <w:rPr>
          <w:rFonts w:ascii="Times New Roman" w:hAnsi="Times New Roman" w:cs="Times New Roman"/>
          <w:sz w:val="24"/>
          <w:szCs w:val="24"/>
        </w:rPr>
        <w:t xml:space="preserve">found that a building designed primarily for one hazard may not necessarily perform satisfactorily against another, demonstrating the importance of multi-hazard assessment. </w:t>
      </w:r>
    </w:p>
    <w:p w:rsidR="001756C7" w:rsidRPr="001756C7" w:rsidRDefault="001756C7" w:rsidP="00D73A30">
      <w:pPr>
        <w:spacing w:line="480" w:lineRule="auto"/>
        <w:ind w:firstLine="720"/>
        <w:jc w:val="both"/>
        <w:rPr>
          <w:rFonts w:ascii="Times New Roman" w:hAnsi="Times New Roman" w:cs="Times New Roman"/>
          <w:sz w:val="24"/>
          <w:szCs w:val="24"/>
        </w:rPr>
      </w:pPr>
      <w:r w:rsidRPr="001756C7">
        <w:rPr>
          <w:rFonts w:ascii="Times New Roman" w:hAnsi="Times New Roman" w:cs="Times New Roman"/>
          <w:sz w:val="24"/>
          <w:szCs w:val="24"/>
        </w:rPr>
        <w:t xml:space="preserve">This issue is particularly relevant in the Philippines, where buildings are exposed to frequent tropical cyclones and significant seismic hazards. Research identified building components and building typologies that are important for assessing vulnerability to extreme wind loads, noting that severe-to-complete damage has occurred particularly in non-engineered low-rise buildings. Similarly, post-event research on the </w:t>
      </w:r>
      <w:r w:rsidRPr="001756C7">
        <w:rPr>
          <w:rFonts w:ascii="Times New Roman" w:hAnsi="Times New Roman" w:cs="Times New Roman"/>
          <w:bCs/>
          <w:sz w:val="24"/>
          <w:szCs w:val="24"/>
        </w:rPr>
        <w:t>2013 Bohol earthquake</w:t>
      </w:r>
      <w:r w:rsidRPr="001756C7">
        <w:rPr>
          <w:rFonts w:ascii="Times New Roman" w:hAnsi="Times New Roman" w:cs="Times New Roman"/>
          <w:sz w:val="24"/>
          <w:szCs w:val="24"/>
        </w:rPr>
        <w:t xml:space="preserve"> used ground-motion simulations and a database of more than 25,000 damaged and undamaged structures to develop and constrain building fragility and vulnerability models</w:t>
      </w:r>
      <w:r w:rsidR="00F5625A">
        <w:rPr>
          <w:rFonts w:ascii="Times New Roman" w:hAnsi="Times New Roman" w:cs="Times New Roman"/>
          <w:sz w:val="24"/>
          <w:szCs w:val="24"/>
        </w:rPr>
        <w:t xml:space="preserve"> (Bautista et. al.</w:t>
      </w:r>
      <w:r w:rsidR="00D73A30">
        <w:rPr>
          <w:rFonts w:ascii="Times New Roman" w:hAnsi="Times New Roman" w:cs="Times New Roman"/>
          <w:sz w:val="24"/>
          <w:szCs w:val="24"/>
        </w:rPr>
        <w:t>, 2017)</w:t>
      </w:r>
      <w:r w:rsidRPr="001756C7">
        <w:rPr>
          <w:rFonts w:ascii="Times New Roman" w:hAnsi="Times New Roman" w:cs="Times New Roman"/>
          <w:sz w:val="24"/>
          <w:szCs w:val="24"/>
        </w:rPr>
        <w:t xml:space="preserve">. </w:t>
      </w:r>
    </w:p>
    <w:p w:rsidR="00D73A30" w:rsidRDefault="00D73A30" w:rsidP="00F5625A">
      <w:pPr>
        <w:spacing w:line="480" w:lineRule="auto"/>
        <w:ind w:firstLine="720"/>
        <w:jc w:val="both"/>
        <w:rPr>
          <w:rFonts w:ascii="Times New Roman" w:hAnsi="Times New Roman" w:cs="Times New Roman"/>
          <w:sz w:val="24"/>
          <w:szCs w:val="24"/>
        </w:rPr>
      </w:pPr>
      <w:r w:rsidRPr="00D73A30">
        <w:rPr>
          <w:rFonts w:ascii="Times New Roman" w:hAnsi="Times New Roman" w:cs="Times New Roman"/>
          <w:sz w:val="24"/>
          <w:szCs w:val="24"/>
        </w:rPr>
        <w:t xml:space="preserve">However, these approaches are generally </w:t>
      </w:r>
      <w:r w:rsidRPr="00D73A30">
        <w:rPr>
          <w:rFonts w:ascii="Times New Roman" w:hAnsi="Times New Roman" w:cs="Times New Roman"/>
          <w:bCs/>
          <w:sz w:val="24"/>
          <w:szCs w:val="24"/>
        </w:rPr>
        <w:t xml:space="preserve">assessment methodologies, vulnerability models, or </w:t>
      </w:r>
      <w:proofErr w:type="gramStart"/>
      <w:r w:rsidRPr="00D73A30">
        <w:rPr>
          <w:rFonts w:ascii="Times New Roman" w:hAnsi="Times New Roman" w:cs="Times New Roman"/>
          <w:bCs/>
          <w:sz w:val="24"/>
          <w:szCs w:val="24"/>
        </w:rPr>
        <w:t>specialized</w:t>
      </w:r>
      <w:proofErr w:type="gramEnd"/>
      <w:r w:rsidRPr="00D73A30">
        <w:rPr>
          <w:rFonts w:ascii="Times New Roman" w:hAnsi="Times New Roman" w:cs="Times New Roman"/>
          <w:bCs/>
          <w:sz w:val="24"/>
          <w:szCs w:val="24"/>
        </w:rPr>
        <w:t xml:space="preserve"> analytical frameworks</w:t>
      </w:r>
      <w:r w:rsidRPr="00D73A30">
        <w:rPr>
          <w:rFonts w:ascii="Times New Roman" w:hAnsi="Times New Roman" w:cs="Times New Roman"/>
          <w:sz w:val="24"/>
          <w:szCs w:val="24"/>
        </w:rPr>
        <w:t>, rather than a simplified web-based system that accepts common building/site inputs and translates the resulting risk assessment into preliminary design recommendations.</w:t>
      </w:r>
    </w:p>
    <w:p w:rsidR="00D73A30" w:rsidRDefault="00D73A30" w:rsidP="00D73A30">
      <w:pPr>
        <w:spacing w:line="480" w:lineRule="auto"/>
        <w:ind w:firstLine="720"/>
        <w:jc w:val="both"/>
        <w:rPr>
          <w:rFonts w:ascii="Times New Roman" w:hAnsi="Times New Roman" w:cs="Times New Roman"/>
          <w:sz w:val="24"/>
          <w:szCs w:val="24"/>
        </w:rPr>
      </w:pPr>
      <w:r w:rsidRPr="00D73A30">
        <w:rPr>
          <w:rFonts w:ascii="Times New Roman" w:hAnsi="Times New Roman" w:cs="Times New Roman"/>
          <w:sz w:val="24"/>
          <w:szCs w:val="24"/>
        </w:rPr>
        <w:lastRenderedPageBreak/>
        <w:t>Earthquake and typhoon vulnerability can be quantitatively assessed using established mathematical models.</w:t>
      </w:r>
      <w:r>
        <w:rPr>
          <w:rFonts w:ascii="Times New Roman" w:hAnsi="Times New Roman" w:cs="Times New Roman"/>
          <w:sz w:val="24"/>
          <w:szCs w:val="24"/>
        </w:rPr>
        <w:t xml:space="preserve"> Buildings can be measured by how fragile it is if there was an earthquake</w:t>
      </w:r>
      <w:r w:rsidRPr="00D73A30">
        <w:rPr>
          <w:rFonts w:ascii="Times New Roman" w:hAnsi="Times New Roman" w:cs="Times New Roman"/>
          <w:sz w:val="24"/>
          <w:szCs w:val="24"/>
        </w:rPr>
        <w:t>. Similarly, Philippine studies have shown that low-rise buildings are vulnerable to typhoon-induced winds and have developed building classifications and empirical wind vulnerability curves based on wind speed and observed damage. Moreover, multi-hazard assessment frameworks emphasize the importance of considering both earthquake and wind hazards, since the dominant risk can vary depending on the building’s characteristics, site conditions, and performance requirements. These studies support the use of mathematical models to evaluate and compare the resilience of buildings against multiple hazards.</w:t>
      </w:r>
    </w:p>
    <w:p w:rsidR="001756C7" w:rsidRPr="001756C7" w:rsidRDefault="001756C7" w:rsidP="00D73A30">
      <w:pPr>
        <w:spacing w:line="480" w:lineRule="auto"/>
        <w:ind w:firstLine="720"/>
        <w:jc w:val="both"/>
        <w:rPr>
          <w:rFonts w:ascii="Times New Roman" w:hAnsi="Times New Roman" w:cs="Times New Roman"/>
          <w:sz w:val="24"/>
          <w:szCs w:val="24"/>
        </w:rPr>
      </w:pPr>
      <w:r w:rsidRPr="001756C7">
        <w:rPr>
          <w:rFonts w:ascii="Times New Roman" w:hAnsi="Times New Roman" w:cs="Times New Roman"/>
          <w:sz w:val="24"/>
          <w:szCs w:val="24"/>
        </w:rPr>
        <w:t xml:space="preserve">Existing studies have developed sophisticated models for individual hazards. However, there remains a need for a </w:t>
      </w:r>
      <w:r w:rsidRPr="001756C7">
        <w:rPr>
          <w:rFonts w:ascii="Times New Roman" w:hAnsi="Times New Roman" w:cs="Times New Roman"/>
          <w:bCs/>
          <w:sz w:val="24"/>
          <w:szCs w:val="24"/>
        </w:rPr>
        <w:t>student-accessible computational framework that integrates earthquake and typhoon vulnerability into a unified building-level assessment</w:t>
      </w:r>
      <w:r w:rsidRPr="001756C7">
        <w:rPr>
          <w:rFonts w:ascii="Times New Roman" w:hAnsi="Times New Roman" w:cs="Times New Roman"/>
          <w:sz w:val="24"/>
          <w:szCs w:val="24"/>
        </w:rPr>
        <w:t>.</w:t>
      </w:r>
      <w:r w:rsidR="00D73A30">
        <w:rPr>
          <w:rFonts w:ascii="Times New Roman" w:hAnsi="Times New Roman" w:cs="Times New Roman"/>
          <w:sz w:val="24"/>
          <w:szCs w:val="24"/>
        </w:rPr>
        <w:t xml:space="preserve"> </w:t>
      </w:r>
    </w:p>
    <w:p w:rsidR="001756C7" w:rsidRDefault="001756C7" w:rsidP="0057152C">
      <w:pPr>
        <w:spacing w:line="480" w:lineRule="auto"/>
        <w:ind w:firstLine="720"/>
        <w:jc w:val="both"/>
        <w:rPr>
          <w:rFonts w:ascii="Times New Roman" w:hAnsi="Times New Roman" w:cs="Times New Roman"/>
          <w:sz w:val="24"/>
          <w:szCs w:val="24"/>
        </w:rPr>
      </w:pPr>
      <w:r w:rsidRPr="001756C7">
        <w:rPr>
          <w:rFonts w:ascii="Times New Roman" w:hAnsi="Times New Roman" w:cs="Times New Roman"/>
          <w:sz w:val="24"/>
          <w:szCs w:val="24"/>
        </w:rPr>
        <w:t xml:space="preserve">This study aims to </w:t>
      </w:r>
      <w:r w:rsidRPr="001756C7">
        <w:rPr>
          <w:rFonts w:ascii="Times New Roman" w:hAnsi="Times New Roman" w:cs="Times New Roman"/>
          <w:bCs/>
          <w:sz w:val="24"/>
          <w:szCs w:val="24"/>
        </w:rPr>
        <w:t>develop a web-based mathematical model that evaluates the earthquake and typhoon resilience of a proposed building based on selected site and building</w:t>
      </w:r>
      <w:r w:rsidRPr="001756C7">
        <w:rPr>
          <w:rFonts w:ascii="Times New Roman" w:hAnsi="Times New Roman" w:cs="Times New Roman"/>
          <w:b/>
          <w:bCs/>
          <w:sz w:val="24"/>
          <w:szCs w:val="24"/>
        </w:rPr>
        <w:t xml:space="preserve"> </w:t>
      </w:r>
      <w:r w:rsidRPr="001756C7">
        <w:rPr>
          <w:rFonts w:ascii="Times New Roman" w:hAnsi="Times New Roman" w:cs="Times New Roman"/>
          <w:bCs/>
          <w:sz w:val="24"/>
          <w:szCs w:val="24"/>
        </w:rPr>
        <w:t>characteristics and generates preliminary design recommendations based on the resulting risk assessment</w:t>
      </w:r>
      <w:r w:rsidRPr="001756C7">
        <w:rPr>
          <w:rFonts w:ascii="Times New Roman" w:hAnsi="Times New Roman" w:cs="Times New Roman"/>
          <w:sz w:val="24"/>
          <w:szCs w:val="24"/>
        </w:rPr>
        <w:t>.</w:t>
      </w:r>
      <w:r w:rsidR="0057152C">
        <w:rPr>
          <w:rFonts w:ascii="Times New Roman" w:hAnsi="Times New Roman" w:cs="Times New Roman"/>
          <w:sz w:val="24"/>
          <w:szCs w:val="24"/>
        </w:rPr>
        <w:t xml:space="preserve"> </w:t>
      </w:r>
      <w:r w:rsidRPr="001756C7">
        <w:rPr>
          <w:rFonts w:ascii="Times New Roman" w:hAnsi="Times New Roman" w:cs="Times New Roman"/>
          <w:sz w:val="24"/>
          <w:szCs w:val="24"/>
        </w:rPr>
        <w:t xml:space="preserve">Specifically, the model will integrate established mathematical approaches for </w:t>
      </w:r>
      <w:r w:rsidRPr="001756C7">
        <w:rPr>
          <w:rFonts w:ascii="Times New Roman" w:hAnsi="Times New Roman" w:cs="Times New Roman"/>
          <w:bCs/>
          <w:sz w:val="24"/>
          <w:szCs w:val="24"/>
        </w:rPr>
        <w:t>seismic hazard/vulnerability, wind or typhoon vulnerability, spatial/site risk, and multi-criteria weighting</w:t>
      </w:r>
      <w:r w:rsidRPr="001756C7">
        <w:rPr>
          <w:rFonts w:ascii="Times New Roman" w:hAnsi="Times New Roman" w:cs="Times New Roman"/>
          <w:sz w:val="24"/>
          <w:szCs w:val="24"/>
        </w:rPr>
        <w:t>. The resulting risk values will be converted into a resilience index and used by a rule-based recommendation component to identify building characteristics that may require improvement.</w:t>
      </w:r>
      <w:r w:rsidR="0057152C">
        <w:rPr>
          <w:rFonts w:ascii="Times New Roman" w:hAnsi="Times New Roman" w:cs="Times New Roman"/>
          <w:sz w:val="24"/>
          <w:szCs w:val="24"/>
        </w:rPr>
        <w:t xml:space="preserve"> </w:t>
      </w:r>
      <w:r w:rsidRPr="001756C7">
        <w:rPr>
          <w:rFonts w:ascii="Times New Roman" w:hAnsi="Times New Roman" w:cs="Times New Roman"/>
          <w:sz w:val="24"/>
          <w:szCs w:val="24"/>
        </w:rPr>
        <w:t xml:space="preserve">The system is intended as a </w:t>
      </w:r>
      <w:r w:rsidRPr="001756C7">
        <w:rPr>
          <w:rFonts w:ascii="Times New Roman" w:hAnsi="Times New Roman" w:cs="Times New Roman"/>
          <w:bCs/>
          <w:sz w:val="24"/>
          <w:szCs w:val="24"/>
        </w:rPr>
        <w:t>preliminary mathematical decision-support tool</w:t>
      </w:r>
      <w:r w:rsidRPr="001756C7">
        <w:rPr>
          <w:rFonts w:ascii="Times New Roman" w:hAnsi="Times New Roman" w:cs="Times New Roman"/>
          <w:sz w:val="24"/>
          <w:szCs w:val="24"/>
        </w:rPr>
        <w:t>, not as a replacement for professional structural engineering design or code-compliant structural calculations.</w:t>
      </w:r>
    </w:p>
    <w:p w:rsidR="00C86065" w:rsidRDefault="00C86065" w:rsidP="0057152C">
      <w:pPr>
        <w:tabs>
          <w:tab w:val="left" w:pos="990"/>
        </w:tabs>
        <w:spacing w:line="480" w:lineRule="auto"/>
        <w:jc w:val="both"/>
        <w:rPr>
          <w:rFonts w:ascii="Times New Roman" w:hAnsi="Times New Roman" w:cs="Times New Roman"/>
          <w:b/>
          <w:sz w:val="24"/>
          <w:szCs w:val="24"/>
        </w:rPr>
      </w:pPr>
    </w:p>
    <w:p w:rsidR="0057152C" w:rsidRDefault="0057152C" w:rsidP="0057152C">
      <w:pPr>
        <w:tabs>
          <w:tab w:val="left" w:pos="990"/>
        </w:tabs>
        <w:spacing w:line="480" w:lineRule="auto"/>
        <w:jc w:val="both"/>
        <w:rPr>
          <w:rFonts w:ascii="Times New Roman" w:hAnsi="Times New Roman" w:cs="Times New Roman"/>
          <w:sz w:val="24"/>
          <w:szCs w:val="24"/>
        </w:rPr>
      </w:pPr>
      <w:r>
        <w:rPr>
          <w:rFonts w:ascii="Times New Roman" w:hAnsi="Times New Roman" w:cs="Times New Roman"/>
          <w:b/>
          <w:sz w:val="24"/>
          <w:szCs w:val="24"/>
        </w:rPr>
        <w:lastRenderedPageBreak/>
        <w:tab/>
      </w:r>
      <w:r w:rsidRPr="0057152C">
        <w:rPr>
          <w:rFonts w:ascii="Times New Roman" w:hAnsi="Times New Roman" w:cs="Times New Roman"/>
          <w:sz w:val="24"/>
          <w:szCs w:val="24"/>
        </w:rPr>
        <w:t xml:space="preserve">The main objective of this study is to develop and evaluate a web-based </w:t>
      </w:r>
      <w:proofErr w:type="gramStart"/>
      <w:r w:rsidRPr="0057152C">
        <w:rPr>
          <w:rFonts w:ascii="Times New Roman" w:hAnsi="Times New Roman" w:cs="Times New Roman"/>
          <w:sz w:val="24"/>
          <w:szCs w:val="24"/>
        </w:rPr>
        <w:t>mathematical</w:t>
      </w:r>
      <w:proofErr w:type="gramEnd"/>
      <w:r w:rsidRPr="0057152C">
        <w:rPr>
          <w:rFonts w:ascii="Times New Roman" w:hAnsi="Times New Roman" w:cs="Times New Roman"/>
          <w:sz w:val="24"/>
          <w:szCs w:val="24"/>
        </w:rPr>
        <w:t xml:space="preserve"> model that assesses building resilience against earthquake and typhoon hazards and generates corresponding design recommendations. The proposed model is designed to integrate relevant site and building characteristics, apply established mathematical and computational models to determine hazard and vulnerability levels, and provide a resilience index that can guide preliminary building design decisions. Specifically, this study seeks to answer the following questions:</w:t>
      </w:r>
    </w:p>
    <w:p w:rsidR="0057152C" w:rsidRPr="0057152C" w:rsidRDefault="0057152C" w:rsidP="0057152C">
      <w:pPr>
        <w:pStyle w:val="ListParagraph"/>
        <w:numPr>
          <w:ilvl w:val="0"/>
          <w:numId w:val="1"/>
        </w:numPr>
        <w:tabs>
          <w:tab w:val="left" w:pos="990"/>
        </w:tabs>
        <w:spacing w:line="480" w:lineRule="auto"/>
        <w:jc w:val="both"/>
        <w:rPr>
          <w:rFonts w:ascii="Times New Roman" w:hAnsi="Times New Roman" w:cs="Times New Roman"/>
          <w:sz w:val="24"/>
          <w:szCs w:val="24"/>
        </w:rPr>
      </w:pPr>
      <w:r w:rsidRPr="0057152C">
        <w:rPr>
          <w:rFonts w:ascii="Times New Roman" w:hAnsi="Times New Roman" w:cs="Times New Roman"/>
          <w:bCs/>
          <w:sz w:val="24"/>
          <w:szCs w:val="24"/>
        </w:rPr>
        <w:t>What site and building characteristics are significant inputs for assessing building resilience against earthquake and typhoon hazards?</w:t>
      </w:r>
      <w:r w:rsidRPr="0057152C">
        <w:rPr>
          <w:rFonts w:ascii="Times New Roman" w:hAnsi="Times New Roman" w:cs="Times New Roman"/>
          <w:sz w:val="24"/>
          <w:szCs w:val="24"/>
        </w:rPr>
        <w:t xml:space="preserve"> </w:t>
      </w:r>
    </w:p>
    <w:p w:rsidR="0057152C" w:rsidRPr="0057152C" w:rsidRDefault="0057152C" w:rsidP="0057152C">
      <w:pPr>
        <w:pStyle w:val="ListParagraph"/>
        <w:numPr>
          <w:ilvl w:val="0"/>
          <w:numId w:val="1"/>
        </w:numPr>
        <w:tabs>
          <w:tab w:val="left" w:pos="990"/>
        </w:tabs>
        <w:spacing w:line="480" w:lineRule="auto"/>
        <w:jc w:val="both"/>
        <w:rPr>
          <w:rFonts w:ascii="Times New Roman" w:hAnsi="Times New Roman" w:cs="Times New Roman"/>
          <w:sz w:val="24"/>
          <w:szCs w:val="24"/>
        </w:rPr>
      </w:pPr>
      <w:r w:rsidRPr="0057152C">
        <w:rPr>
          <w:rFonts w:ascii="Times New Roman" w:hAnsi="Times New Roman" w:cs="Times New Roman"/>
          <w:bCs/>
          <w:sz w:val="24"/>
          <w:szCs w:val="24"/>
        </w:rPr>
        <w:t>How can established mathematical models for earthquake and typhoon hazards be integrated into a web-based mathematical model for building resilience assessment?</w:t>
      </w:r>
      <w:r w:rsidRPr="0057152C">
        <w:rPr>
          <w:rFonts w:ascii="Times New Roman" w:hAnsi="Times New Roman" w:cs="Times New Roman"/>
          <w:sz w:val="24"/>
          <w:szCs w:val="24"/>
        </w:rPr>
        <w:t xml:space="preserve"> </w:t>
      </w:r>
    </w:p>
    <w:p w:rsidR="0057152C" w:rsidRPr="0057152C" w:rsidRDefault="0057152C" w:rsidP="0057152C">
      <w:pPr>
        <w:pStyle w:val="ListParagraph"/>
        <w:numPr>
          <w:ilvl w:val="0"/>
          <w:numId w:val="1"/>
        </w:numPr>
        <w:tabs>
          <w:tab w:val="left" w:pos="990"/>
        </w:tabs>
        <w:spacing w:line="480" w:lineRule="auto"/>
        <w:jc w:val="both"/>
        <w:rPr>
          <w:rFonts w:ascii="Times New Roman" w:hAnsi="Times New Roman" w:cs="Times New Roman"/>
          <w:sz w:val="24"/>
          <w:szCs w:val="24"/>
        </w:rPr>
      </w:pPr>
      <w:r w:rsidRPr="0057152C">
        <w:rPr>
          <w:rFonts w:ascii="Times New Roman" w:hAnsi="Times New Roman" w:cs="Times New Roman"/>
          <w:bCs/>
          <w:sz w:val="24"/>
          <w:szCs w:val="24"/>
        </w:rPr>
        <w:t>How can the proposed model determine an overall Building Resilience Index from the calculated earthquake and typhoon risk factors?</w:t>
      </w:r>
      <w:r w:rsidRPr="0057152C">
        <w:rPr>
          <w:rFonts w:ascii="Times New Roman" w:hAnsi="Times New Roman" w:cs="Times New Roman"/>
          <w:sz w:val="24"/>
          <w:szCs w:val="24"/>
        </w:rPr>
        <w:t xml:space="preserve"> </w:t>
      </w:r>
    </w:p>
    <w:p w:rsidR="0057152C" w:rsidRPr="0057152C" w:rsidRDefault="0057152C" w:rsidP="0057152C">
      <w:pPr>
        <w:pStyle w:val="ListParagraph"/>
        <w:numPr>
          <w:ilvl w:val="0"/>
          <w:numId w:val="1"/>
        </w:numPr>
        <w:tabs>
          <w:tab w:val="left" w:pos="990"/>
        </w:tabs>
        <w:spacing w:line="480" w:lineRule="auto"/>
        <w:jc w:val="both"/>
        <w:rPr>
          <w:rFonts w:ascii="Times New Roman" w:hAnsi="Times New Roman" w:cs="Times New Roman"/>
          <w:sz w:val="24"/>
          <w:szCs w:val="24"/>
        </w:rPr>
      </w:pPr>
      <w:r w:rsidRPr="0057152C">
        <w:rPr>
          <w:rFonts w:ascii="Times New Roman" w:hAnsi="Times New Roman" w:cs="Times New Roman"/>
          <w:bCs/>
          <w:sz w:val="24"/>
          <w:szCs w:val="24"/>
        </w:rPr>
        <w:t>How do changes in site and building characteristics affect the resulting Building Resilience Index?</w:t>
      </w:r>
      <w:r w:rsidRPr="0057152C">
        <w:rPr>
          <w:rFonts w:ascii="Times New Roman" w:hAnsi="Times New Roman" w:cs="Times New Roman"/>
          <w:sz w:val="24"/>
          <w:szCs w:val="24"/>
        </w:rPr>
        <w:t xml:space="preserve"> </w:t>
      </w:r>
    </w:p>
    <w:p w:rsidR="0057152C" w:rsidRPr="00AA1FD9" w:rsidRDefault="0057152C" w:rsidP="0057152C">
      <w:pPr>
        <w:pStyle w:val="ListParagraph"/>
        <w:numPr>
          <w:ilvl w:val="0"/>
          <w:numId w:val="1"/>
        </w:numPr>
        <w:tabs>
          <w:tab w:val="left" w:pos="990"/>
        </w:tabs>
        <w:spacing w:line="480" w:lineRule="auto"/>
        <w:jc w:val="both"/>
        <w:rPr>
          <w:rFonts w:ascii="Times New Roman" w:hAnsi="Times New Roman" w:cs="Times New Roman"/>
          <w:sz w:val="24"/>
          <w:szCs w:val="24"/>
        </w:rPr>
      </w:pPr>
      <w:r w:rsidRPr="0057152C">
        <w:rPr>
          <w:rFonts w:ascii="Times New Roman" w:hAnsi="Times New Roman" w:cs="Times New Roman"/>
          <w:bCs/>
          <w:sz w:val="24"/>
          <w:szCs w:val="24"/>
        </w:rPr>
        <w:t xml:space="preserve">How can the calculated risk levels and resilience index </w:t>
      </w:r>
      <w:proofErr w:type="gramStart"/>
      <w:r w:rsidRPr="0057152C">
        <w:rPr>
          <w:rFonts w:ascii="Times New Roman" w:hAnsi="Times New Roman" w:cs="Times New Roman"/>
          <w:bCs/>
          <w:sz w:val="24"/>
          <w:szCs w:val="24"/>
        </w:rPr>
        <w:t>be</w:t>
      </w:r>
      <w:proofErr w:type="gramEnd"/>
      <w:r w:rsidRPr="0057152C">
        <w:rPr>
          <w:rFonts w:ascii="Times New Roman" w:hAnsi="Times New Roman" w:cs="Times New Roman"/>
          <w:bCs/>
          <w:sz w:val="24"/>
          <w:szCs w:val="24"/>
        </w:rPr>
        <w:t xml:space="preserve"> used to generate appropriate preliminary design recommendations for improving building resilience?</w:t>
      </w:r>
    </w:p>
    <w:p w:rsidR="001553B0" w:rsidRPr="001553B0" w:rsidRDefault="001553B0" w:rsidP="001553B0">
      <w:pPr>
        <w:pStyle w:val="NormalWeb"/>
        <w:spacing w:line="480" w:lineRule="auto"/>
        <w:jc w:val="both"/>
      </w:pPr>
    </w:p>
    <w:p w:rsidR="00AA1FD9" w:rsidRPr="00AA1FD9" w:rsidRDefault="00AA1FD9" w:rsidP="00AA1FD9">
      <w:pPr>
        <w:spacing w:before="100" w:beforeAutospacing="1" w:after="100" w:afterAutospacing="1" w:line="480" w:lineRule="auto"/>
        <w:jc w:val="both"/>
        <w:rPr>
          <w:rFonts w:ascii="Times New Roman" w:eastAsia="Times New Roman" w:hAnsi="Times New Roman" w:cs="Times New Roman"/>
          <w:sz w:val="24"/>
          <w:szCs w:val="24"/>
        </w:rPr>
      </w:pPr>
    </w:p>
    <w:p w:rsidR="00AA1FD9" w:rsidRPr="00AA1FD9" w:rsidRDefault="00AA1FD9" w:rsidP="00AA1FD9">
      <w:pPr>
        <w:spacing w:before="100" w:beforeAutospacing="1" w:after="100" w:afterAutospacing="1" w:line="480" w:lineRule="auto"/>
        <w:jc w:val="both"/>
        <w:rPr>
          <w:rFonts w:ascii="Times New Roman" w:eastAsia="Times New Roman" w:hAnsi="Times New Roman" w:cs="Times New Roman"/>
          <w:b/>
          <w:sz w:val="24"/>
          <w:szCs w:val="24"/>
        </w:rPr>
      </w:pPr>
    </w:p>
    <w:p w:rsidR="00AA1FD9" w:rsidRPr="00AA1FD9" w:rsidRDefault="00AA1FD9" w:rsidP="00AA1FD9">
      <w:pPr>
        <w:tabs>
          <w:tab w:val="left" w:pos="990"/>
        </w:tabs>
        <w:spacing w:line="480" w:lineRule="auto"/>
        <w:ind w:left="360"/>
        <w:jc w:val="both"/>
        <w:rPr>
          <w:rFonts w:ascii="Times New Roman" w:hAnsi="Times New Roman" w:cs="Times New Roman"/>
          <w:b/>
          <w:sz w:val="24"/>
          <w:szCs w:val="24"/>
        </w:rPr>
      </w:pPr>
    </w:p>
    <w:p w:rsidR="00070AE9" w:rsidRDefault="00070AE9" w:rsidP="00070AE9">
      <w:pPr>
        <w:tabs>
          <w:tab w:val="left" w:pos="990"/>
        </w:tabs>
        <w:spacing w:line="480" w:lineRule="auto"/>
        <w:ind w:left="360"/>
        <w:jc w:val="both"/>
        <w:rPr>
          <w:rFonts w:ascii="Times New Roman" w:hAnsi="Times New Roman" w:cs="Times New Roman"/>
          <w:sz w:val="24"/>
          <w:szCs w:val="24"/>
        </w:rPr>
      </w:pPr>
    </w:p>
    <w:p w:rsidR="00C86065" w:rsidRDefault="00C86065" w:rsidP="00C86065">
      <w:pPr>
        <w:tabs>
          <w:tab w:val="left" w:pos="990"/>
        </w:tabs>
        <w:spacing w:line="480" w:lineRule="auto"/>
        <w:ind w:left="360"/>
        <w:jc w:val="center"/>
        <w:rPr>
          <w:rFonts w:ascii="Times New Roman" w:hAnsi="Times New Roman" w:cs="Times New Roman"/>
          <w:b/>
          <w:sz w:val="24"/>
          <w:szCs w:val="24"/>
        </w:rPr>
      </w:pPr>
      <w:r>
        <w:rPr>
          <w:rFonts w:ascii="Times New Roman" w:hAnsi="Times New Roman" w:cs="Times New Roman"/>
          <w:b/>
          <w:sz w:val="24"/>
          <w:szCs w:val="24"/>
        </w:rPr>
        <w:lastRenderedPageBreak/>
        <w:t>FRAMEWORK</w:t>
      </w:r>
    </w:p>
    <w:p w:rsidR="00FA3E56" w:rsidRPr="00FA3E56" w:rsidRDefault="00FA3E56" w:rsidP="00FA3E56">
      <w:pPr>
        <w:pStyle w:val="Heading2"/>
        <w:spacing w:line="480" w:lineRule="auto"/>
        <w:jc w:val="both"/>
        <w:rPr>
          <w:rFonts w:ascii="Times New Roman" w:hAnsi="Times New Roman" w:cs="Times New Roman"/>
          <w:b w:val="0"/>
          <w:color w:val="auto"/>
          <w:sz w:val="24"/>
          <w:szCs w:val="24"/>
        </w:rPr>
      </w:pPr>
      <w:r w:rsidRPr="00FA3E56">
        <w:rPr>
          <w:rFonts w:ascii="Times New Roman" w:hAnsi="Times New Roman" w:cs="Times New Roman"/>
          <w:b w:val="0"/>
          <w:color w:val="auto"/>
          <w:sz w:val="24"/>
          <w:szCs w:val="24"/>
        </w:rPr>
        <w:t>Mathematical Concepts</w:t>
      </w:r>
    </w:p>
    <w:p w:rsidR="00FA3E56" w:rsidRPr="00FA3E56" w:rsidRDefault="00FA3E56" w:rsidP="00FA3E56">
      <w:pPr>
        <w:pStyle w:val="NormalWeb"/>
        <w:spacing w:line="480" w:lineRule="auto"/>
        <w:ind w:firstLine="720"/>
        <w:jc w:val="both"/>
      </w:pPr>
      <w:r w:rsidRPr="00FA3E56">
        <w:t xml:space="preserve">The first mathematical component of the model will be </w:t>
      </w:r>
      <w:r w:rsidRPr="00FA3E56">
        <w:rPr>
          <w:rStyle w:val="Strong"/>
          <w:b w:val="0"/>
        </w:rPr>
        <w:t>GIS buffer and spatial analysis</w:t>
      </w:r>
      <w:r w:rsidRPr="00FA3E56">
        <w:t>, which will be used to determine the proximity of the proposed building site to identified active fault lines. The geographic coordinates of the proposed building location will be compared with the location of active faults, and a spatial distance analysis will be performed. The distance obtained from the GIS analysis can be used as a site-related factor in the earthquake assessment. The purpose of this component is to identify whether the proposed building is located relatively close to an active fault and therefore requires greater consideration in the seismic assessment.</w:t>
      </w:r>
    </w:p>
    <w:p w:rsidR="00FA3E56" w:rsidRDefault="00FA3E56" w:rsidP="00FA3E56">
      <w:pPr>
        <w:pStyle w:val="NormalWeb"/>
        <w:spacing w:line="480" w:lineRule="auto"/>
        <w:ind w:firstLine="720"/>
        <w:jc w:val="both"/>
      </w:pPr>
      <w:r w:rsidRPr="00FA3E56">
        <w:t>The basic distance calculation between two geographic points may be represented as:</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ind w:firstLine="720"/>
        <w:jc w:val="both"/>
      </w:pPr>
      <w:r w:rsidRPr="00FA3E56">
        <w:t xml:space="preserve">For geographic coordinates, the </w:t>
      </w:r>
      <w:proofErr w:type="spellStart"/>
      <w:r w:rsidRPr="00FA3E56">
        <w:t>Haversine</w:t>
      </w:r>
      <w:proofErr w:type="spellEnd"/>
      <w:r w:rsidRPr="00FA3E56">
        <w:t xml:space="preserve"> equation may be used to calculate the approximate distance between two points on the Earth's surface:</w:t>
      </w:r>
    </w:p>
    <w:p w:rsidR="00FA3E56" w:rsidRPr="00FA3E56" w:rsidRDefault="00FA3E56" w:rsidP="00FA3E56">
      <w:pPr>
        <w:pStyle w:val="NormalWeb"/>
        <w:spacing w:line="480" w:lineRule="auto"/>
        <w:ind w:firstLine="720"/>
        <w:jc w:val="both"/>
      </w:pPr>
      <w:r w:rsidRPr="00FA3E56">
        <w:t xml:space="preserve">The second mathematical component will be the </w:t>
      </w:r>
      <w:r w:rsidRPr="00FA3E56">
        <w:rPr>
          <w:rStyle w:val="Strong"/>
          <w:b w:val="0"/>
        </w:rPr>
        <w:t>Peak Ground Acceleration (PGA) model</w:t>
      </w:r>
      <w:r w:rsidRPr="00FA3E56">
        <w:t>, which will represent the intensity of expected earthquake ground motion at the proposed building site. PGA will be used as the primary numerical indicator for the earthquake hazard component. The model will obtain the necessary seismic parameters, such as earthquake magnitude, distance from the seismic source, and site or soil characteristics, and use an appropriate published ground-motion relationship to estimate the expected PGA. The resulting PGA value will then be converted into a standardized earthquake hazard score so that it can be combined with the typhoon hazard score.</w:t>
      </w:r>
    </w:p>
    <w:p w:rsidR="00FA3E56" w:rsidRDefault="00FA3E56" w:rsidP="00FA3E56">
      <w:pPr>
        <w:pStyle w:val="NormalWeb"/>
        <w:spacing w:line="480" w:lineRule="auto"/>
        <w:ind w:firstLine="720"/>
        <w:jc w:val="both"/>
      </w:pPr>
      <w:r w:rsidRPr="00FA3E56">
        <w:lastRenderedPageBreak/>
        <w:t>The general form of the ground-motion relationship may be expressed as:</w:t>
      </w:r>
    </w:p>
    <w:p w:rsidR="00FA3E56" w:rsidRPr="00FA3E56" w:rsidRDefault="00FA3E56" w:rsidP="00FA3E56">
      <w:pPr>
        <w:pStyle w:val="NormalWeb"/>
        <w:spacing w:line="480" w:lineRule="auto"/>
        <w:jc w:val="center"/>
        <w:rPr>
          <w:b/>
        </w:rPr>
      </w:pPr>
      <w:r>
        <w:rPr>
          <w:b/>
        </w:rPr>
        <w:t>INPUT FORMULA HERE</w:t>
      </w:r>
    </w:p>
    <w:p w:rsidR="00FA3E56" w:rsidRDefault="00FA3E56" w:rsidP="00FA3E56">
      <w:pPr>
        <w:pStyle w:val="NormalWeb"/>
        <w:spacing w:line="480" w:lineRule="auto"/>
        <w:ind w:firstLine="720"/>
        <w:jc w:val="both"/>
      </w:pPr>
      <w:r w:rsidRPr="00FA3E56">
        <w:t>After obtaining the PGA, the value will be transformed into an earthquake hazard score:</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ind w:firstLine="720"/>
        <w:jc w:val="both"/>
      </w:pPr>
      <w:proofErr w:type="gramStart"/>
      <w:r w:rsidRPr="00FA3E56">
        <w:t>where</w:t>
      </w:r>
      <w:proofErr w:type="gramEnd"/>
      <w:r w:rsidRPr="00FA3E56">
        <w:t xml:space="preserve"> (H_E) represents the earthquake hazard score and (f(PGA)) represents the normalization or scoring function used by the study. A higher PGA value will correspond to a greater earthquake ground-motion demand and, consequently, a higher earthquake hazard score within the model.</w:t>
      </w:r>
    </w:p>
    <w:p w:rsidR="00FA3E56" w:rsidRPr="00FA3E56" w:rsidRDefault="00FA3E56" w:rsidP="00FA3E56">
      <w:pPr>
        <w:pStyle w:val="NormalWeb"/>
        <w:spacing w:line="480" w:lineRule="auto"/>
        <w:ind w:firstLine="720"/>
        <w:jc w:val="both"/>
      </w:pPr>
      <w:r w:rsidRPr="00FA3E56">
        <w:t xml:space="preserve">The third mathematical component will be the </w:t>
      </w:r>
      <w:r w:rsidRPr="00FA3E56">
        <w:rPr>
          <w:rStyle w:val="Strong"/>
          <w:b w:val="0"/>
        </w:rPr>
        <w:t>NSCP-based wind-load calculation</w:t>
      </w:r>
      <w:r w:rsidRPr="00FA3E56">
        <w:t>, which will be used to estimate the wind demand associated with typhoon conditions. The proposed building's location, height, dimensions, exposure characteristics, and other required parameters will be entered into the wind-load equations prescribed by the applicable NSCP provisions. Instead of treating the NSCP as a general numerical typhoon-risk formula, the study will use its wind provisions to calculate the wind pressure or wind load acting on the proposed building. This calculated wind demand will then be transformed into a standardized typhoon or wind hazard score.</w:t>
      </w:r>
    </w:p>
    <w:p w:rsidR="00FA3E56" w:rsidRDefault="00FA3E56" w:rsidP="00FA3E56">
      <w:pPr>
        <w:pStyle w:val="NormalWeb"/>
        <w:spacing w:line="480" w:lineRule="auto"/>
        <w:ind w:firstLine="720"/>
        <w:jc w:val="both"/>
      </w:pPr>
      <w:r w:rsidRPr="00FA3E56">
        <w:t>The basic velocity-pressure relationship can be represented by:</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jc w:val="center"/>
      </w:pPr>
    </w:p>
    <w:p w:rsidR="00FA3E56" w:rsidRPr="00FA3E56" w:rsidRDefault="00FA3E56" w:rsidP="00FA3E56">
      <w:pPr>
        <w:pStyle w:val="NormalWeb"/>
        <w:spacing w:line="480" w:lineRule="auto"/>
        <w:ind w:firstLine="720"/>
        <w:jc w:val="both"/>
      </w:pPr>
      <w:r w:rsidRPr="00FA3E56">
        <w:t>In generalized form, the resulting wind pressure may be represented as:</w:t>
      </w:r>
    </w:p>
    <w:p w:rsidR="00FA3E56" w:rsidRPr="00FA3E56" w:rsidRDefault="00FA3E56" w:rsidP="00FA3E56">
      <w:pPr>
        <w:pStyle w:val="NormalWeb"/>
        <w:spacing w:line="480" w:lineRule="auto"/>
        <w:jc w:val="center"/>
        <w:rPr>
          <w:b/>
        </w:rPr>
      </w:pPr>
      <w:r>
        <w:rPr>
          <w:b/>
        </w:rPr>
        <w:lastRenderedPageBreak/>
        <w:t>INPUT FORMULA HERE</w:t>
      </w:r>
    </w:p>
    <w:p w:rsidR="00FA3E56" w:rsidRDefault="00FA3E56" w:rsidP="00FA3E56">
      <w:pPr>
        <w:pStyle w:val="NormalWeb"/>
        <w:spacing w:line="480" w:lineRule="auto"/>
      </w:pPr>
    </w:p>
    <w:p w:rsidR="00FA3E56" w:rsidRDefault="00FA3E56" w:rsidP="00FA3E56">
      <w:pPr>
        <w:pStyle w:val="NormalWeb"/>
        <w:spacing w:line="480" w:lineRule="auto"/>
        <w:ind w:firstLine="720"/>
        <w:jc w:val="both"/>
      </w:pPr>
      <w:r w:rsidRPr="00FA3E56">
        <w:t>The calculated wind pressure or wind demand will then be converted into a typhoon hazard score:</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ind w:firstLine="720"/>
        <w:jc w:val="both"/>
      </w:pPr>
      <w:r w:rsidRPr="00FA3E56">
        <w:t xml:space="preserve">The fourth mathematical component will be the </w:t>
      </w:r>
      <w:r w:rsidRPr="00FA3E56">
        <w:rPr>
          <w:rStyle w:val="Strong"/>
          <w:b w:val="0"/>
        </w:rPr>
        <w:t>overall risk and resilience calculation</w:t>
      </w:r>
      <w:r w:rsidRPr="00FA3E56">
        <w:t>. After the earthquake hazard score and typhoon hazard score have been obtained, the two hazard components will be combined using a weighted scoring method. This will allow the model to represent the contribution of both earthquake and typhoon-related hazards in a single overall assessment. The weights assigned to the earthquake and typhoon components will be established before implementation and must be justified by the researchers using the study's methodology and supporting literature.</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jc w:val="both"/>
      </w:pPr>
      <w:r w:rsidRPr="00FA3E56">
        <w:t>If the study chooses to express the result as a resilience index rather than a risk score, the normalized result may be represented as:</w:t>
      </w:r>
    </w:p>
    <w:p w:rsidR="00FA3E56" w:rsidRDefault="00FA3E56" w:rsidP="00FA3E56">
      <w:pPr>
        <w:pStyle w:val="NormalWeb"/>
        <w:spacing w:line="480" w:lineRule="auto"/>
        <w:jc w:val="center"/>
        <w:rPr>
          <w:b/>
        </w:rPr>
      </w:pPr>
      <w:r>
        <w:rPr>
          <w:b/>
        </w:rPr>
        <w:t>INPUT FORMULA HERE</w:t>
      </w:r>
    </w:p>
    <w:p w:rsidR="00FA3E56" w:rsidRPr="00FA3E56" w:rsidRDefault="00FA3E56" w:rsidP="00FA3E56">
      <w:pPr>
        <w:pStyle w:val="Heading2"/>
        <w:spacing w:line="480" w:lineRule="auto"/>
        <w:jc w:val="both"/>
        <w:rPr>
          <w:rFonts w:ascii="Times New Roman" w:hAnsi="Times New Roman" w:cs="Times New Roman"/>
          <w:b w:val="0"/>
          <w:color w:val="auto"/>
          <w:sz w:val="24"/>
          <w:szCs w:val="24"/>
        </w:rPr>
      </w:pPr>
      <w:r w:rsidRPr="00FA3E56">
        <w:rPr>
          <w:rFonts w:ascii="Times New Roman" w:hAnsi="Times New Roman" w:cs="Times New Roman"/>
          <w:b w:val="0"/>
          <w:color w:val="auto"/>
          <w:sz w:val="24"/>
          <w:szCs w:val="24"/>
        </w:rPr>
        <w:t>Data Collection</w:t>
      </w:r>
    </w:p>
    <w:p w:rsidR="00FA3E56" w:rsidRPr="00FA3E56" w:rsidRDefault="00FA3E56" w:rsidP="00FA3E56">
      <w:pPr>
        <w:pStyle w:val="NormalWeb"/>
        <w:spacing w:line="480" w:lineRule="auto"/>
        <w:ind w:firstLine="720"/>
        <w:jc w:val="both"/>
      </w:pPr>
      <w:r w:rsidRPr="00FA3E56">
        <w:t xml:space="preserve">The data collection phase will involve gathering the site, geographic, seismic, wind, and building characteristics required by the mathematical model. Site information will include the location of the proposed building, lot dimensions, soil type, and distance or proximity to active fault lines. Geographic coordinates will be used for GIS processing and </w:t>
      </w:r>
      <w:r w:rsidRPr="00FA3E56">
        <w:lastRenderedPageBreak/>
        <w:t>fault-proximity analysis. Active fault information will be obtained from appropriate authoritative geological or seismic sources, while soil information will be collected from available site or geotechnical information appropriate to the study.</w:t>
      </w:r>
    </w:p>
    <w:p w:rsidR="00FA3E56" w:rsidRPr="00FA3E56" w:rsidRDefault="00FA3E56" w:rsidP="00FA3E56">
      <w:pPr>
        <w:pStyle w:val="NormalWeb"/>
        <w:spacing w:line="480" w:lineRule="auto"/>
        <w:jc w:val="both"/>
      </w:pPr>
      <w:r w:rsidRPr="00FA3E56">
        <w:t>Building information will include the proposed building height, number of floors, building dimensions, building configuration, building materials, and roof type. These variables will be converted into the numerical or categorical formats required by the mathematical model. The building characteristics will be particularly important in the wind assessment because building geometry, height, exposure, and other characteristics influence the calculated wind demand.</w:t>
      </w:r>
    </w:p>
    <w:p w:rsidR="00FA3E56" w:rsidRPr="00FA3E56" w:rsidRDefault="00FA3E56" w:rsidP="00FA3E56">
      <w:pPr>
        <w:pStyle w:val="NormalWeb"/>
        <w:spacing w:line="480" w:lineRule="auto"/>
        <w:jc w:val="both"/>
      </w:pPr>
      <w:r w:rsidRPr="00FA3E56">
        <w:t>Seismic and wind-related data will also be collected for the mathematical calculations. Earthquake-related information will include the parameters required by the selected PGA or ground-motion model, while wind-related information will include the design wind speed and the applicable site and building parameters required by the NSCP wind provisions. The collected data will be checked for consistency, completeness, units, and compatibility with the equations used in the model.</w:t>
      </w:r>
    </w:p>
    <w:p w:rsidR="00FA3E56" w:rsidRPr="00FA3E56" w:rsidRDefault="00FA3E56" w:rsidP="00FA3E56">
      <w:pPr>
        <w:pStyle w:val="Heading2"/>
        <w:spacing w:line="480" w:lineRule="auto"/>
        <w:jc w:val="both"/>
        <w:rPr>
          <w:rFonts w:ascii="Times New Roman" w:hAnsi="Times New Roman" w:cs="Times New Roman"/>
          <w:b w:val="0"/>
          <w:color w:val="auto"/>
          <w:sz w:val="24"/>
          <w:szCs w:val="24"/>
        </w:rPr>
      </w:pPr>
      <w:r w:rsidRPr="00FA3E56">
        <w:rPr>
          <w:rFonts w:ascii="Times New Roman" w:hAnsi="Times New Roman" w:cs="Times New Roman"/>
          <w:b w:val="0"/>
          <w:color w:val="auto"/>
          <w:sz w:val="24"/>
          <w:szCs w:val="24"/>
        </w:rPr>
        <w:t>Exploratory and Spatial Data Analysis</w:t>
      </w:r>
    </w:p>
    <w:p w:rsidR="00FA3E56" w:rsidRPr="00FA3E56" w:rsidRDefault="00FA3E56" w:rsidP="00FA3E56">
      <w:pPr>
        <w:pStyle w:val="NormalWeb"/>
        <w:spacing w:line="480" w:lineRule="auto"/>
        <w:ind w:firstLine="720"/>
        <w:jc w:val="both"/>
      </w:pPr>
      <w:r w:rsidRPr="00FA3E56">
        <w:t xml:space="preserve">Before the mathematical calculations are performed, the collected data will undergo exploratory and spatial analysis. Numerical variables such as building height, lot dimensions, </w:t>
      </w:r>
      <w:proofErr w:type="gramStart"/>
      <w:r w:rsidRPr="00FA3E56">
        <w:t>distance</w:t>
      </w:r>
      <w:proofErr w:type="gramEnd"/>
      <w:r w:rsidRPr="00FA3E56">
        <w:t xml:space="preserve"> from faults, PGA, and calculated wind pressure will be examined to identify missing, inconsistent, or unrealistic values. Categorical variables such as soil type, building material, roof type, and building configuration will be encoded into appropriate numerical categories where required by the model.</w:t>
      </w:r>
    </w:p>
    <w:p w:rsidR="00FA3E56" w:rsidRPr="00FA3E56" w:rsidRDefault="00FA3E56" w:rsidP="00FA3E56">
      <w:pPr>
        <w:pStyle w:val="NormalWeb"/>
        <w:spacing w:line="480" w:lineRule="auto"/>
        <w:jc w:val="both"/>
      </w:pPr>
      <w:r w:rsidRPr="00FA3E56">
        <w:lastRenderedPageBreak/>
        <w:t>GIS analysis will also be conducted to visualize the relationship between the proposed building location and active fault lines. The spatial analysis will provide a geographical representation of fault proximity and will support the earthquake-risk assessment. The purpose of this stage is to ensure that the data entering the mathematical model are properly prepared and that the spatial relationships relevant to the study are correctly represented.</w:t>
      </w:r>
    </w:p>
    <w:p w:rsidR="00FA3E56" w:rsidRPr="00FA3E56" w:rsidRDefault="00FA3E56" w:rsidP="00FA3E56">
      <w:pPr>
        <w:pStyle w:val="Heading2"/>
        <w:spacing w:line="480" w:lineRule="auto"/>
        <w:jc w:val="both"/>
        <w:rPr>
          <w:rFonts w:ascii="Times New Roman" w:hAnsi="Times New Roman" w:cs="Times New Roman"/>
          <w:b w:val="0"/>
          <w:color w:val="auto"/>
          <w:sz w:val="24"/>
          <w:szCs w:val="24"/>
        </w:rPr>
      </w:pPr>
      <w:r w:rsidRPr="00FA3E56">
        <w:rPr>
          <w:rFonts w:ascii="Times New Roman" w:hAnsi="Times New Roman" w:cs="Times New Roman"/>
          <w:b w:val="0"/>
          <w:color w:val="auto"/>
          <w:sz w:val="24"/>
          <w:szCs w:val="24"/>
        </w:rPr>
        <w:t>Model Development</w:t>
      </w:r>
    </w:p>
    <w:p w:rsidR="00FA3E56" w:rsidRPr="00FA3E56" w:rsidRDefault="00FA3E56" w:rsidP="00FA3E56">
      <w:pPr>
        <w:pStyle w:val="NormalWeb"/>
        <w:spacing w:line="480" w:lineRule="auto"/>
        <w:ind w:firstLine="720"/>
        <w:jc w:val="both"/>
      </w:pPr>
      <w:r w:rsidRPr="00FA3E56">
        <w:t>The model development phase will integrate the different mathematical components into one web-based system. The first stage of the computational process will receive the proposed building location and perform GIS-based fault-proximity analysis. The resulting spatial information will then be used together with the required seismic parameters for the PGA calculation.</w:t>
      </w:r>
    </w:p>
    <w:p w:rsidR="00FA3E56" w:rsidRPr="00FA3E56" w:rsidRDefault="00FA3E56" w:rsidP="00FA3E56">
      <w:pPr>
        <w:pStyle w:val="NormalWeb"/>
        <w:spacing w:line="480" w:lineRule="auto"/>
        <w:ind w:firstLine="720"/>
        <w:jc w:val="both"/>
      </w:pPr>
      <w:r w:rsidRPr="00FA3E56">
        <w:t>The earthquake component will calculate the expected PGA using the selected ground-motion relationship. The calculated PGA will then be converted into an earthquake hazard score using the predefined normalization or scoring function. The resulting earthquake score will become one of the two primary hazard indicators used by the overall model.</w:t>
      </w:r>
    </w:p>
    <w:p w:rsidR="00FA3E56" w:rsidRPr="00FA3E56" w:rsidRDefault="00FA3E56" w:rsidP="00FA3E56">
      <w:pPr>
        <w:pStyle w:val="NormalWeb"/>
        <w:spacing w:line="480" w:lineRule="auto"/>
        <w:ind w:firstLine="720"/>
        <w:jc w:val="both"/>
      </w:pPr>
      <w:r w:rsidRPr="00FA3E56">
        <w:t>The wind or typhoon component will process the building and site characteristics required by the NSCP wind provisions. The system will calculate the applicable wind pressure or wind demand and subsequently transform the result into a standardized typhoon hazard score. This will provide the second primary hazard indicator of the model.</w:t>
      </w:r>
    </w:p>
    <w:p w:rsidR="00FA3E56" w:rsidRDefault="00FA3E56" w:rsidP="00FA3E56">
      <w:pPr>
        <w:pStyle w:val="NormalWeb"/>
        <w:spacing w:line="480" w:lineRule="auto"/>
        <w:ind w:firstLine="720"/>
        <w:jc w:val="both"/>
      </w:pPr>
      <w:r w:rsidRPr="00FA3E56">
        <w:t>The two hazard scores will then be combined using the weighted risk equation:</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jc w:val="both"/>
      </w:pPr>
      <w:r w:rsidRPr="00FA3E56">
        <w:lastRenderedPageBreak/>
        <w:t>The resulting overall score will be classified according to predetermined risk or resilience categories established by the researchers. The classification thresholds must be defined before evaluation and supported by the methodology rather than being arbitrarily selected after observing the results.</w:t>
      </w:r>
    </w:p>
    <w:p w:rsidR="00FA3E56" w:rsidRDefault="00FA3E56" w:rsidP="00FA3E56">
      <w:pPr>
        <w:pStyle w:val="NormalWeb"/>
        <w:spacing w:line="480" w:lineRule="auto"/>
        <w:jc w:val="both"/>
      </w:pPr>
      <w:r w:rsidRPr="00FA3E56">
        <w:t xml:space="preserve">The final computational stage will be the </w:t>
      </w:r>
      <w:r w:rsidRPr="00FA3E56">
        <w:rPr>
          <w:rStyle w:val="Strong"/>
          <w:b w:val="0"/>
        </w:rPr>
        <w:t>recommendation generation process</w:t>
      </w:r>
      <w:r w:rsidRPr="00FA3E56">
        <w:t>. The system will analyze the calculated earthquake and typhoon hazard levels together with the relevant proposed building characteristics. Based on predefined decision rules, the system will identify building characteristics that may reduce exposure or improve preliminary resilience to the assessed hazards. The recommendation process can be represented generally as:</w:t>
      </w:r>
    </w:p>
    <w:p w:rsidR="00FA3E56" w:rsidRPr="00FA3E56" w:rsidRDefault="00FA3E56" w:rsidP="00FA3E56">
      <w:pPr>
        <w:pStyle w:val="NormalWeb"/>
        <w:spacing w:line="480" w:lineRule="auto"/>
        <w:jc w:val="center"/>
        <w:rPr>
          <w:b/>
        </w:rPr>
      </w:pPr>
      <w:r>
        <w:rPr>
          <w:b/>
        </w:rPr>
        <w:t>INPUT FORMULA HERE</w:t>
      </w:r>
    </w:p>
    <w:p w:rsidR="00FA3E56" w:rsidRPr="00FA3E56" w:rsidRDefault="00FA3E56" w:rsidP="00FA3E56">
      <w:pPr>
        <w:pStyle w:val="NormalWeb"/>
        <w:spacing w:line="480" w:lineRule="auto"/>
        <w:jc w:val="both"/>
      </w:pPr>
      <w:proofErr w:type="gramStart"/>
      <w:r w:rsidRPr="00FA3E56">
        <w:t>where</w:t>
      </w:r>
      <w:proofErr w:type="gramEnd"/>
      <w:r w:rsidRPr="00FA3E56">
        <w:t xml:space="preserve"> (H_E) is the earthquake hazard score, (H_T) is the typhoon hazard score, and (B) represents the proposed building characteristics. For example, a relatively high wind hazard score may trigger a recommendation to consider building characteristics associated with improved wind resistance, while a relatively high earthquake hazard score may trigger recommendations to consider appropriate seismic-resistant building characteristics. These outputs will remain preliminary recommendations and will not replace professional architectural or structural engineering design.</w:t>
      </w:r>
    </w:p>
    <w:p w:rsidR="00FA3E56" w:rsidRPr="00FA3E56" w:rsidRDefault="00FA3E56" w:rsidP="00FA3E56">
      <w:pPr>
        <w:pStyle w:val="Heading2"/>
        <w:spacing w:line="480" w:lineRule="auto"/>
        <w:jc w:val="both"/>
        <w:rPr>
          <w:rFonts w:ascii="Times New Roman" w:hAnsi="Times New Roman" w:cs="Times New Roman"/>
          <w:b w:val="0"/>
          <w:color w:val="auto"/>
          <w:sz w:val="24"/>
          <w:szCs w:val="24"/>
        </w:rPr>
      </w:pPr>
      <w:r w:rsidRPr="00FA3E56">
        <w:rPr>
          <w:rFonts w:ascii="Times New Roman" w:hAnsi="Times New Roman" w:cs="Times New Roman"/>
          <w:b w:val="0"/>
          <w:color w:val="auto"/>
          <w:sz w:val="24"/>
          <w:szCs w:val="24"/>
        </w:rPr>
        <w:t>Model Validation and Evaluation</w:t>
      </w:r>
    </w:p>
    <w:p w:rsidR="00FA3E56" w:rsidRPr="00FA3E56" w:rsidRDefault="00FA3E56" w:rsidP="00FA3E56">
      <w:pPr>
        <w:pStyle w:val="NormalWeb"/>
        <w:spacing w:line="480" w:lineRule="auto"/>
        <w:ind w:firstLine="720"/>
        <w:jc w:val="both"/>
      </w:pPr>
      <w:r w:rsidRPr="00FA3E56">
        <w:t xml:space="preserve">The developed mathematical model will undergo validation to determine whether its calculations are correctly implemented and whether the outputs behave consistently with the mathematical relationships used. Individual calculations for distance, PGA, wind pressure, hazard scores, and the overall risk or resilience index will be tested using known or manually </w:t>
      </w:r>
      <w:r w:rsidRPr="00FA3E56">
        <w:lastRenderedPageBreak/>
        <w:t>calculated sample cases. The web-based implementation will then be checked against these reference calculations to determine whether the system produces the expected results.</w:t>
      </w:r>
    </w:p>
    <w:p w:rsidR="00FA3E56" w:rsidRPr="00FA3E56" w:rsidRDefault="00FA3E56" w:rsidP="00FA3E56">
      <w:pPr>
        <w:pStyle w:val="NormalWeb"/>
        <w:spacing w:line="480" w:lineRule="auto"/>
        <w:ind w:firstLine="720"/>
        <w:jc w:val="both"/>
      </w:pPr>
      <w:r w:rsidRPr="00FA3E56">
        <w:t>Sensitivity analysis will also be performed to determine how changes in the input variables affect the resulting hazard and resilience scores. Selected variables, such as distance from the seismic source, soil condition, building height, building dimensions, and wind speed, may be varied while keeping other variables constant. The resulting changes in the model outputs will be examined to determine whether the system responds logically to changes in important input parameters.</w:t>
      </w:r>
    </w:p>
    <w:p w:rsidR="00FA3E56" w:rsidRPr="00FA3E56" w:rsidRDefault="00FA3E56" w:rsidP="00FA3E56">
      <w:pPr>
        <w:pStyle w:val="NormalWeb"/>
        <w:spacing w:line="480" w:lineRule="auto"/>
        <w:ind w:firstLine="720"/>
        <w:jc w:val="both"/>
      </w:pPr>
      <w:r w:rsidRPr="00FA3E56">
        <w:t>The recommendation component will also be evaluated by testing different combinations of earthquake and typhoon hazard levels and observing whether the system produces the corresponding predefined recommendations. The web-based system itself will additionally be evaluated in terms of functionality, calculation accuracy, consistency of outputs, and usability. These evaluations will help determine whether the proposed mathematical model operates according to its intended computational framework.</w:t>
      </w:r>
    </w:p>
    <w:p w:rsidR="00C86065" w:rsidRPr="00C86065" w:rsidRDefault="00C86065" w:rsidP="00C86065">
      <w:pPr>
        <w:tabs>
          <w:tab w:val="left" w:pos="990"/>
        </w:tabs>
        <w:spacing w:line="480" w:lineRule="auto"/>
        <w:ind w:left="360"/>
        <w:jc w:val="both"/>
        <w:rPr>
          <w:rFonts w:ascii="Times New Roman" w:hAnsi="Times New Roman" w:cs="Times New Roman"/>
          <w:b/>
          <w:sz w:val="24"/>
          <w:szCs w:val="24"/>
        </w:rPr>
      </w:pPr>
      <w:bookmarkStart w:id="0" w:name="_GoBack"/>
      <w:bookmarkEnd w:id="0"/>
    </w:p>
    <w:sectPr w:rsidR="00C86065" w:rsidRPr="00C86065" w:rsidSect="00AA1FD9">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847707"/>
    <w:multiLevelType w:val="hybridMultilevel"/>
    <w:tmpl w:val="51048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AC1931"/>
    <w:multiLevelType w:val="hybridMultilevel"/>
    <w:tmpl w:val="647A0740"/>
    <w:lvl w:ilvl="0" w:tplc="7A56C3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90B"/>
    <w:rsid w:val="00070AE9"/>
    <w:rsid w:val="001553B0"/>
    <w:rsid w:val="001756C7"/>
    <w:rsid w:val="001933D3"/>
    <w:rsid w:val="002318CC"/>
    <w:rsid w:val="002D0A03"/>
    <w:rsid w:val="0031690B"/>
    <w:rsid w:val="00320F72"/>
    <w:rsid w:val="003455D8"/>
    <w:rsid w:val="00561FEF"/>
    <w:rsid w:val="0057152C"/>
    <w:rsid w:val="005E11DC"/>
    <w:rsid w:val="00742E7C"/>
    <w:rsid w:val="00847A6D"/>
    <w:rsid w:val="00877156"/>
    <w:rsid w:val="00A87284"/>
    <w:rsid w:val="00AA1FD9"/>
    <w:rsid w:val="00C86065"/>
    <w:rsid w:val="00D13E0A"/>
    <w:rsid w:val="00D73A30"/>
    <w:rsid w:val="00E2087A"/>
    <w:rsid w:val="00EC457C"/>
    <w:rsid w:val="00F5625A"/>
    <w:rsid w:val="00FA3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A3E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A3E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A1F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52C"/>
    <w:pPr>
      <w:ind w:left="720"/>
      <w:contextualSpacing/>
    </w:pPr>
  </w:style>
  <w:style w:type="character" w:customStyle="1" w:styleId="Heading3Char">
    <w:name w:val="Heading 3 Char"/>
    <w:basedOn w:val="DefaultParagraphFont"/>
    <w:link w:val="Heading3"/>
    <w:uiPriority w:val="9"/>
    <w:rsid w:val="00AA1FD9"/>
    <w:rPr>
      <w:rFonts w:ascii="Times New Roman" w:eastAsia="Times New Roman" w:hAnsi="Times New Roman" w:cs="Times New Roman"/>
      <w:b/>
      <w:bCs/>
      <w:sz w:val="27"/>
      <w:szCs w:val="27"/>
    </w:rPr>
  </w:style>
  <w:style w:type="paragraph" w:styleId="NormalWeb">
    <w:name w:val="Normal (Web)"/>
    <w:basedOn w:val="Normal"/>
    <w:uiPriority w:val="99"/>
    <w:unhideWhenUsed/>
    <w:rsid w:val="00AA1F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1FD9"/>
    <w:rPr>
      <w:b/>
      <w:bCs/>
    </w:rPr>
  </w:style>
  <w:style w:type="character" w:customStyle="1" w:styleId="katex">
    <w:name w:val="katex"/>
    <w:basedOn w:val="DefaultParagraphFont"/>
    <w:rsid w:val="001553B0"/>
  </w:style>
  <w:style w:type="character" w:customStyle="1" w:styleId="Heading1Char">
    <w:name w:val="Heading 1 Char"/>
    <w:basedOn w:val="DefaultParagraphFont"/>
    <w:link w:val="Heading1"/>
    <w:uiPriority w:val="9"/>
    <w:rsid w:val="00FA3E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A3E5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A3E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A3E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A1F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52C"/>
    <w:pPr>
      <w:ind w:left="720"/>
      <w:contextualSpacing/>
    </w:pPr>
  </w:style>
  <w:style w:type="character" w:customStyle="1" w:styleId="Heading3Char">
    <w:name w:val="Heading 3 Char"/>
    <w:basedOn w:val="DefaultParagraphFont"/>
    <w:link w:val="Heading3"/>
    <w:uiPriority w:val="9"/>
    <w:rsid w:val="00AA1FD9"/>
    <w:rPr>
      <w:rFonts w:ascii="Times New Roman" w:eastAsia="Times New Roman" w:hAnsi="Times New Roman" w:cs="Times New Roman"/>
      <w:b/>
      <w:bCs/>
      <w:sz w:val="27"/>
      <w:szCs w:val="27"/>
    </w:rPr>
  </w:style>
  <w:style w:type="paragraph" w:styleId="NormalWeb">
    <w:name w:val="Normal (Web)"/>
    <w:basedOn w:val="Normal"/>
    <w:uiPriority w:val="99"/>
    <w:unhideWhenUsed/>
    <w:rsid w:val="00AA1F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1FD9"/>
    <w:rPr>
      <w:b/>
      <w:bCs/>
    </w:rPr>
  </w:style>
  <w:style w:type="character" w:customStyle="1" w:styleId="katex">
    <w:name w:val="katex"/>
    <w:basedOn w:val="DefaultParagraphFont"/>
    <w:rsid w:val="001553B0"/>
  </w:style>
  <w:style w:type="character" w:customStyle="1" w:styleId="Heading1Char">
    <w:name w:val="Heading 1 Char"/>
    <w:basedOn w:val="DefaultParagraphFont"/>
    <w:link w:val="Heading1"/>
    <w:uiPriority w:val="9"/>
    <w:rsid w:val="00FA3E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A3E5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35556">
      <w:bodyDiv w:val="1"/>
      <w:marLeft w:val="0"/>
      <w:marRight w:val="0"/>
      <w:marTop w:val="0"/>
      <w:marBottom w:val="0"/>
      <w:divBdr>
        <w:top w:val="none" w:sz="0" w:space="0" w:color="auto"/>
        <w:left w:val="none" w:sz="0" w:space="0" w:color="auto"/>
        <w:bottom w:val="none" w:sz="0" w:space="0" w:color="auto"/>
        <w:right w:val="none" w:sz="0" w:space="0" w:color="auto"/>
      </w:divBdr>
    </w:div>
    <w:div w:id="178979260">
      <w:bodyDiv w:val="1"/>
      <w:marLeft w:val="0"/>
      <w:marRight w:val="0"/>
      <w:marTop w:val="0"/>
      <w:marBottom w:val="0"/>
      <w:divBdr>
        <w:top w:val="none" w:sz="0" w:space="0" w:color="auto"/>
        <w:left w:val="none" w:sz="0" w:space="0" w:color="auto"/>
        <w:bottom w:val="none" w:sz="0" w:space="0" w:color="auto"/>
        <w:right w:val="none" w:sz="0" w:space="0" w:color="auto"/>
      </w:divBdr>
    </w:div>
    <w:div w:id="417823893">
      <w:bodyDiv w:val="1"/>
      <w:marLeft w:val="0"/>
      <w:marRight w:val="0"/>
      <w:marTop w:val="0"/>
      <w:marBottom w:val="0"/>
      <w:divBdr>
        <w:top w:val="none" w:sz="0" w:space="0" w:color="auto"/>
        <w:left w:val="none" w:sz="0" w:space="0" w:color="auto"/>
        <w:bottom w:val="none" w:sz="0" w:space="0" w:color="auto"/>
        <w:right w:val="none" w:sz="0" w:space="0" w:color="auto"/>
      </w:divBdr>
    </w:div>
    <w:div w:id="429205724">
      <w:bodyDiv w:val="1"/>
      <w:marLeft w:val="0"/>
      <w:marRight w:val="0"/>
      <w:marTop w:val="0"/>
      <w:marBottom w:val="0"/>
      <w:divBdr>
        <w:top w:val="none" w:sz="0" w:space="0" w:color="auto"/>
        <w:left w:val="none" w:sz="0" w:space="0" w:color="auto"/>
        <w:bottom w:val="none" w:sz="0" w:space="0" w:color="auto"/>
        <w:right w:val="none" w:sz="0" w:space="0" w:color="auto"/>
      </w:divBdr>
    </w:div>
    <w:div w:id="1137066866">
      <w:bodyDiv w:val="1"/>
      <w:marLeft w:val="0"/>
      <w:marRight w:val="0"/>
      <w:marTop w:val="0"/>
      <w:marBottom w:val="0"/>
      <w:divBdr>
        <w:top w:val="none" w:sz="0" w:space="0" w:color="auto"/>
        <w:left w:val="none" w:sz="0" w:space="0" w:color="auto"/>
        <w:bottom w:val="none" w:sz="0" w:space="0" w:color="auto"/>
        <w:right w:val="none" w:sz="0" w:space="0" w:color="auto"/>
      </w:divBdr>
    </w:div>
    <w:div w:id="1190489843">
      <w:bodyDiv w:val="1"/>
      <w:marLeft w:val="0"/>
      <w:marRight w:val="0"/>
      <w:marTop w:val="0"/>
      <w:marBottom w:val="0"/>
      <w:divBdr>
        <w:top w:val="none" w:sz="0" w:space="0" w:color="auto"/>
        <w:left w:val="none" w:sz="0" w:space="0" w:color="auto"/>
        <w:bottom w:val="none" w:sz="0" w:space="0" w:color="auto"/>
        <w:right w:val="none" w:sz="0" w:space="0" w:color="auto"/>
      </w:divBdr>
    </w:div>
    <w:div w:id="1241014905">
      <w:bodyDiv w:val="1"/>
      <w:marLeft w:val="0"/>
      <w:marRight w:val="0"/>
      <w:marTop w:val="0"/>
      <w:marBottom w:val="0"/>
      <w:divBdr>
        <w:top w:val="none" w:sz="0" w:space="0" w:color="auto"/>
        <w:left w:val="none" w:sz="0" w:space="0" w:color="auto"/>
        <w:bottom w:val="none" w:sz="0" w:space="0" w:color="auto"/>
        <w:right w:val="none" w:sz="0" w:space="0" w:color="auto"/>
      </w:divBdr>
    </w:div>
    <w:div w:id="1295213088">
      <w:bodyDiv w:val="1"/>
      <w:marLeft w:val="0"/>
      <w:marRight w:val="0"/>
      <w:marTop w:val="0"/>
      <w:marBottom w:val="0"/>
      <w:divBdr>
        <w:top w:val="none" w:sz="0" w:space="0" w:color="auto"/>
        <w:left w:val="none" w:sz="0" w:space="0" w:color="auto"/>
        <w:bottom w:val="none" w:sz="0" w:space="0" w:color="auto"/>
        <w:right w:val="none" w:sz="0" w:space="0" w:color="auto"/>
      </w:divBdr>
    </w:div>
    <w:div w:id="1337537009">
      <w:bodyDiv w:val="1"/>
      <w:marLeft w:val="0"/>
      <w:marRight w:val="0"/>
      <w:marTop w:val="0"/>
      <w:marBottom w:val="0"/>
      <w:divBdr>
        <w:top w:val="none" w:sz="0" w:space="0" w:color="auto"/>
        <w:left w:val="none" w:sz="0" w:space="0" w:color="auto"/>
        <w:bottom w:val="none" w:sz="0" w:space="0" w:color="auto"/>
        <w:right w:val="none" w:sz="0" w:space="0" w:color="auto"/>
      </w:divBdr>
    </w:div>
    <w:div w:id="1403790013">
      <w:bodyDiv w:val="1"/>
      <w:marLeft w:val="0"/>
      <w:marRight w:val="0"/>
      <w:marTop w:val="0"/>
      <w:marBottom w:val="0"/>
      <w:divBdr>
        <w:top w:val="none" w:sz="0" w:space="0" w:color="auto"/>
        <w:left w:val="none" w:sz="0" w:space="0" w:color="auto"/>
        <w:bottom w:val="none" w:sz="0" w:space="0" w:color="auto"/>
        <w:right w:val="none" w:sz="0" w:space="0" w:color="auto"/>
      </w:divBdr>
    </w:div>
    <w:div w:id="1457410607">
      <w:bodyDiv w:val="1"/>
      <w:marLeft w:val="0"/>
      <w:marRight w:val="0"/>
      <w:marTop w:val="0"/>
      <w:marBottom w:val="0"/>
      <w:divBdr>
        <w:top w:val="none" w:sz="0" w:space="0" w:color="auto"/>
        <w:left w:val="none" w:sz="0" w:space="0" w:color="auto"/>
        <w:bottom w:val="none" w:sz="0" w:space="0" w:color="auto"/>
        <w:right w:val="none" w:sz="0" w:space="0" w:color="auto"/>
      </w:divBdr>
    </w:div>
    <w:div w:id="1499425481">
      <w:bodyDiv w:val="1"/>
      <w:marLeft w:val="0"/>
      <w:marRight w:val="0"/>
      <w:marTop w:val="0"/>
      <w:marBottom w:val="0"/>
      <w:divBdr>
        <w:top w:val="none" w:sz="0" w:space="0" w:color="auto"/>
        <w:left w:val="none" w:sz="0" w:space="0" w:color="auto"/>
        <w:bottom w:val="none" w:sz="0" w:space="0" w:color="auto"/>
        <w:right w:val="none" w:sz="0" w:space="0" w:color="auto"/>
      </w:divBdr>
    </w:div>
    <w:div w:id="1696882862">
      <w:bodyDiv w:val="1"/>
      <w:marLeft w:val="0"/>
      <w:marRight w:val="0"/>
      <w:marTop w:val="0"/>
      <w:marBottom w:val="0"/>
      <w:divBdr>
        <w:top w:val="none" w:sz="0" w:space="0" w:color="auto"/>
        <w:left w:val="none" w:sz="0" w:space="0" w:color="auto"/>
        <w:bottom w:val="none" w:sz="0" w:space="0" w:color="auto"/>
        <w:right w:val="none" w:sz="0" w:space="0" w:color="auto"/>
      </w:divBdr>
    </w:div>
    <w:div w:id="1965772464">
      <w:bodyDiv w:val="1"/>
      <w:marLeft w:val="0"/>
      <w:marRight w:val="0"/>
      <w:marTop w:val="0"/>
      <w:marBottom w:val="0"/>
      <w:divBdr>
        <w:top w:val="none" w:sz="0" w:space="0" w:color="auto"/>
        <w:left w:val="none" w:sz="0" w:space="0" w:color="auto"/>
        <w:bottom w:val="none" w:sz="0" w:space="0" w:color="auto"/>
        <w:right w:val="none" w:sz="0" w:space="0" w:color="auto"/>
      </w:divBdr>
    </w:div>
    <w:div w:id="2025787271">
      <w:bodyDiv w:val="1"/>
      <w:marLeft w:val="0"/>
      <w:marRight w:val="0"/>
      <w:marTop w:val="0"/>
      <w:marBottom w:val="0"/>
      <w:divBdr>
        <w:top w:val="none" w:sz="0" w:space="0" w:color="auto"/>
        <w:left w:val="none" w:sz="0" w:space="0" w:color="auto"/>
        <w:bottom w:val="none" w:sz="0" w:space="0" w:color="auto"/>
        <w:right w:val="none" w:sz="0" w:space="0" w:color="auto"/>
      </w:divBdr>
    </w:div>
    <w:div w:id="213412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20280</TotalTime>
  <Pages>11</Pages>
  <Words>2331</Words>
  <Characters>13292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2026-09-02T13:27:00Z</cp:lastPrinted>
  <dcterms:created xsi:type="dcterms:W3CDTF">2026-08-31T05:32:00Z</dcterms:created>
  <dcterms:modified xsi:type="dcterms:W3CDTF">2026-09-16T15:48:00Z</dcterms:modified>
</cp:coreProperties>
</file>