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34" w:rsidRDefault="00853A34" w:rsidP="00853A34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</w:p>
    <w:p w:rsidR="00853A34" w:rsidRPr="00852307" w:rsidRDefault="00853A34" w:rsidP="00853A34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  <w:r w:rsidRPr="00852307">
        <w:rPr>
          <w:rFonts w:ascii="Times New Roman" w:eastAsia="Times New Roman" w:hAnsi="Times New Roman" w:cs="Times New Roman"/>
          <w:bCs/>
          <w:sz w:val="72"/>
          <w:szCs w:val="72"/>
        </w:rPr>
        <w:t>MetroScope Gen 3.5</w:t>
      </w:r>
    </w:p>
    <w:p w:rsidR="00853A34" w:rsidRPr="00852307" w:rsidRDefault="00853A34" w:rsidP="00853A34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72"/>
          <w:szCs w:val="72"/>
        </w:rPr>
      </w:pPr>
      <w:r w:rsidRPr="00852307">
        <w:rPr>
          <w:rFonts w:ascii="Times New Roman" w:eastAsia="Times New Roman" w:hAnsi="Times New Roman" w:cs="Times New Roman"/>
          <w:bCs/>
          <w:sz w:val="72"/>
          <w:szCs w:val="72"/>
        </w:rPr>
        <w:t>Technical Reference</w:t>
      </w: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A34" w:rsidRDefault="00853A34" w:rsidP="00853A34">
      <w:pPr>
        <w:spacing w:after="0"/>
        <w:rPr>
          <w:sz w:val="32"/>
          <w:szCs w:val="32"/>
        </w:rPr>
      </w:pPr>
    </w:p>
    <w:p w:rsidR="00853A34" w:rsidRPr="00852307" w:rsidRDefault="00853A34" w:rsidP="00853A34">
      <w:pPr>
        <w:spacing w:after="0"/>
        <w:rPr>
          <w:sz w:val="40"/>
          <w:szCs w:val="40"/>
        </w:rPr>
      </w:pPr>
      <w:r w:rsidRPr="00852307">
        <w:rPr>
          <w:sz w:val="40"/>
          <w:szCs w:val="40"/>
        </w:rPr>
        <w:t>Who this is for:</w:t>
      </w:r>
    </w:p>
    <w:p w:rsidR="00853A34" w:rsidRDefault="00853A34" w:rsidP="00853A34">
      <w:pPr>
        <w:rPr>
          <w:sz w:val="28"/>
          <w:szCs w:val="28"/>
        </w:rPr>
      </w:pPr>
      <w:r w:rsidRPr="00852307">
        <w:rPr>
          <w:sz w:val="28"/>
          <w:szCs w:val="28"/>
        </w:rPr>
        <w:t xml:space="preserve">Anyone programming MetroScope, but should also be useful for anyone preparing input data, running scenarios, or analyzing output data.   </w:t>
      </w:r>
    </w:p>
    <w:p w:rsidR="00853A34" w:rsidRPr="00852307" w:rsidRDefault="00853A34" w:rsidP="00853A34">
      <w:pPr>
        <w:rPr>
          <w:sz w:val="28"/>
          <w:szCs w:val="28"/>
        </w:rPr>
      </w:pPr>
      <w:r w:rsidRPr="00852307">
        <w:rPr>
          <w:sz w:val="28"/>
          <w:szCs w:val="28"/>
        </w:rPr>
        <w:t>Additional documentation can be found in “MetroScope Operator Guide” and “MetroScope Theory and Practice”.</w:t>
      </w:r>
    </w:p>
    <w:p w:rsidR="00853A34" w:rsidRDefault="00853A34" w:rsidP="00853A34">
      <w:pPr>
        <w:rPr>
          <w:sz w:val="24"/>
          <w:szCs w:val="24"/>
        </w:rPr>
      </w:pPr>
    </w:p>
    <w:p w:rsidR="00853A34" w:rsidRDefault="00853A34" w:rsidP="00853A34">
      <w:pPr>
        <w:rPr>
          <w:sz w:val="24"/>
          <w:szCs w:val="24"/>
        </w:rPr>
      </w:pPr>
    </w:p>
    <w:p w:rsidR="00853A34" w:rsidRPr="00852307" w:rsidRDefault="00853A34" w:rsidP="00853A34">
      <w:pPr>
        <w:spacing w:after="0"/>
        <w:rPr>
          <w:sz w:val="40"/>
          <w:szCs w:val="40"/>
        </w:rPr>
      </w:pPr>
      <w:r w:rsidRPr="00852307">
        <w:rPr>
          <w:sz w:val="40"/>
          <w:szCs w:val="40"/>
        </w:rPr>
        <w:t>Contents:</w:t>
      </w:r>
    </w:p>
    <w:p w:rsidR="00853A34" w:rsidRPr="0057431C" w:rsidRDefault="00853A34" w:rsidP="00853A34">
      <w:pPr>
        <w:pStyle w:val="ListParagraph"/>
        <w:numPr>
          <w:ilvl w:val="0"/>
          <w:numId w:val="1"/>
        </w:numPr>
        <w:spacing w:after="0"/>
        <w:ind w:hanging="630"/>
        <w:rPr>
          <w:sz w:val="32"/>
          <w:szCs w:val="32"/>
        </w:rPr>
      </w:pPr>
      <w:r w:rsidRPr="0057431C">
        <w:rPr>
          <w:sz w:val="32"/>
          <w:szCs w:val="32"/>
        </w:rPr>
        <w:t>Overview</w:t>
      </w:r>
    </w:p>
    <w:p w:rsidR="00853A34" w:rsidRPr="0057431C" w:rsidRDefault="00853A34" w:rsidP="00853A34">
      <w:pPr>
        <w:pStyle w:val="ListParagraph"/>
        <w:numPr>
          <w:ilvl w:val="0"/>
          <w:numId w:val="1"/>
        </w:numPr>
        <w:spacing w:after="0"/>
        <w:ind w:hanging="630"/>
        <w:rPr>
          <w:sz w:val="32"/>
          <w:szCs w:val="32"/>
        </w:rPr>
      </w:pPr>
      <w:r w:rsidRPr="0057431C">
        <w:rPr>
          <w:sz w:val="32"/>
          <w:szCs w:val="32"/>
        </w:rPr>
        <w:t>Files and Directories</w:t>
      </w:r>
    </w:p>
    <w:p w:rsidR="00853A34" w:rsidRPr="0057431C" w:rsidRDefault="00853A34" w:rsidP="00853A34">
      <w:pPr>
        <w:pStyle w:val="ListParagraph"/>
        <w:numPr>
          <w:ilvl w:val="0"/>
          <w:numId w:val="1"/>
        </w:numPr>
        <w:spacing w:after="0"/>
        <w:ind w:hanging="630"/>
        <w:rPr>
          <w:sz w:val="32"/>
          <w:szCs w:val="32"/>
        </w:rPr>
      </w:pPr>
      <w:r w:rsidRPr="0057431C">
        <w:rPr>
          <w:sz w:val="32"/>
          <w:szCs w:val="32"/>
        </w:rPr>
        <w:t>Glossary</w:t>
      </w:r>
      <w:r>
        <w:rPr>
          <w:sz w:val="32"/>
          <w:szCs w:val="32"/>
        </w:rPr>
        <w:t xml:space="preserve"> / Lookup Tables</w:t>
      </w:r>
    </w:p>
    <w:p w:rsidR="00853A34" w:rsidRPr="0057431C" w:rsidRDefault="00853A34" w:rsidP="00853A34">
      <w:pPr>
        <w:pStyle w:val="ListParagraph"/>
        <w:numPr>
          <w:ilvl w:val="0"/>
          <w:numId w:val="1"/>
        </w:numPr>
        <w:spacing w:after="0"/>
        <w:ind w:hanging="630"/>
        <w:rPr>
          <w:sz w:val="32"/>
          <w:szCs w:val="32"/>
        </w:rPr>
      </w:pPr>
      <w:r w:rsidRPr="0057431C">
        <w:rPr>
          <w:sz w:val="32"/>
          <w:szCs w:val="32"/>
        </w:rPr>
        <w:t>Detailed Table Definitions</w:t>
      </w:r>
    </w:p>
    <w:p w:rsidR="00853A34" w:rsidRPr="0057431C" w:rsidRDefault="00853A34" w:rsidP="00853A34">
      <w:pPr>
        <w:pStyle w:val="ListParagraph"/>
        <w:numPr>
          <w:ilvl w:val="0"/>
          <w:numId w:val="1"/>
        </w:numPr>
        <w:spacing w:after="0"/>
        <w:ind w:hanging="630"/>
        <w:rPr>
          <w:sz w:val="32"/>
          <w:szCs w:val="32"/>
        </w:rPr>
      </w:pPr>
      <w:r w:rsidRPr="0057431C">
        <w:rPr>
          <w:sz w:val="32"/>
          <w:szCs w:val="32"/>
        </w:rPr>
        <w:t>Detailed Function Definitions</w:t>
      </w:r>
    </w:p>
    <w:p w:rsidR="00853A34" w:rsidRDefault="00853A34" w:rsidP="00853A34">
      <w:pPr>
        <w:spacing w:after="0"/>
        <w:rPr>
          <w:sz w:val="32"/>
          <w:szCs w:val="32"/>
        </w:rPr>
      </w:pPr>
    </w:p>
    <w:p w:rsidR="00853A34" w:rsidRDefault="00853A34" w:rsidP="00853A34">
      <w:pPr>
        <w:rPr>
          <w:sz w:val="24"/>
          <w:szCs w:val="24"/>
        </w:rPr>
      </w:pP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A34" w:rsidRDefault="00853A34" w:rsidP="00853A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 4/24/2013</w:t>
      </w:r>
      <w:r w:rsidRPr="00335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Jim Cser, Metro Economic and Land Use Forecasting</w:t>
      </w:r>
    </w:p>
    <w:p w:rsidR="00335823" w:rsidRDefault="00335823" w:rsidP="002B48F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58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MetroScope </w:t>
      </w:r>
      <w:r w:rsidR="00CE7C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Gen 3.5      </w:t>
      </w:r>
      <w:r w:rsidR="00B85C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  <w:r w:rsidR="00B606EA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8E2E14" w:rsidRDefault="00CE7C0E" w:rsidP="0033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Draft </w:t>
      </w:r>
      <w:r w:rsidR="00853A3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74956">
        <w:rPr>
          <w:rFonts w:ascii="Times New Roman" w:eastAsia="Times New Roman" w:hAnsi="Times New Roman" w:cs="Times New Roman"/>
          <w:sz w:val="24"/>
          <w:szCs w:val="24"/>
        </w:rPr>
        <w:t>2</w:t>
      </w:r>
      <w:r w:rsidR="00853A3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/2013</w:t>
      </w:r>
      <w:r w:rsidR="00335823" w:rsidRPr="00335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82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Jim Cser, Metro Economic and Land Use Forecasting</w:t>
      </w:r>
    </w:p>
    <w:p w:rsidR="00335823" w:rsidRPr="00335823" w:rsidRDefault="00335823" w:rsidP="00335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47071" w:rsidRDefault="00947071" w:rsidP="00ED33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47071" w:rsidRPr="007661D1" w:rsidRDefault="00011C7A" w:rsidP="0094707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How MetroScope </w:t>
      </w:r>
      <w:r w:rsidR="00C61D2E">
        <w:rPr>
          <w:sz w:val="32"/>
          <w:szCs w:val="32"/>
        </w:rPr>
        <w:t>w</w:t>
      </w:r>
      <w:r>
        <w:rPr>
          <w:sz w:val="32"/>
          <w:szCs w:val="32"/>
        </w:rPr>
        <w:t>orks</w:t>
      </w:r>
    </w:p>
    <w:p w:rsidR="006155E2" w:rsidRPr="00E84C80" w:rsidRDefault="006155E2" w:rsidP="00947071">
      <w:pPr>
        <w:spacing w:after="0"/>
        <w:rPr>
          <w:b/>
          <w:sz w:val="24"/>
          <w:szCs w:val="24"/>
        </w:rPr>
      </w:pPr>
    </w:p>
    <w:p w:rsidR="006155E2" w:rsidRDefault="006155E2" w:rsidP="006155E2">
      <w:pPr>
        <w:rPr>
          <w:sz w:val="24"/>
          <w:szCs w:val="24"/>
        </w:rPr>
      </w:pPr>
      <w:r>
        <w:rPr>
          <w:sz w:val="24"/>
          <w:szCs w:val="24"/>
        </w:rPr>
        <w:t xml:space="preserve">MetroScope is an integrated set of econometric, land use, and transport models, currently used at Metro for producing regional forecasts and evaluating a </w:t>
      </w:r>
      <w:r w:rsidR="00224F65">
        <w:rPr>
          <w:sz w:val="24"/>
          <w:szCs w:val="24"/>
        </w:rPr>
        <w:t xml:space="preserve">wide </w:t>
      </w:r>
      <w:r>
        <w:rPr>
          <w:sz w:val="24"/>
          <w:szCs w:val="24"/>
        </w:rPr>
        <w:t xml:space="preserve">range of policy scenarios.  </w:t>
      </w:r>
    </w:p>
    <w:p w:rsidR="006155E2" w:rsidRDefault="006155E2" w:rsidP="006155E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each forecast year, regional control totals for demographics, households</w:t>
      </w:r>
      <w:r w:rsidR="00011C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employment are provided from an econometric model.  The land use model takes these forecasts and distributes them spatially over the </w:t>
      </w:r>
      <w:r w:rsidR="00011C7A">
        <w:rPr>
          <w:sz w:val="24"/>
          <w:szCs w:val="24"/>
        </w:rPr>
        <w:t xml:space="preserve">buildable land capacity for the entire </w:t>
      </w:r>
      <w:r>
        <w:rPr>
          <w:sz w:val="24"/>
          <w:szCs w:val="24"/>
        </w:rPr>
        <w:t>region</w:t>
      </w:r>
      <w:r w:rsidR="00011C7A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A transport module is integrated with the land use model, so that the household and employment distributions can respond to changes in travel time.  </w:t>
      </w:r>
    </w:p>
    <w:p w:rsidR="006155E2" w:rsidRDefault="006155E2" w:rsidP="006155E2">
      <w:pPr>
        <w:spacing w:after="0"/>
        <w:rPr>
          <w:sz w:val="24"/>
          <w:szCs w:val="24"/>
        </w:rPr>
      </w:pPr>
    </w:p>
    <w:p w:rsidR="00011C7A" w:rsidRDefault="006155E2" w:rsidP="006155E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both the core residential and non-residential modules, market forces determine both the supply and demand for real estate</w:t>
      </w:r>
      <w:r w:rsidR="001706CA">
        <w:rPr>
          <w:sz w:val="24"/>
          <w:szCs w:val="24"/>
        </w:rPr>
        <w:t>.  If supply is less than demand, then prices are increased to make it more profitable to build. Likewise, if supply is greater</w:t>
      </w:r>
      <w:r w:rsidR="001706CA" w:rsidRPr="001706CA">
        <w:rPr>
          <w:sz w:val="24"/>
          <w:szCs w:val="24"/>
        </w:rPr>
        <w:t xml:space="preserve"> </w:t>
      </w:r>
      <w:r w:rsidR="001706CA">
        <w:rPr>
          <w:sz w:val="24"/>
          <w:szCs w:val="24"/>
        </w:rPr>
        <w:t>than demand, prices are decreased</w:t>
      </w:r>
      <w:r w:rsidR="00011C7A">
        <w:rPr>
          <w:sz w:val="24"/>
          <w:szCs w:val="24"/>
        </w:rPr>
        <w:t xml:space="preserve"> to make housing more affordable</w:t>
      </w:r>
      <w:r w:rsidR="001706CA">
        <w:rPr>
          <w:sz w:val="24"/>
          <w:szCs w:val="24"/>
        </w:rPr>
        <w:t xml:space="preserve">.  The modules are </w:t>
      </w:r>
      <w:r w:rsidR="00011C7A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iterated until </w:t>
      </w:r>
      <w:r w:rsidR="00077B70">
        <w:rPr>
          <w:sz w:val="24"/>
          <w:szCs w:val="24"/>
        </w:rPr>
        <w:t>supply matches demand</w:t>
      </w:r>
      <w:r>
        <w:rPr>
          <w:sz w:val="24"/>
          <w:szCs w:val="24"/>
        </w:rPr>
        <w:t xml:space="preserve">.  </w:t>
      </w:r>
      <w:r w:rsidR="00077B70">
        <w:rPr>
          <w:sz w:val="24"/>
          <w:szCs w:val="24"/>
        </w:rPr>
        <w:t xml:space="preserve"> </w:t>
      </w:r>
    </w:p>
    <w:p w:rsidR="00693622" w:rsidRDefault="00693622" w:rsidP="00693622">
      <w:pPr>
        <w:spacing w:after="0"/>
        <w:rPr>
          <w:sz w:val="24"/>
          <w:szCs w:val="24"/>
        </w:rPr>
      </w:pPr>
    </w:p>
    <w:p w:rsidR="00693622" w:rsidRDefault="00693622" w:rsidP="00693622">
      <w:pPr>
        <w:spacing w:after="0"/>
        <w:rPr>
          <w:sz w:val="24"/>
          <w:szCs w:val="24"/>
        </w:rPr>
      </w:pPr>
    </w:p>
    <w:p w:rsidR="00403D4E" w:rsidRPr="00B10716" w:rsidRDefault="003F0522" w:rsidP="00B107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2078990"/>
            <wp:effectExtent l="19050" t="0" r="0" b="0"/>
            <wp:docPr id="4" name="Picture 1" descr="J:\cser\Mscope_Gen35_R\DOX_release_2013-04-24\modules_diagram_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ser\Mscope_Gen35_R\DOX_release_2013-04-24\modules_diagram_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4E" w:rsidRDefault="00403D4E" w:rsidP="00403D4E">
      <w:pPr>
        <w:spacing w:after="0"/>
        <w:rPr>
          <w:sz w:val="32"/>
          <w:szCs w:val="32"/>
        </w:rPr>
      </w:pPr>
    </w:p>
    <w:p w:rsidR="00A546F5" w:rsidRDefault="00A546F5" w:rsidP="00B10716">
      <w:pPr>
        <w:spacing w:after="120"/>
        <w:rPr>
          <w:sz w:val="20"/>
          <w:szCs w:val="20"/>
        </w:rPr>
      </w:pPr>
    </w:p>
    <w:p w:rsidR="00A546F5" w:rsidRDefault="00A546F5" w:rsidP="00B10716">
      <w:pPr>
        <w:spacing w:after="120"/>
        <w:rPr>
          <w:sz w:val="20"/>
          <w:szCs w:val="20"/>
        </w:rPr>
      </w:pPr>
    </w:p>
    <w:p w:rsidR="00B10716" w:rsidRDefault="00B10716" w:rsidP="00B10716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 w:rsidR="00867A5D">
        <w:rPr>
          <w:sz w:val="32"/>
          <w:szCs w:val="32"/>
        </w:rPr>
        <w:t>etroScope m</w:t>
      </w:r>
      <w:r>
        <w:rPr>
          <w:sz w:val="32"/>
          <w:szCs w:val="32"/>
        </w:rPr>
        <w:t>ain directory:</w:t>
      </w:r>
    </w:p>
    <w:p w:rsidR="00403D4E" w:rsidRDefault="00403D4E" w:rsidP="00B107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required R scripts and data table are contained in the </w:t>
      </w:r>
      <w:r w:rsidR="00B10716">
        <w:rPr>
          <w:sz w:val="24"/>
          <w:szCs w:val="24"/>
        </w:rPr>
        <w:t>main</w:t>
      </w:r>
      <w:r>
        <w:rPr>
          <w:sz w:val="24"/>
          <w:szCs w:val="24"/>
        </w:rPr>
        <w:t xml:space="preserve"> directory, “metroscope_3-5-0”.</w:t>
      </w:r>
      <w:r w:rsidRPr="009116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This directory can be copied to any other place on your machine , but make sure to edit the pathname in your scripts.  </w:t>
      </w:r>
    </w:p>
    <w:p w:rsidR="00B10716" w:rsidRDefault="00B10716" w:rsidP="00B10716">
      <w:pPr>
        <w:spacing w:after="0"/>
        <w:rPr>
          <w:sz w:val="24"/>
          <w:szCs w:val="24"/>
        </w:rPr>
      </w:pPr>
    </w:p>
    <w:p w:rsidR="00403D4E" w:rsidRDefault="00403D4E" w:rsidP="00403D4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2206565" cy="1513993"/>
            <wp:effectExtent l="19050" t="0" r="3235" b="0"/>
            <wp:docPr id="1" name="Picture 1" descr="J:\cser\Mscope_Gen35_R\DOX_debug02\top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ser\Mscope_Gen35_R\DOX_debug02\toplev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44" cy="151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4E" w:rsidRDefault="00403D4E" w:rsidP="00403D4E">
      <w:pPr>
        <w:spacing w:after="120"/>
        <w:rPr>
          <w:sz w:val="24"/>
          <w:szCs w:val="24"/>
        </w:rPr>
      </w:pPr>
    </w:p>
    <w:p w:rsidR="00403D4E" w:rsidRPr="00926407" w:rsidRDefault="00403D4E" w:rsidP="00403D4E">
      <w:pPr>
        <w:spacing w:after="120"/>
        <w:rPr>
          <w:sz w:val="24"/>
          <w:szCs w:val="24"/>
        </w:rPr>
      </w:pPr>
      <w:r>
        <w:rPr>
          <w:sz w:val="24"/>
          <w:szCs w:val="24"/>
        </w:rPr>
        <w:t>“MetroScope_G35_main.R” is the main control script.  More details can be found in “MetroScope Operators Guide”.</w:t>
      </w:r>
    </w:p>
    <w:p w:rsidR="00403D4E" w:rsidRDefault="00403D4E" w:rsidP="00403D4E">
      <w:pPr>
        <w:spacing w:after="120"/>
        <w:rPr>
          <w:sz w:val="24"/>
          <w:szCs w:val="24"/>
        </w:rPr>
      </w:pPr>
    </w:p>
    <w:p w:rsidR="00365D59" w:rsidRDefault="00365D59" w:rsidP="00403D4E">
      <w:pPr>
        <w:spacing w:after="120"/>
        <w:rPr>
          <w:sz w:val="24"/>
          <w:szCs w:val="24"/>
        </w:rPr>
      </w:pPr>
    </w:p>
    <w:p w:rsidR="00403D4E" w:rsidRDefault="00C61D2E" w:rsidP="00403D4E">
      <w:pPr>
        <w:spacing w:after="120"/>
        <w:rPr>
          <w:sz w:val="32"/>
          <w:szCs w:val="32"/>
        </w:rPr>
      </w:pPr>
      <w:r>
        <w:rPr>
          <w:sz w:val="32"/>
          <w:szCs w:val="32"/>
        </w:rPr>
        <w:t>R m</w:t>
      </w:r>
      <w:r w:rsidR="00403D4E">
        <w:rPr>
          <w:sz w:val="32"/>
          <w:szCs w:val="32"/>
        </w:rPr>
        <w:t xml:space="preserve">odules </w:t>
      </w:r>
      <w:r w:rsidR="00867A5D">
        <w:rPr>
          <w:sz w:val="32"/>
          <w:szCs w:val="32"/>
        </w:rPr>
        <w:t xml:space="preserve"> sub-</w:t>
      </w:r>
      <w:r w:rsidR="00403D4E">
        <w:rPr>
          <w:sz w:val="32"/>
          <w:szCs w:val="32"/>
        </w:rPr>
        <w:t>directory:</w:t>
      </w:r>
    </w:p>
    <w:p w:rsidR="00403D4E" w:rsidRDefault="00403D4E" w:rsidP="00403D4E">
      <w:pPr>
        <w:spacing w:after="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6D0879">
        <w:rPr>
          <w:b/>
          <w:sz w:val="24"/>
          <w:szCs w:val="24"/>
        </w:rPr>
        <w:t>R_modules</w:t>
      </w:r>
      <w:proofErr w:type="spellEnd"/>
      <w:r w:rsidRPr="007315FE"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contains the R scripts for the MetroScope core functio</w:t>
      </w:r>
      <w:r w:rsidR="001966E3">
        <w:rPr>
          <w:sz w:val="24"/>
          <w:szCs w:val="24"/>
        </w:rPr>
        <w:t>ns.  See the Detailed Function Definitions section in this document for more details.</w:t>
      </w:r>
    </w:p>
    <w:p w:rsidR="00403D4E" w:rsidRDefault="00403D4E" w:rsidP="00403D4E">
      <w:pPr>
        <w:spacing w:after="0"/>
        <w:rPr>
          <w:sz w:val="20"/>
          <w:szCs w:val="20"/>
        </w:rPr>
      </w:pPr>
    </w:p>
    <w:p w:rsidR="001966E3" w:rsidRDefault="001966E3" w:rsidP="00403D4E">
      <w:pPr>
        <w:spacing w:after="0"/>
        <w:rPr>
          <w:sz w:val="20"/>
          <w:szCs w:val="20"/>
        </w:rPr>
      </w:pPr>
    </w:p>
    <w:p w:rsidR="00403D4E" w:rsidRPr="000D6778" w:rsidRDefault="00403D4E" w:rsidP="00403D4E">
      <w:pPr>
        <w:spacing w:after="0"/>
      </w:pPr>
      <w:r w:rsidRPr="000D6778">
        <w:t>G35_globals.R  =  global constants</w:t>
      </w:r>
    </w:p>
    <w:p w:rsidR="00403D4E" w:rsidRPr="000D6778" w:rsidRDefault="00403D4E" w:rsidP="00403D4E">
      <w:pPr>
        <w:spacing w:after="0"/>
      </w:pPr>
      <w:r w:rsidRPr="000D6778">
        <w:t>G35_IO_functions.R  =  data input/output functions</w:t>
      </w:r>
    </w:p>
    <w:p w:rsidR="00403D4E" w:rsidRPr="000D6778" w:rsidRDefault="00403D4E" w:rsidP="00403D4E">
      <w:pPr>
        <w:spacing w:after="0"/>
      </w:pPr>
      <w:r w:rsidRPr="000D6778">
        <w:t>G35_nonres_demand_module.R  =  non-residential demand module</w:t>
      </w:r>
    </w:p>
    <w:p w:rsidR="00403D4E" w:rsidRPr="000D6778" w:rsidRDefault="00403D4E" w:rsidP="00403D4E">
      <w:pPr>
        <w:spacing w:after="0"/>
      </w:pPr>
      <w:r w:rsidRPr="000D6778">
        <w:t>G35_nonres_demand_calcNonresAccess.R  =  non-residential demand travel access</w:t>
      </w:r>
    </w:p>
    <w:p w:rsidR="00403D4E" w:rsidRPr="000D6778" w:rsidRDefault="00403D4E" w:rsidP="00403D4E">
      <w:pPr>
        <w:spacing w:after="0"/>
      </w:pPr>
      <w:r w:rsidRPr="000D6778">
        <w:t>G35_nonres_supply_module.R  =  non-residential supply module</w:t>
      </w:r>
    </w:p>
    <w:p w:rsidR="00403D4E" w:rsidRPr="000D6778" w:rsidRDefault="00403D4E" w:rsidP="00403D4E">
      <w:pPr>
        <w:spacing w:after="0"/>
      </w:pPr>
      <w:r w:rsidRPr="000D6778">
        <w:t>G35_nonres_supply_calcNonresSupply.R   =  non-residential supply functions</w:t>
      </w:r>
    </w:p>
    <w:p w:rsidR="00403D4E" w:rsidRPr="000D6778" w:rsidRDefault="00403D4E" w:rsidP="00403D4E">
      <w:pPr>
        <w:spacing w:after="0"/>
      </w:pPr>
      <w:r w:rsidRPr="000D6778">
        <w:t>G35_res_demand_module.R  =  residential demand module</w:t>
      </w:r>
    </w:p>
    <w:p w:rsidR="00403D4E" w:rsidRPr="000D6778" w:rsidRDefault="008B0DA9" w:rsidP="00403D4E">
      <w:pPr>
        <w:spacing w:after="0"/>
      </w:pPr>
      <w:r>
        <w:t>G35_res_demand</w:t>
      </w:r>
      <w:r w:rsidR="00403D4E" w:rsidRPr="000D6778">
        <w:t>_functions.R  =  residential demand functions</w:t>
      </w:r>
    </w:p>
    <w:p w:rsidR="00403D4E" w:rsidRPr="000D6778" w:rsidRDefault="003F4D5E" w:rsidP="00403D4E">
      <w:pPr>
        <w:spacing w:after="0"/>
      </w:pPr>
      <w:r>
        <w:t>G35_res_</w:t>
      </w:r>
      <w:r w:rsidR="008B0DA9">
        <w:t>supply</w:t>
      </w:r>
      <w:r w:rsidR="00403D4E" w:rsidRPr="000D6778">
        <w:t>_module.R  =  residential supply module</w:t>
      </w:r>
    </w:p>
    <w:p w:rsidR="00403D4E" w:rsidRPr="000D6778" w:rsidRDefault="003F4D5E" w:rsidP="00403D4E">
      <w:pPr>
        <w:spacing w:after="0"/>
      </w:pPr>
      <w:r>
        <w:t>G35_res_</w:t>
      </w:r>
      <w:r w:rsidR="001966E3">
        <w:t>supply</w:t>
      </w:r>
      <w:r w:rsidR="00403D4E" w:rsidRPr="000D6778">
        <w:t>_functions.R  =  residential supply functions</w:t>
      </w:r>
    </w:p>
    <w:p w:rsidR="00867A5D" w:rsidRDefault="00867A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03D4E" w:rsidRDefault="00403D4E" w:rsidP="00403D4E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Scenario </w:t>
      </w:r>
      <w:r w:rsidR="00420D94">
        <w:rPr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 w:rsidR="00420D94">
        <w:rPr>
          <w:sz w:val="32"/>
          <w:szCs w:val="32"/>
        </w:rPr>
        <w:t>d</w:t>
      </w:r>
      <w:r>
        <w:rPr>
          <w:sz w:val="32"/>
          <w:szCs w:val="32"/>
        </w:rPr>
        <w:t>irectories:</w:t>
      </w:r>
    </w:p>
    <w:p w:rsidR="008D3045" w:rsidRDefault="008D3045" w:rsidP="00403D4E">
      <w:pPr>
        <w:spacing w:after="0"/>
        <w:rPr>
          <w:sz w:val="24"/>
          <w:szCs w:val="24"/>
        </w:rPr>
      </w:pPr>
    </w:p>
    <w:p w:rsidR="00403D4E" w:rsidRDefault="00403D4E" w:rsidP="00403D4E">
      <w:pPr>
        <w:spacing w:after="0"/>
        <w:rPr>
          <w:noProof/>
          <w:sz w:val="24"/>
          <w:szCs w:val="24"/>
        </w:rPr>
      </w:pPr>
      <w:r>
        <w:rPr>
          <w:sz w:val="24"/>
          <w:szCs w:val="24"/>
        </w:rPr>
        <w:t xml:space="preserve"> “</w:t>
      </w:r>
      <w:r w:rsidRPr="00CA288C">
        <w:rPr>
          <w:b/>
          <w:sz w:val="24"/>
          <w:szCs w:val="24"/>
        </w:rPr>
        <w:t>/scen</w:t>
      </w:r>
      <w:r>
        <w:rPr>
          <w:b/>
          <w:sz w:val="24"/>
          <w:szCs w:val="24"/>
        </w:rPr>
        <w:t>1000</w:t>
      </w:r>
      <w:r w:rsidRPr="00CA288C">
        <w:rPr>
          <w:b/>
          <w:sz w:val="24"/>
          <w:szCs w:val="24"/>
        </w:rPr>
        <w:t>_data</w:t>
      </w:r>
      <w:r>
        <w:rPr>
          <w:sz w:val="24"/>
          <w:szCs w:val="24"/>
        </w:rPr>
        <w:t xml:space="preserve">” contains all the input and output file tables for a MetroScope scenario,  </w:t>
      </w:r>
      <w:r w:rsidR="00CE634C">
        <w:rPr>
          <w:sz w:val="24"/>
          <w:szCs w:val="24"/>
        </w:rPr>
        <w:t>(</w:t>
      </w:r>
      <w:r>
        <w:rPr>
          <w:sz w:val="24"/>
          <w:szCs w:val="24"/>
        </w:rPr>
        <w:t xml:space="preserve">in </w:t>
      </w:r>
      <w:r w:rsidR="00CE634C">
        <w:rPr>
          <w:sz w:val="24"/>
          <w:szCs w:val="24"/>
        </w:rPr>
        <w:t xml:space="preserve">this case </w:t>
      </w:r>
      <w:r>
        <w:rPr>
          <w:sz w:val="24"/>
          <w:szCs w:val="24"/>
        </w:rPr>
        <w:t>#1000</w:t>
      </w:r>
      <w:r w:rsidR="00CE634C">
        <w:rPr>
          <w:sz w:val="24"/>
          <w:szCs w:val="24"/>
        </w:rPr>
        <w:t>)</w:t>
      </w:r>
      <w:r>
        <w:rPr>
          <w:sz w:val="24"/>
          <w:szCs w:val="24"/>
        </w:rPr>
        <w:t xml:space="preserve">.  For each new MetroScope scenario, a directory with the new scenario ID number must be </w:t>
      </w:r>
      <w:r w:rsidR="00CE634C">
        <w:rPr>
          <w:sz w:val="24"/>
          <w:szCs w:val="24"/>
        </w:rPr>
        <w:t xml:space="preserve">manually </w:t>
      </w:r>
      <w:r>
        <w:rPr>
          <w:sz w:val="24"/>
          <w:szCs w:val="24"/>
        </w:rPr>
        <w:t xml:space="preserve">created.   This directory must contain the following subdirectories.  </w:t>
      </w:r>
    </w:p>
    <w:p w:rsidR="00403D4E" w:rsidRDefault="008C56DE" w:rsidP="00403D4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78105</wp:posOffset>
            </wp:positionV>
            <wp:extent cx="1477010" cy="2389505"/>
            <wp:effectExtent l="19050" t="0" r="8890" b="0"/>
            <wp:wrapSquare wrapText="bothSides"/>
            <wp:docPr id="3" name="Picture 2" descr="J:\cser\Mscope_Gen35_R\DOX_debug02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ser\Mscope_Gen35_R\DOX_debug02\dat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D4E">
        <w:rPr>
          <w:sz w:val="24"/>
          <w:szCs w:val="24"/>
        </w:rPr>
        <w:t xml:space="preserve"> 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</w:t>
      </w:r>
      <w:proofErr w:type="spellStart"/>
      <w:r w:rsidRPr="00CA288C">
        <w:rPr>
          <w:b/>
          <w:sz w:val="24"/>
          <w:szCs w:val="24"/>
        </w:rPr>
        <w:t>inputs_nonres</w:t>
      </w:r>
      <w:proofErr w:type="spellEnd"/>
      <w:r w:rsidRPr="00CA288C"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=   </w:t>
      </w:r>
      <w:r w:rsidRPr="00495868">
        <w:rPr>
          <w:sz w:val="24"/>
          <w:szCs w:val="24"/>
        </w:rPr>
        <w:t>inputs for non-residential module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</w:t>
      </w:r>
      <w:proofErr w:type="spellStart"/>
      <w:r w:rsidRPr="00CA288C">
        <w:rPr>
          <w:b/>
          <w:sz w:val="24"/>
          <w:szCs w:val="24"/>
        </w:rPr>
        <w:t>inputs_res</w:t>
      </w:r>
      <w:proofErr w:type="spellEnd"/>
      <w:r>
        <w:rPr>
          <w:sz w:val="24"/>
          <w:szCs w:val="24"/>
        </w:rPr>
        <w:t xml:space="preserve">   =   </w:t>
      </w:r>
      <w:r w:rsidRPr="00495868">
        <w:rPr>
          <w:sz w:val="24"/>
          <w:szCs w:val="24"/>
        </w:rPr>
        <w:t>inputs for residential module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</w:t>
      </w:r>
      <w:proofErr w:type="spellStart"/>
      <w:r w:rsidRPr="00CA288C">
        <w:rPr>
          <w:b/>
          <w:sz w:val="24"/>
          <w:szCs w:val="24"/>
        </w:rPr>
        <w:t>inputs_transport</w:t>
      </w:r>
      <w:proofErr w:type="spellEnd"/>
      <w:r>
        <w:rPr>
          <w:sz w:val="24"/>
          <w:szCs w:val="24"/>
        </w:rPr>
        <w:t xml:space="preserve">   =   </w:t>
      </w:r>
      <w:r w:rsidRPr="00495868">
        <w:rPr>
          <w:sz w:val="24"/>
          <w:szCs w:val="24"/>
        </w:rPr>
        <w:t>res and non-res travel times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/outputs_year1</w:t>
      </w:r>
      <w:r>
        <w:rPr>
          <w:sz w:val="24"/>
          <w:szCs w:val="24"/>
        </w:rPr>
        <w:t xml:space="preserve">   =   all outputs for each year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/outputs_year2</w:t>
      </w:r>
      <w:r>
        <w:rPr>
          <w:sz w:val="24"/>
          <w:szCs w:val="24"/>
        </w:rPr>
        <w:t xml:space="preserve">   =   ‘’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/outputs_year3</w:t>
      </w:r>
      <w:r>
        <w:rPr>
          <w:sz w:val="24"/>
          <w:szCs w:val="24"/>
        </w:rPr>
        <w:t xml:space="preserve">   =   ‘’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/outputs_year4</w:t>
      </w:r>
      <w:r>
        <w:rPr>
          <w:sz w:val="24"/>
          <w:szCs w:val="24"/>
        </w:rPr>
        <w:t xml:space="preserve">   =   ‘’</w:t>
      </w:r>
    </w:p>
    <w:p w:rsidR="00403D4E" w:rsidRPr="00495868" w:rsidRDefault="00403D4E" w:rsidP="00403D4E">
      <w:pPr>
        <w:spacing w:after="0"/>
        <w:rPr>
          <w:sz w:val="24"/>
          <w:szCs w:val="24"/>
        </w:rPr>
      </w:pPr>
      <w:r w:rsidRPr="00CA288C">
        <w:rPr>
          <w:b/>
          <w:sz w:val="24"/>
          <w:szCs w:val="24"/>
        </w:rPr>
        <w:t>/outputs_year5</w:t>
      </w:r>
      <w:r>
        <w:rPr>
          <w:sz w:val="24"/>
          <w:szCs w:val="24"/>
        </w:rPr>
        <w:t xml:space="preserve">   =   ‘’</w:t>
      </w:r>
    </w:p>
    <w:p w:rsidR="00403D4E" w:rsidRDefault="00403D4E" w:rsidP="00403D4E">
      <w:pPr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Pr="00495868">
        <w:rPr>
          <w:sz w:val="24"/>
          <w:szCs w:val="24"/>
        </w:rPr>
        <w:t>shared_</w:t>
      </w:r>
      <w:r>
        <w:rPr>
          <w:sz w:val="24"/>
          <w:szCs w:val="24"/>
        </w:rPr>
        <w:t>non</w:t>
      </w:r>
      <w:r w:rsidRPr="00495868">
        <w:rPr>
          <w:sz w:val="24"/>
          <w:szCs w:val="24"/>
        </w:rPr>
        <w:t>res</w:t>
      </w:r>
      <w:proofErr w:type="spellEnd"/>
      <w:r>
        <w:rPr>
          <w:sz w:val="24"/>
          <w:szCs w:val="24"/>
        </w:rPr>
        <w:t xml:space="preserve">   =  temporary files, for model use only</w:t>
      </w:r>
      <w:r w:rsidRPr="00495868">
        <w:rPr>
          <w:sz w:val="24"/>
          <w:szCs w:val="24"/>
        </w:rPr>
        <w:t xml:space="preserve"> </w:t>
      </w:r>
    </w:p>
    <w:p w:rsidR="00403D4E" w:rsidRDefault="00403D4E" w:rsidP="00403D4E">
      <w:pPr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Pr="00495868">
        <w:rPr>
          <w:sz w:val="24"/>
          <w:szCs w:val="24"/>
        </w:rPr>
        <w:t>shared_res</w:t>
      </w:r>
      <w:proofErr w:type="spellEnd"/>
      <w:r>
        <w:rPr>
          <w:sz w:val="24"/>
          <w:szCs w:val="24"/>
        </w:rPr>
        <w:t xml:space="preserve">   =  temporary files, for model use only</w:t>
      </w:r>
      <w:r w:rsidRPr="00495868">
        <w:rPr>
          <w:sz w:val="24"/>
          <w:szCs w:val="24"/>
        </w:rPr>
        <w:t xml:space="preserve"> </w:t>
      </w:r>
    </w:p>
    <w:p w:rsidR="008C56DE" w:rsidRDefault="008C56DE" w:rsidP="00403D4E">
      <w:pPr>
        <w:spacing w:after="0"/>
        <w:rPr>
          <w:sz w:val="24"/>
          <w:szCs w:val="24"/>
        </w:rPr>
      </w:pPr>
    </w:p>
    <w:p w:rsidR="008C56DE" w:rsidRDefault="008C56DE" w:rsidP="008C56DE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data tables are text files in the Comma-Separated-Variable (CSV) format.  See Detailed File Description</w:t>
      </w:r>
      <w:r w:rsidR="00BC71FA">
        <w:rPr>
          <w:sz w:val="24"/>
          <w:szCs w:val="24"/>
        </w:rPr>
        <w:t>s section</w:t>
      </w:r>
      <w:r>
        <w:rPr>
          <w:sz w:val="24"/>
          <w:szCs w:val="24"/>
        </w:rPr>
        <w:t xml:space="preserve"> in this document.</w:t>
      </w:r>
    </w:p>
    <w:p w:rsidR="008C56DE" w:rsidRDefault="008C56DE" w:rsidP="00403D4E">
      <w:pPr>
        <w:spacing w:after="0"/>
        <w:rPr>
          <w:sz w:val="24"/>
          <w:szCs w:val="24"/>
        </w:rPr>
      </w:pPr>
    </w:p>
    <w:p w:rsidR="00403D4E" w:rsidRDefault="00403D4E" w:rsidP="00403D4E">
      <w:pPr>
        <w:spacing w:after="0"/>
        <w:rPr>
          <w:sz w:val="24"/>
          <w:szCs w:val="24"/>
        </w:rPr>
      </w:pPr>
    </w:p>
    <w:p w:rsidR="00403D4E" w:rsidRDefault="00403D4E" w:rsidP="00403D4E">
      <w:pPr>
        <w:spacing w:after="0"/>
        <w:rPr>
          <w:sz w:val="24"/>
          <w:szCs w:val="24"/>
        </w:rPr>
      </w:pPr>
      <w:r w:rsidRPr="00611BC1">
        <w:rPr>
          <w:b/>
          <w:sz w:val="24"/>
          <w:szCs w:val="24"/>
        </w:rPr>
        <w:t>/</w:t>
      </w:r>
      <w:proofErr w:type="spellStart"/>
      <w:r w:rsidRPr="00611BC1">
        <w:rPr>
          <w:b/>
          <w:sz w:val="24"/>
          <w:szCs w:val="24"/>
        </w:rPr>
        <w:t>inputs_nonres</w:t>
      </w:r>
      <w:proofErr w:type="spellEnd"/>
    </w:p>
    <w:p w:rsidR="008C56DE" w:rsidRPr="008C56DE" w:rsidRDefault="008C56DE" w:rsidP="008C56DE">
      <w:pPr>
        <w:spacing w:after="0"/>
        <w:rPr>
          <w:sz w:val="24"/>
          <w:szCs w:val="24"/>
        </w:rPr>
      </w:pPr>
      <w:r w:rsidRPr="008C56DE">
        <w:rPr>
          <w:sz w:val="24"/>
          <w:szCs w:val="24"/>
        </w:rPr>
        <w:tab/>
      </w:r>
      <w:r w:rsidRPr="008C56DE">
        <w:rPr>
          <w:sz w:val="24"/>
          <w:szCs w:val="24"/>
        </w:rPr>
        <w:tab/>
      </w:r>
    </w:p>
    <w:p w:rsidR="008C56DE" w:rsidRPr="00FA7F50" w:rsidRDefault="008C56DE" w:rsidP="008C56DE">
      <w:pPr>
        <w:tabs>
          <w:tab w:val="left" w:pos="3330"/>
        </w:tabs>
        <w:spacing w:after="0"/>
      </w:pPr>
      <w:r w:rsidRPr="00FA7F50">
        <w:t>Inputs required for each of the model years.   These are generally what you change to create new scenarios.</w:t>
      </w:r>
      <w:r w:rsidRPr="00FA7F50">
        <w:tab/>
      </w:r>
      <w:r w:rsidRPr="00FA7F50">
        <w:tab/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</w:t>
      </w:r>
      <w:r>
        <w:rPr>
          <w:sz w:val="20"/>
          <w:szCs w:val="24"/>
        </w:rPr>
        <w:t>nres_supply_acres_added_yearN</w:t>
      </w:r>
      <w:proofErr w:type="spellEnd"/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Pr="008C56DE">
        <w:rPr>
          <w:sz w:val="20"/>
          <w:szCs w:val="24"/>
        </w:rPr>
        <w:t>Non-residential acres</w:t>
      </w:r>
      <w:r>
        <w:rPr>
          <w:sz w:val="20"/>
          <w:szCs w:val="24"/>
        </w:rPr>
        <w:t>,  added in current model year.</w:t>
      </w:r>
    </w:p>
    <w:p w:rsid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</w:t>
      </w:r>
      <w:r>
        <w:rPr>
          <w:sz w:val="20"/>
          <w:szCs w:val="24"/>
        </w:rPr>
        <w:t>res_demand_emp_controls_yearN</w:t>
      </w:r>
      <w:proofErr w:type="spellEnd"/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Pr="008C56DE">
        <w:rPr>
          <w:sz w:val="20"/>
          <w:szCs w:val="24"/>
        </w:rPr>
        <w:t>Regional employment control totals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</w:p>
    <w:p w:rsidR="008C56DE" w:rsidRPr="00FA7F50" w:rsidRDefault="008C56DE" w:rsidP="008C56DE">
      <w:pPr>
        <w:tabs>
          <w:tab w:val="left" w:pos="3330"/>
        </w:tabs>
        <w:spacing w:after="0"/>
      </w:pPr>
      <w:r w:rsidRPr="008C56DE">
        <w:t>Inputs common to all model years.  These generally will not change from scenario to scenario.</w:t>
      </w:r>
      <w:r w:rsidRPr="008C56DE">
        <w:tab/>
      </w:r>
      <w:r w:rsidRPr="008C56DE">
        <w:tab/>
      </w:r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nonres_general_params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  <w:t>Parameters for both residential and non-reside</w:t>
      </w:r>
      <w:r>
        <w:rPr>
          <w:sz w:val="20"/>
          <w:szCs w:val="24"/>
        </w:rPr>
        <w:t>n</w:t>
      </w:r>
      <w:r w:rsidRPr="008C56DE">
        <w:rPr>
          <w:sz w:val="20"/>
          <w:szCs w:val="24"/>
        </w:rPr>
        <w:t>tial modules</w:t>
      </w:r>
    </w:p>
    <w:p w:rsid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>
        <w:rPr>
          <w:sz w:val="20"/>
          <w:szCs w:val="24"/>
        </w:rPr>
        <w:t>nonres_demand_access_param</w:t>
      </w:r>
      <w:proofErr w:type="spellEnd"/>
      <w:r>
        <w:rPr>
          <w:sz w:val="20"/>
          <w:szCs w:val="24"/>
        </w:rPr>
        <w:tab/>
      </w:r>
      <w:r>
        <w:rPr>
          <w:sz w:val="20"/>
          <w:szCs w:val="24"/>
        </w:rPr>
        <w:tab/>
        <w:t>Access</w:t>
      </w:r>
      <w:r w:rsidRPr="008C56DE">
        <w:rPr>
          <w:sz w:val="20"/>
          <w:szCs w:val="24"/>
        </w:rPr>
        <w:t xml:space="preserve"> </w:t>
      </w:r>
      <w:r>
        <w:rPr>
          <w:sz w:val="20"/>
          <w:szCs w:val="24"/>
        </w:rPr>
        <w:t>parameters</w:t>
      </w:r>
    </w:p>
    <w:p w:rsidR="008C56DE" w:rsidRPr="008C56DE" w:rsidRDefault="008C56DE" w:rsidP="000D7A99">
      <w:pPr>
        <w:tabs>
          <w:tab w:val="left" w:pos="315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nonres_demand_access_time_param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  <w:r>
        <w:rPr>
          <w:sz w:val="20"/>
          <w:szCs w:val="24"/>
        </w:rPr>
        <w:t>Access</w:t>
      </w:r>
      <w:r w:rsidRPr="008C56DE">
        <w:rPr>
          <w:sz w:val="20"/>
          <w:szCs w:val="24"/>
        </w:rPr>
        <w:t xml:space="preserve"> </w:t>
      </w:r>
      <w:r>
        <w:rPr>
          <w:sz w:val="20"/>
          <w:szCs w:val="24"/>
        </w:rPr>
        <w:t>parameters</w:t>
      </w:r>
      <w:r w:rsidRPr="008C56DE">
        <w:rPr>
          <w:sz w:val="20"/>
          <w:szCs w:val="24"/>
        </w:rPr>
        <w:t xml:space="preserve"> </w:t>
      </w:r>
      <w:proofErr w:type="spellStart"/>
      <w:r w:rsidRPr="008C56DE">
        <w:rPr>
          <w:sz w:val="20"/>
          <w:szCs w:val="24"/>
        </w:rPr>
        <w:t>nonres_dema</w:t>
      </w:r>
      <w:r w:rsidR="000D7A99">
        <w:rPr>
          <w:sz w:val="20"/>
          <w:szCs w:val="24"/>
        </w:rPr>
        <w:t>nd_baseline_distribution_param</w:t>
      </w:r>
      <w:proofErr w:type="spellEnd"/>
      <w:r w:rsidR="000D7A99">
        <w:rPr>
          <w:sz w:val="20"/>
          <w:szCs w:val="24"/>
        </w:rPr>
        <w:t xml:space="preserve">       Share </w:t>
      </w:r>
      <w:r w:rsidRPr="008C56DE">
        <w:rPr>
          <w:sz w:val="20"/>
          <w:szCs w:val="24"/>
        </w:rPr>
        <w:t>of emplcass employment into re types.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nonres_demand_baseline_sqft_emp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  <w:t>Baseline value of square feet per employee.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nonres_demand_crossprice_elasticity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  <w:t>Cross price elasticity between real estate types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</w:t>
      </w:r>
      <w:r w:rsidR="000D7A99">
        <w:rPr>
          <w:sz w:val="20"/>
          <w:szCs w:val="24"/>
        </w:rPr>
        <w:t>demand_directprice_elasticity</w:t>
      </w:r>
      <w:proofErr w:type="spellEnd"/>
      <w:r w:rsidR="000D7A99">
        <w:rPr>
          <w:sz w:val="20"/>
          <w:szCs w:val="24"/>
        </w:rPr>
        <w:tab/>
      </w:r>
      <w:r w:rsidR="000D7A99">
        <w:rPr>
          <w:sz w:val="20"/>
          <w:szCs w:val="24"/>
        </w:rPr>
        <w:tab/>
      </w:r>
      <w:r w:rsidRPr="008C56DE">
        <w:rPr>
          <w:sz w:val="20"/>
          <w:szCs w:val="24"/>
        </w:rPr>
        <w:t>Direc</w:t>
      </w:r>
      <w:r w:rsidR="000D7A99">
        <w:rPr>
          <w:sz w:val="20"/>
          <w:szCs w:val="24"/>
        </w:rPr>
        <w:t xml:space="preserve">t price elasticity, by </w:t>
      </w:r>
      <w:proofErr w:type="spellStart"/>
      <w:r w:rsidR="000D7A99">
        <w:rPr>
          <w:sz w:val="20"/>
          <w:szCs w:val="24"/>
        </w:rPr>
        <w:t>empclass</w:t>
      </w:r>
      <w:proofErr w:type="spellEnd"/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</w:t>
      </w:r>
      <w:r w:rsidR="00644316">
        <w:rPr>
          <w:sz w:val="20"/>
          <w:szCs w:val="24"/>
        </w:rPr>
        <w:t>_demand_directsqft_elasticity</w:t>
      </w:r>
      <w:proofErr w:type="spellEnd"/>
      <w:r w:rsidR="00644316">
        <w:rPr>
          <w:sz w:val="20"/>
          <w:szCs w:val="24"/>
        </w:rPr>
        <w:tab/>
      </w:r>
      <w:r w:rsidR="00644316">
        <w:rPr>
          <w:sz w:val="20"/>
          <w:szCs w:val="24"/>
        </w:rPr>
        <w:tab/>
      </w:r>
      <w:r w:rsidRPr="008C56DE">
        <w:rPr>
          <w:sz w:val="20"/>
          <w:szCs w:val="24"/>
        </w:rPr>
        <w:t xml:space="preserve">Direct sqft elasticity, by </w:t>
      </w:r>
      <w:proofErr w:type="spellStart"/>
      <w:r w:rsidRPr="008C56DE">
        <w:rPr>
          <w:sz w:val="20"/>
          <w:szCs w:val="24"/>
        </w:rPr>
        <w:t>empclass</w:t>
      </w:r>
      <w:proofErr w:type="spellEnd"/>
      <w:r w:rsidRPr="008C56DE">
        <w:rPr>
          <w:sz w:val="20"/>
          <w:szCs w:val="24"/>
        </w:rPr>
        <w:t xml:space="preserve"> and r</w:t>
      </w:r>
      <w:r w:rsidR="00644316">
        <w:rPr>
          <w:sz w:val="20"/>
          <w:szCs w:val="24"/>
        </w:rPr>
        <w:t>e type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r w:rsidRPr="008C56DE">
        <w:rPr>
          <w:sz w:val="20"/>
          <w:szCs w:val="24"/>
        </w:rPr>
        <w:lastRenderedPageBreak/>
        <w:t>nonres_demand_hh_year0</w:t>
      </w:r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  <w:t>Households by ezone for the calibration model year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r w:rsidRPr="008C56DE">
        <w:rPr>
          <w:sz w:val="20"/>
          <w:szCs w:val="24"/>
        </w:rPr>
        <w:t>nonres_locationprice_year0</w:t>
      </w:r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  <w:t>Non-residential loc</w:t>
      </w:r>
      <w:r w:rsidR="00644316">
        <w:rPr>
          <w:sz w:val="20"/>
          <w:szCs w:val="24"/>
        </w:rPr>
        <w:t>ation price in calibration year</w:t>
      </w:r>
    </w:p>
    <w:p w:rsidR="008C56DE" w:rsidRPr="008C56DE" w:rsidRDefault="00644316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>
        <w:rPr>
          <w:sz w:val="20"/>
          <w:szCs w:val="24"/>
        </w:rPr>
        <w:t>nonres_supply_baselandvalue</w:t>
      </w:r>
      <w:proofErr w:type="spellEnd"/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="008C56DE" w:rsidRPr="008C56DE">
        <w:rPr>
          <w:sz w:val="20"/>
          <w:szCs w:val="24"/>
        </w:rPr>
        <w:t>Base non-residential l</w:t>
      </w:r>
      <w:r>
        <w:rPr>
          <w:sz w:val="20"/>
          <w:szCs w:val="24"/>
        </w:rPr>
        <w:t>and value, in dollars per sqft.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nonres_s</w:t>
      </w:r>
      <w:r w:rsidR="00644316">
        <w:rPr>
          <w:sz w:val="20"/>
          <w:szCs w:val="24"/>
        </w:rPr>
        <w:t>upply_capitalcost</w:t>
      </w:r>
      <w:proofErr w:type="spellEnd"/>
      <w:r w:rsidR="00644316">
        <w:rPr>
          <w:sz w:val="20"/>
          <w:szCs w:val="24"/>
        </w:rPr>
        <w:tab/>
      </w:r>
      <w:r w:rsidR="00644316">
        <w:rPr>
          <w:sz w:val="20"/>
          <w:szCs w:val="24"/>
        </w:rPr>
        <w:tab/>
      </w:r>
      <w:r w:rsidRPr="008C56DE">
        <w:rPr>
          <w:sz w:val="20"/>
          <w:szCs w:val="24"/>
        </w:rPr>
        <w:t>Base non-residential cap</w:t>
      </w:r>
      <w:r w:rsidR="00644316">
        <w:rPr>
          <w:sz w:val="20"/>
          <w:szCs w:val="24"/>
        </w:rPr>
        <w:t>ital cost, in dollars per sqft.</w:t>
      </w:r>
    </w:p>
    <w:p w:rsidR="008C56DE" w:rsidRPr="008C56DE" w:rsidRDefault="00644316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>
        <w:rPr>
          <w:sz w:val="20"/>
          <w:szCs w:val="24"/>
        </w:rPr>
        <w:t>nonres_supply_capitalsubsidy</w:t>
      </w:r>
      <w:proofErr w:type="spellEnd"/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="008C56DE" w:rsidRPr="008C56DE">
        <w:rPr>
          <w:sz w:val="20"/>
          <w:szCs w:val="24"/>
        </w:rPr>
        <w:t>Base non-residential capita</w:t>
      </w:r>
      <w:r>
        <w:rPr>
          <w:sz w:val="20"/>
          <w:szCs w:val="24"/>
        </w:rPr>
        <w:t>l subsidy, in dollars per sqft.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nonres_supply_cbdfactor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  <w:proofErr w:type="spellStart"/>
      <w:r w:rsidRPr="008C56DE">
        <w:rPr>
          <w:sz w:val="20"/>
          <w:szCs w:val="24"/>
        </w:rPr>
        <w:t>Paramters</w:t>
      </w:r>
      <w:proofErr w:type="spellEnd"/>
      <w:r w:rsidRPr="008C56DE">
        <w:rPr>
          <w:sz w:val="20"/>
          <w:szCs w:val="24"/>
        </w:rPr>
        <w:t xml:space="preserve"> for adjusting </w:t>
      </w:r>
      <w:proofErr w:type="spellStart"/>
      <w:r w:rsidRPr="008C56DE">
        <w:rPr>
          <w:sz w:val="20"/>
          <w:szCs w:val="24"/>
        </w:rPr>
        <w:t>nonres</w:t>
      </w:r>
      <w:proofErr w:type="spellEnd"/>
      <w:r w:rsidRPr="008C56DE">
        <w:rPr>
          <w:sz w:val="20"/>
          <w:szCs w:val="24"/>
        </w:rPr>
        <w:t xml:space="preserve"> supply in the CBD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nonres_supply_farclass_param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  <w:proofErr w:type="spellStart"/>
      <w:r w:rsidRPr="008C56DE">
        <w:rPr>
          <w:sz w:val="20"/>
          <w:szCs w:val="24"/>
        </w:rPr>
        <w:t>Nonres</w:t>
      </w:r>
      <w:proofErr w:type="spellEnd"/>
      <w:r w:rsidRPr="008C56DE">
        <w:rPr>
          <w:sz w:val="20"/>
          <w:szCs w:val="24"/>
        </w:rPr>
        <w:t xml:space="preserve"> supply module parameters for each FAR class</w:t>
      </w:r>
    </w:p>
    <w:p w:rsidR="008C56DE" w:rsidRPr="008C56DE" w:rsidRDefault="00644316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>
        <w:rPr>
          <w:sz w:val="20"/>
          <w:szCs w:val="24"/>
        </w:rPr>
        <w:t>nonres_supply_landcost</w:t>
      </w:r>
      <w:proofErr w:type="spellEnd"/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="008C56DE" w:rsidRPr="008C56DE">
        <w:rPr>
          <w:sz w:val="20"/>
          <w:szCs w:val="24"/>
        </w:rPr>
        <w:t xml:space="preserve">Base non-residential </w:t>
      </w:r>
      <w:r>
        <w:rPr>
          <w:sz w:val="20"/>
          <w:szCs w:val="24"/>
        </w:rPr>
        <w:t>land cost, in dollars per sqft.</w:t>
      </w:r>
    </w:p>
    <w:p w:rsidR="008C56DE" w:rsidRPr="008C56D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proofErr w:type="spellStart"/>
      <w:r w:rsidRPr="008C56DE">
        <w:rPr>
          <w:sz w:val="20"/>
          <w:szCs w:val="24"/>
        </w:rPr>
        <w:t>nonres_supply_retype_param</w:t>
      </w:r>
      <w:proofErr w:type="spellEnd"/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</w:r>
      <w:proofErr w:type="spellStart"/>
      <w:r w:rsidRPr="008C56DE">
        <w:rPr>
          <w:sz w:val="20"/>
          <w:szCs w:val="24"/>
        </w:rPr>
        <w:t>Nonres</w:t>
      </w:r>
      <w:proofErr w:type="spellEnd"/>
      <w:r w:rsidRPr="008C56DE">
        <w:rPr>
          <w:sz w:val="20"/>
          <w:szCs w:val="24"/>
        </w:rPr>
        <w:t xml:space="preserve"> supply module parameters for each FAR class.</w:t>
      </w:r>
    </w:p>
    <w:p w:rsidR="00403D4E" w:rsidRDefault="008C56DE" w:rsidP="008C56DE">
      <w:pPr>
        <w:tabs>
          <w:tab w:val="left" w:pos="3330"/>
        </w:tabs>
        <w:spacing w:after="0"/>
        <w:rPr>
          <w:sz w:val="20"/>
          <w:szCs w:val="24"/>
        </w:rPr>
      </w:pPr>
      <w:r w:rsidRPr="008C56DE">
        <w:rPr>
          <w:sz w:val="20"/>
          <w:szCs w:val="24"/>
        </w:rPr>
        <w:t>nonres_supply_totalsupply_year0</w:t>
      </w:r>
      <w:r w:rsidRPr="008C56DE">
        <w:rPr>
          <w:sz w:val="20"/>
          <w:szCs w:val="24"/>
        </w:rPr>
        <w:tab/>
      </w:r>
      <w:r w:rsidRPr="008C56DE">
        <w:rPr>
          <w:sz w:val="20"/>
          <w:szCs w:val="24"/>
        </w:rPr>
        <w:tab/>
        <w:t>Total sqft supply in calibration year.</w:t>
      </w:r>
    </w:p>
    <w:p w:rsidR="00FA7F50" w:rsidRDefault="00FA7F50" w:rsidP="008C56DE">
      <w:pPr>
        <w:tabs>
          <w:tab w:val="left" w:pos="3330"/>
        </w:tabs>
        <w:spacing w:after="0"/>
        <w:rPr>
          <w:sz w:val="20"/>
          <w:szCs w:val="24"/>
        </w:rPr>
      </w:pPr>
    </w:p>
    <w:p w:rsidR="00FA7F50" w:rsidRPr="008C56DE" w:rsidRDefault="00FA7F50" w:rsidP="008C56DE">
      <w:pPr>
        <w:tabs>
          <w:tab w:val="left" w:pos="3330"/>
        </w:tabs>
        <w:spacing w:after="0"/>
        <w:rPr>
          <w:sz w:val="20"/>
          <w:szCs w:val="24"/>
        </w:rPr>
      </w:pPr>
    </w:p>
    <w:p w:rsidR="00403D4E" w:rsidRDefault="00403D4E" w:rsidP="00403D4E">
      <w:pPr>
        <w:spacing w:after="0"/>
        <w:rPr>
          <w:b/>
          <w:sz w:val="24"/>
          <w:szCs w:val="24"/>
        </w:rPr>
      </w:pPr>
      <w:r w:rsidRPr="00611BC1">
        <w:rPr>
          <w:b/>
          <w:sz w:val="24"/>
          <w:szCs w:val="24"/>
        </w:rPr>
        <w:t>/</w:t>
      </w:r>
      <w:proofErr w:type="spellStart"/>
      <w:r w:rsidRPr="00611BC1">
        <w:rPr>
          <w:b/>
          <w:sz w:val="24"/>
          <w:szCs w:val="24"/>
        </w:rPr>
        <w:t>inputs_res</w:t>
      </w:r>
      <w:proofErr w:type="spellEnd"/>
    </w:p>
    <w:p w:rsidR="00F8488A" w:rsidRDefault="00F8488A" w:rsidP="00403D4E">
      <w:pPr>
        <w:spacing w:after="0"/>
        <w:rPr>
          <w:b/>
          <w:sz w:val="24"/>
          <w:szCs w:val="24"/>
        </w:rPr>
      </w:pPr>
    </w:p>
    <w:p w:rsidR="007A3D3E" w:rsidRPr="007A3D3E" w:rsidRDefault="007A3D3E" w:rsidP="007A3D3E">
      <w:pPr>
        <w:tabs>
          <w:tab w:val="left" w:pos="3600"/>
        </w:tabs>
        <w:spacing w:after="0"/>
        <w:rPr>
          <w:sz w:val="20"/>
          <w:szCs w:val="20"/>
        </w:rPr>
      </w:pPr>
      <w:r w:rsidRPr="007A3D3E">
        <w:rPr>
          <w:sz w:val="20"/>
          <w:szCs w:val="20"/>
        </w:rPr>
        <w:t>Inputs required for each of the model years.   These are generally what you change to create new scenarios.</w:t>
      </w:r>
      <w:r w:rsidRPr="007A3D3E">
        <w:rPr>
          <w:sz w:val="20"/>
          <w:szCs w:val="20"/>
        </w:rPr>
        <w:tab/>
      </w:r>
      <w:r w:rsidRPr="007A3D3E">
        <w:rPr>
          <w:sz w:val="20"/>
          <w:szCs w:val="20"/>
        </w:rPr>
        <w:tab/>
      </w:r>
    </w:p>
    <w:p w:rsidR="007A3D3E" w:rsidRPr="007A3D3E" w:rsidRDefault="007A3D3E" w:rsidP="007A3D3E">
      <w:pPr>
        <w:tabs>
          <w:tab w:val="left" w:pos="3600"/>
        </w:tabs>
        <w:spacing w:after="0"/>
        <w:rPr>
          <w:sz w:val="20"/>
          <w:szCs w:val="20"/>
        </w:rPr>
      </w:pPr>
      <w:r w:rsidRPr="007A3D3E">
        <w:rPr>
          <w:sz w:val="20"/>
          <w:szCs w:val="20"/>
        </w:rPr>
        <w:tab/>
      </w:r>
      <w:r w:rsidRPr="007A3D3E">
        <w:rPr>
          <w:sz w:val="20"/>
          <w:szCs w:val="20"/>
        </w:rPr>
        <w:tab/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res_supply_acres_added_yearN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Land use supply accounting for current model year.</w:t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 w:rsidRPr="007A3D3E">
        <w:rPr>
          <w:sz w:val="20"/>
          <w:szCs w:val="20"/>
        </w:rPr>
        <w:t>res_demand_k</w:t>
      </w:r>
      <w:r>
        <w:rPr>
          <w:sz w:val="20"/>
          <w:szCs w:val="20"/>
        </w:rPr>
        <w:t>hia_</w:t>
      </w:r>
      <w:r w:rsidR="00113074">
        <w:rPr>
          <w:sz w:val="20"/>
          <w:szCs w:val="20"/>
        </w:rPr>
        <w:t>shares_yearN</w:t>
      </w:r>
      <w:proofErr w:type="spellEnd"/>
      <w:r w:rsidR="00113074">
        <w:rPr>
          <w:sz w:val="20"/>
          <w:szCs w:val="20"/>
        </w:rPr>
        <w:tab/>
      </w:r>
      <w:r>
        <w:rPr>
          <w:sz w:val="20"/>
          <w:szCs w:val="20"/>
        </w:rPr>
        <w:t>R</w:t>
      </w:r>
      <w:r w:rsidRPr="007A3D3E">
        <w:rPr>
          <w:sz w:val="20"/>
          <w:szCs w:val="20"/>
        </w:rPr>
        <w:t>egional household shares by KHIA</w:t>
      </w:r>
    </w:p>
    <w:p w:rsid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res_demand_hh_controls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Regional total</w:t>
      </w:r>
      <w:r w:rsidR="007A3D3E">
        <w:rPr>
          <w:sz w:val="20"/>
          <w:szCs w:val="20"/>
        </w:rPr>
        <w:t>s</w:t>
      </w:r>
      <w:r w:rsidR="007A3D3E" w:rsidRPr="007A3D3E">
        <w:rPr>
          <w:sz w:val="20"/>
          <w:szCs w:val="20"/>
        </w:rPr>
        <w:t xml:space="preserve"> for </w:t>
      </w:r>
      <w:r w:rsidR="007A3D3E">
        <w:rPr>
          <w:sz w:val="20"/>
          <w:szCs w:val="20"/>
        </w:rPr>
        <w:t xml:space="preserve">households and </w:t>
      </w:r>
      <w:r w:rsidR="007A3D3E" w:rsidRPr="007A3D3E">
        <w:rPr>
          <w:sz w:val="20"/>
          <w:szCs w:val="20"/>
        </w:rPr>
        <w:t>dwel</w:t>
      </w:r>
      <w:r w:rsidR="007A3D3E">
        <w:rPr>
          <w:sz w:val="20"/>
          <w:szCs w:val="20"/>
        </w:rPr>
        <w:t>ling units</w:t>
      </w:r>
    </w:p>
    <w:p w:rsidR="00DF6B24" w:rsidRPr="007A3D3E" w:rsidRDefault="00DF6B24" w:rsidP="00113074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Note:   for the demand </w:t>
      </w:r>
      <w:proofErr w:type="spellStart"/>
      <w:r>
        <w:rPr>
          <w:sz w:val="20"/>
          <w:szCs w:val="20"/>
        </w:rPr>
        <w:t>hh</w:t>
      </w:r>
      <w:proofErr w:type="spellEnd"/>
      <w:r>
        <w:rPr>
          <w:sz w:val="20"/>
          <w:szCs w:val="20"/>
        </w:rPr>
        <w:t xml:space="preserve"> controls, there is only one input file, with one row for each model year.</w:t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r w:rsidRPr="007A3D3E">
        <w:rPr>
          <w:sz w:val="20"/>
          <w:szCs w:val="20"/>
        </w:rPr>
        <w:tab/>
      </w:r>
      <w:r w:rsidRPr="007A3D3E">
        <w:rPr>
          <w:sz w:val="20"/>
          <w:szCs w:val="20"/>
        </w:rPr>
        <w:tab/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r w:rsidRPr="007A3D3E">
        <w:rPr>
          <w:sz w:val="20"/>
          <w:szCs w:val="20"/>
        </w:rPr>
        <w:t>Inputs common to all model years.  These generally will not change from scenario to scenario.</w:t>
      </w:r>
      <w:r w:rsidRPr="007A3D3E">
        <w:rPr>
          <w:sz w:val="20"/>
          <w:szCs w:val="20"/>
        </w:rPr>
        <w:tab/>
      </w:r>
      <w:r w:rsidRPr="007A3D3E">
        <w:rPr>
          <w:sz w:val="20"/>
          <w:szCs w:val="20"/>
        </w:rPr>
        <w:tab/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r w:rsidRPr="007A3D3E">
        <w:rPr>
          <w:sz w:val="20"/>
          <w:szCs w:val="20"/>
        </w:rPr>
        <w:tab/>
      </w:r>
      <w:r w:rsidRPr="007A3D3E">
        <w:rPr>
          <w:sz w:val="20"/>
          <w:szCs w:val="20"/>
        </w:rPr>
        <w:tab/>
      </w:r>
    </w:p>
    <w:p w:rsidR="00F8488A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res_general_params</w:t>
      </w:r>
      <w:proofErr w:type="spellEnd"/>
      <w:r>
        <w:rPr>
          <w:sz w:val="20"/>
          <w:szCs w:val="20"/>
        </w:rPr>
        <w:tab/>
      </w:r>
      <w:r w:rsidR="00F8488A">
        <w:rPr>
          <w:sz w:val="20"/>
          <w:szCs w:val="20"/>
        </w:rPr>
        <w:t xml:space="preserve">General </w:t>
      </w:r>
      <w:r w:rsidR="004E5970">
        <w:rPr>
          <w:sz w:val="20"/>
          <w:szCs w:val="20"/>
        </w:rPr>
        <w:t>p</w:t>
      </w:r>
      <w:r w:rsidR="007A3D3E" w:rsidRPr="007A3D3E">
        <w:rPr>
          <w:sz w:val="20"/>
          <w:szCs w:val="20"/>
        </w:rPr>
        <w:t xml:space="preserve">arameters </w:t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 w:rsidRPr="007A3D3E">
        <w:rPr>
          <w:sz w:val="20"/>
          <w:szCs w:val="20"/>
        </w:rPr>
        <w:t>res_general_rzone_</w:t>
      </w:r>
      <w:r w:rsidR="00113074">
        <w:rPr>
          <w:sz w:val="20"/>
          <w:szCs w:val="20"/>
        </w:rPr>
        <w:t>lut</w:t>
      </w:r>
      <w:proofErr w:type="spellEnd"/>
      <w:r w:rsidR="00113074">
        <w:rPr>
          <w:sz w:val="20"/>
          <w:szCs w:val="20"/>
        </w:rPr>
        <w:tab/>
      </w:r>
      <w:r w:rsidR="00F8488A">
        <w:rPr>
          <w:sz w:val="20"/>
          <w:szCs w:val="20"/>
        </w:rPr>
        <w:t xml:space="preserve">Lookup table for the </w:t>
      </w:r>
      <w:proofErr w:type="spellStart"/>
      <w:r w:rsidR="00F8488A">
        <w:rPr>
          <w:sz w:val="20"/>
          <w:szCs w:val="20"/>
        </w:rPr>
        <w:t>ezones</w:t>
      </w:r>
      <w:proofErr w:type="spellEnd"/>
      <w:r w:rsidR="00F8488A">
        <w:rPr>
          <w:sz w:val="20"/>
          <w:szCs w:val="20"/>
        </w:rPr>
        <w:t xml:space="preserve"> to </w:t>
      </w:r>
      <w:proofErr w:type="spellStart"/>
      <w:r w:rsidRPr="007A3D3E">
        <w:rPr>
          <w:sz w:val="20"/>
          <w:szCs w:val="20"/>
        </w:rPr>
        <w:t>rzone</w:t>
      </w:r>
      <w:r w:rsidR="00F8488A">
        <w:rPr>
          <w:sz w:val="20"/>
          <w:szCs w:val="20"/>
        </w:rPr>
        <w:t>s</w:t>
      </w:r>
      <w:proofErr w:type="spellEnd"/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res_demand_accessindex_nscore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Location weights for auto access, neig</w:t>
      </w:r>
      <w:r w:rsidR="00F8488A">
        <w:rPr>
          <w:sz w:val="20"/>
          <w:szCs w:val="20"/>
        </w:rPr>
        <w:t>hborhood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res_demand_binshares_year0</w:t>
      </w:r>
      <w:r>
        <w:rPr>
          <w:sz w:val="20"/>
          <w:szCs w:val="20"/>
        </w:rPr>
        <w:tab/>
      </w:r>
      <w:r w:rsidR="00F8488A">
        <w:rPr>
          <w:sz w:val="20"/>
          <w:szCs w:val="20"/>
        </w:rPr>
        <w:t>Housing price bin</w:t>
      </w:r>
      <w:r w:rsidR="007A3D3E" w:rsidRPr="007A3D3E">
        <w:rPr>
          <w:sz w:val="20"/>
          <w:szCs w:val="20"/>
        </w:rPr>
        <w:t xml:space="preserve"> </w:t>
      </w:r>
      <w:r w:rsidR="00F8488A">
        <w:rPr>
          <w:sz w:val="20"/>
          <w:szCs w:val="20"/>
        </w:rPr>
        <w:t>weights from calibration year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res_demand_emp_yearN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Employment by ezo</w:t>
      </w:r>
      <w:r w:rsidR="00F8488A">
        <w:rPr>
          <w:sz w:val="20"/>
          <w:szCs w:val="20"/>
        </w:rPr>
        <w:t xml:space="preserve">ne from non-residential model 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res_demand_hedonic_params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Parameters for residential housing cost calculation.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res_demand_housesize_params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Parameters for residential housing size choice.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res_demand_housingtype_params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Parameters for residential housing type choice.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res_demand_khia_categories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Values for each  KHIA market segment</w:t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 w:rsidRPr="007A3D3E">
        <w:rPr>
          <w:sz w:val="20"/>
          <w:szCs w:val="20"/>
        </w:rPr>
        <w:t>res_dema</w:t>
      </w:r>
      <w:r w:rsidR="00113074">
        <w:rPr>
          <w:sz w:val="20"/>
          <w:szCs w:val="20"/>
        </w:rPr>
        <w:t>nd_khia_params</w:t>
      </w:r>
      <w:proofErr w:type="spellEnd"/>
      <w:r w:rsidR="00113074">
        <w:rPr>
          <w:sz w:val="20"/>
          <w:szCs w:val="20"/>
        </w:rPr>
        <w:tab/>
      </w:r>
      <w:r w:rsidRPr="007A3D3E">
        <w:rPr>
          <w:sz w:val="20"/>
          <w:szCs w:val="20"/>
        </w:rPr>
        <w:t>Param</w:t>
      </w:r>
      <w:r w:rsidR="00F8488A">
        <w:rPr>
          <w:sz w:val="20"/>
          <w:szCs w:val="20"/>
        </w:rPr>
        <w:t>e</w:t>
      </w:r>
      <w:r w:rsidRPr="007A3D3E">
        <w:rPr>
          <w:sz w:val="20"/>
          <w:szCs w:val="20"/>
        </w:rPr>
        <w:t>ters for each  KHIA market segment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res_demand_kshare_params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Location weights</w:t>
      </w:r>
      <w:r w:rsidR="00F8488A">
        <w:rPr>
          <w:sz w:val="20"/>
          <w:szCs w:val="20"/>
        </w:rPr>
        <w:t xml:space="preserve"> for households with </w:t>
      </w:r>
      <w:r w:rsidR="007A3D3E" w:rsidRPr="007A3D3E">
        <w:rPr>
          <w:sz w:val="20"/>
          <w:szCs w:val="20"/>
        </w:rPr>
        <w:t>children.</w:t>
      </w:r>
    </w:p>
    <w:p w:rsidR="007A3D3E" w:rsidRPr="007A3D3E" w:rsidRDefault="007A3D3E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 w:rsidRPr="007A3D3E">
        <w:rPr>
          <w:sz w:val="20"/>
          <w:szCs w:val="20"/>
        </w:rPr>
        <w:t>re</w:t>
      </w:r>
      <w:r w:rsidR="00113074">
        <w:rPr>
          <w:sz w:val="20"/>
          <w:szCs w:val="20"/>
        </w:rPr>
        <w:t>s_demand_locationchoice_params</w:t>
      </w:r>
      <w:proofErr w:type="spellEnd"/>
      <w:r w:rsidR="00113074">
        <w:rPr>
          <w:sz w:val="20"/>
          <w:szCs w:val="20"/>
        </w:rPr>
        <w:tab/>
      </w:r>
      <w:r w:rsidRPr="007A3D3E">
        <w:rPr>
          <w:sz w:val="20"/>
          <w:szCs w:val="20"/>
        </w:rPr>
        <w:t>Parameters for residential location choice.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res_demand_lotsize_params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Parameters for residential location choice.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res_demand_tenure_params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Parameters for residential tenure choice.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res_locationprice_year0</w:t>
      </w:r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Residential location price from calibration year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res_supply_base_bldgcost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Base building cost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res_supply_base_lotprice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Base lot price</w:t>
      </w:r>
    </w:p>
    <w:p w:rsidR="00E47373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res_supply_basesalesfraction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 xml:space="preserve">Base fraction </w:t>
      </w:r>
      <w:r w:rsidR="00E47373">
        <w:rPr>
          <w:sz w:val="20"/>
          <w:szCs w:val="20"/>
        </w:rPr>
        <w:t>for</w:t>
      </w:r>
      <w:r w:rsidR="007A3D3E" w:rsidRPr="007A3D3E">
        <w:rPr>
          <w:sz w:val="20"/>
          <w:szCs w:val="20"/>
        </w:rPr>
        <w:t xml:space="preserve"> land supply </w:t>
      </w:r>
      <w:r w:rsidR="00E47373">
        <w:rPr>
          <w:sz w:val="20"/>
          <w:szCs w:val="20"/>
        </w:rPr>
        <w:t>availability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res_supply_feesubsidy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 xml:space="preserve">Cost </w:t>
      </w:r>
      <w:r w:rsidR="00E47373">
        <w:rPr>
          <w:sz w:val="20"/>
          <w:szCs w:val="20"/>
        </w:rPr>
        <w:t xml:space="preserve">or subsidy to building </w:t>
      </w:r>
      <w:r w:rsidR="007A3D3E" w:rsidRPr="007A3D3E">
        <w:rPr>
          <w:sz w:val="20"/>
          <w:szCs w:val="20"/>
        </w:rPr>
        <w:t>cost of each unit.</w:t>
      </w:r>
    </w:p>
    <w:p w:rsidR="007A3D3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res_supply_zclass_lotsize</w:t>
      </w:r>
      <w:proofErr w:type="spellEnd"/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Available lot sizes for each zoning class</w:t>
      </w:r>
    </w:p>
    <w:p w:rsidR="00403D4E" w:rsidRPr="007A3D3E" w:rsidRDefault="00113074" w:rsidP="00113074">
      <w:pPr>
        <w:tabs>
          <w:tab w:val="left" w:pos="360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res_totalsupply_year0</w:t>
      </w:r>
      <w:r>
        <w:rPr>
          <w:sz w:val="20"/>
          <w:szCs w:val="20"/>
        </w:rPr>
        <w:tab/>
      </w:r>
      <w:r w:rsidR="007A3D3E" w:rsidRPr="007A3D3E">
        <w:rPr>
          <w:sz w:val="20"/>
          <w:szCs w:val="20"/>
        </w:rPr>
        <w:t>Total DU supply from calibration year</w:t>
      </w:r>
    </w:p>
    <w:p w:rsidR="00403D4E" w:rsidRPr="007A3D3E" w:rsidRDefault="00403D4E" w:rsidP="007A3D3E">
      <w:pPr>
        <w:tabs>
          <w:tab w:val="left" w:pos="3600"/>
        </w:tabs>
        <w:spacing w:after="0"/>
        <w:rPr>
          <w:sz w:val="20"/>
          <w:szCs w:val="20"/>
        </w:rPr>
      </w:pPr>
    </w:p>
    <w:p w:rsidR="00403D4E" w:rsidRDefault="00403D4E" w:rsidP="00403D4E">
      <w:pPr>
        <w:spacing w:after="0"/>
        <w:rPr>
          <w:sz w:val="24"/>
          <w:szCs w:val="24"/>
        </w:rPr>
      </w:pPr>
    </w:p>
    <w:p w:rsidR="00403D4E" w:rsidRDefault="00403D4E" w:rsidP="00403D4E">
      <w:pPr>
        <w:spacing w:after="0"/>
        <w:rPr>
          <w:rFonts w:ascii="Calibri" w:eastAsia="Times New Roman" w:hAnsi="Calibri" w:cs="Calibri"/>
          <w:color w:val="000000"/>
        </w:rPr>
      </w:pPr>
      <w:r w:rsidRPr="00611BC1">
        <w:rPr>
          <w:b/>
          <w:sz w:val="24"/>
          <w:szCs w:val="24"/>
        </w:rPr>
        <w:t>/</w:t>
      </w:r>
      <w:proofErr w:type="spellStart"/>
      <w:r w:rsidRPr="00611BC1">
        <w:rPr>
          <w:b/>
          <w:sz w:val="24"/>
          <w:szCs w:val="24"/>
        </w:rPr>
        <w:t>inputs_transport</w:t>
      </w:r>
      <w:proofErr w:type="spellEnd"/>
      <w:r w:rsidRPr="00611BC1">
        <w:rPr>
          <w:rFonts w:ascii="Calibri" w:eastAsia="Times New Roman" w:hAnsi="Calibri" w:cs="Calibri"/>
          <w:color w:val="000000"/>
        </w:rPr>
        <w:t xml:space="preserve"> </w:t>
      </w:r>
    </w:p>
    <w:p w:rsidR="00113074" w:rsidRDefault="00113074" w:rsidP="00403D4E">
      <w:pPr>
        <w:spacing w:after="0"/>
        <w:rPr>
          <w:rFonts w:ascii="Calibri" w:eastAsia="Times New Roman" w:hAnsi="Calibri" w:cs="Calibri"/>
          <w:color w:val="000000"/>
        </w:rPr>
      </w:pPr>
    </w:p>
    <w:p w:rsidR="00113074" w:rsidRPr="00113074" w:rsidRDefault="00113074" w:rsidP="00113074">
      <w:pPr>
        <w:spacing w:after="0"/>
        <w:rPr>
          <w:rFonts w:ascii="Calibri" w:eastAsia="Times New Roman" w:hAnsi="Calibri" w:cs="Calibri"/>
          <w:color w:val="000000"/>
        </w:rPr>
      </w:pPr>
      <w:r w:rsidRPr="00113074">
        <w:rPr>
          <w:rFonts w:ascii="Calibri" w:eastAsia="Times New Roman" w:hAnsi="Calibri" w:cs="Calibri"/>
          <w:color w:val="000000"/>
        </w:rPr>
        <w:t>Inputs required for each of the model years.   These are generally what you change to create new scenarios.</w:t>
      </w:r>
      <w:r w:rsidRPr="00113074">
        <w:rPr>
          <w:rFonts w:ascii="Calibri" w:eastAsia="Times New Roman" w:hAnsi="Calibri" w:cs="Calibri"/>
          <w:color w:val="000000"/>
        </w:rPr>
        <w:tab/>
      </w:r>
      <w:r w:rsidRPr="00113074">
        <w:rPr>
          <w:rFonts w:ascii="Calibri" w:eastAsia="Times New Roman" w:hAnsi="Calibri" w:cs="Calibri"/>
          <w:color w:val="000000"/>
        </w:rPr>
        <w:tab/>
      </w:r>
    </w:p>
    <w:p w:rsidR="00113074" w:rsidRPr="00113074" w:rsidRDefault="00113074" w:rsidP="00113074">
      <w:pPr>
        <w:spacing w:after="0"/>
        <w:rPr>
          <w:rFonts w:ascii="Calibri" w:eastAsia="Times New Roman" w:hAnsi="Calibri" w:cs="Calibri"/>
          <w:color w:val="000000"/>
        </w:rPr>
      </w:pPr>
      <w:r w:rsidRPr="00113074">
        <w:rPr>
          <w:rFonts w:ascii="Calibri" w:eastAsia="Times New Roman" w:hAnsi="Calibri" w:cs="Calibri"/>
          <w:color w:val="000000"/>
        </w:rPr>
        <w:tab/>
      </w:r>
      <w:r w:rsidRPr="00113074">
        <w:rPr>
          <w:rFonts w:ascii="Calibri" w:eastAsia="Times New Roman" w:hAnsi="Calibri" w:cs="Calibri"/>
          <w:color w:val="000000"/>
        </w:rPr>
        <w:tab/>
      </w:r>
    </w:p>
    <w:p w:rsidR="00113074" w:rsidRPr="00113074" w:rsidRDefault="00113074" w:rsidP="00113074">
      <w:pPr>
        <w:tabs>
          <w:tab w:val="left" w:pos="3600"/>
        </w:tabs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nonres_traveltime_yearN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 w:rsidRPr="00113074">
        <w:rPr>
          <w:rFonts w:ascii="Calibri" w:eastAsia="Times New Roman" w:hAnsi="Calibri" w:cs="Calibri"/>
          <w:color w:val="000000"/>
        </w:rPr>
        <w:t>Non-residential ezone-to-ezone travel times</w:t>
      </w:r>
    </w:p>
    <w:p w:rsidR="00113074" w:rsidRDefault="00113074" w:rsidP="00113074">
      <w:pPr>
        <w:tabs>
          <w:tab w:val="left" w:pos="3600"/>
        </w:tabs>
        <w:spacing w:after="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res_traveltime_yearN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113074">
        <w:rPr>
          <w:rFonts w:ascii="Calibri" w:eastAsia="Times New Roman" w:hAnsi="Calibri" w:cs="Calibri"/>
          <w:color w:val="000000"/>
        </w:rPr>
        <w:t>Residential ezone-to-</w:t>
      </w:r>
      <w:proofErr w:type="spellStart"/>
      <w:r w:rsidRPr="00113074">
        <w:rPr>
          <w:rFonts w:ascii="Calibri" w:eastAsia="Times New Roman" w:hAnsi="Calibri" w:cs="Calibri"/>
          <w:color w:val="000000"/>
        </w:rPr>
        <w:t>rzone</w:t>
      </w:r>
      <w:proofErr w:type="spellEnd"/>
      <w:r w:rsidRPr="00113074">
        <w:rPr>
          <w:rFonts w:ascii="Calibri" w:eastAsia="Times New Roman" w:hAnsi="Calibri" w:cs="Calibri"/>
          <w:color w:val="000000"/>
        </w:rPr>
        <w:t xml:space="preserve"> travel times</w:t>
      </w:r>
    </w:p>
    <w:p w:rsidR="00113074" w:rsidRDefault="00113074" w:rsidP="00113074">
      <w:pPr>
        <w:tabs>
          <w:tab w:val="left" w:pos="3600"/>
        </w:tabs>
        <w:spacing w:after="0"/>
        <w:rPr>
          <w:rFonts w:ascii="Calibri" w:eastAsia="Times New Roman" w:hAnsi="Calibri" w:cs="Calibri"/>
          <w:color w:val="000000"/>
        </w:rPr>
      </w:pPr>
    </w:p>
    <w:p w:rsidR="00403D4E" w:rsidRDefault="00403D4E" w:rsidP="00403D4E">
      <w:pPr>
        <w:spacing w:after="0"/>
        <w:rPr>
          <w:rFonts w:ascii="Calibri" w:eastAsia="Times New Roman" w:hAnsi="Calibri" w:cs="Calibri"/>
          <w:color w:val="000000"/>
        </w:rPr>
      </w:pPr>
    </w:p>
    <w:p w:rsidR="00403D4E" w:rsidRDefault="00403D4E" w:rsidP="00403D4E">
      <w:pPr>
        <w:spacing w:after="0"/>
        <w:rPr>
          <w:sz w:val="24"/>
          <w:szCs w:val="24"/>
        </w:rPr>
      </w:pPr>
      <w:r w:rsidRPr="006D0879">
        <w:rPr>
          <w:b/>
          <w:sz w:val="24"/>
          <w:szCs w:val="24"/>
        </w:rPr>
        <w:t>/</w:t>
      </w:r>
      <w:proofErr w:type="spellStart"/>
      <w:r w:rsidRPr="006D0879">
        <w:rPr>
          <w:b/>
          <w:sz w:val="24"/>
          <w:szCs w:val="24"/>
        </w:rPr>
        <w:t>outputs_yearN</w:t>
      </w:r>
      <w:proofErr w:type="spellEnd"/>
      <w:r w:rsidRPr="006D08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FA7F50">
        <w:rPr>
          <w:b/>
          <w:sz w:val="24"/>
          <w:szCs w:val="24"/>
        </w:rPr>
        <w:t xml:space="preserve">   </w:t>
      </w:r>
      <w:r w:rsidR="00FA7F50" w:rsidRPr="007D6B35">
        <w:rPr>
          <w:sz w:val="24"/>
          <w:szCs w:val="24"/>
        </w:rPr>
        <w:t>(</w:t>
      </w:r>
      <w:r w:rsidRPr="00FA7F50">
        <w:rPr>
          <w:sz w:val="24"/>
          <w:szCs w:val="24"/>
        </w:rPr>
        <w:t xml:space="preserve">one file for each </w:t>
      </w:r>
      <w:r w:rsidR="00FA7F50" w:rsidRPr="00FA7F50">
        <w:rPr>
          <w:sz w:val="24"/>
          <w:szCs w:val="24"/>
        </w:rPr>
        <w:t xml:space="preserve">model </w:t>
      </w:r>
      <w:r w:rsidRPr="00FA7F50">
        <w:rPr>
          <w:sz w:val="24"/>
          <w:szCs w:val="24"/>
        </w:rPr>
        <w:t>year</w:t>
      </w:r>
      <w:r w:rsidR="00FA7F50">
        <w:rPr>
          <w:sz w:val="24"/>
          <w:szCs w:val="24"/>
        </w:rPr>
        <w:t>)</w:t>
      </w:r>
    </w:p>
    <w:p w:rsidR="00AC76C7" w:rsidRDefault="00AC76C7" w:rsidP="00403D4E">
      <w:pPr>
        <w:spacing w:after="0"/>
        <w:rPr>
          <w:sz w:val="24"/>
          <w:szCs w:val="24"/>
        </w:rPr>
      </w:pP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nonre</w:t>
      </w:r>
      <w:r>
        <w:t>s_supply_acres_consumed_yearN</w:t>
      </w:r>
      <w:proofErr w:type="spellEnd"/>
      <w:r>
        <w:tab/>
      </w:r>
      <w:proofErr w:type="spellStart"/>
      <w:r>
        <w:t>Nonres</w:t>
      </w:r>
      <w:proofErr w:type="spellEnd"/>
      <w:r w:rsidRPr="00840DCF">
        <w:t xml:space="preserve"> </w:t>
      </w:r>
      <w:r>
        <w:t>acres,  consumed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nonres</w:t>
      </w:r>
      <w:r>
        <w:t>_supply_acres_remaining_yearN</w:t>
      </w:r>
      <w:proofErr w:type="spellEnd"/>
      <w:r>
        <w:tab/>
      </w:r>
      <w:proofErr w:type="spellStart"/>
      <w:r>
        <w:t>Non</w:t>
      </w:r>
      <w:r w:rsidRPr="00840DCF">
        <w:t>res</w:t>
      </w:r>
      <w:proofErr w:type="spellEnd"/>
      <w:r w:rsidRPr="00840DCF">
        <w:t xml:space="preserve"> acres,  consumed i</w:t>
      </w:r>
      <w:r>
        <w:t>n model  year</w:t>
      </w:r>
    </w:p>
    <w:p w:rsidR="00840DCF" w:rsidRDefault="00840DCF" w:rsidP="00840DCF">
      <w:pPr>
        <w:tabs>
          <w:tab w:val="left" w:pos="3690"/>
        </w:tabs>
        <w:spacing w:after="0"/>
      </w:pPr>
      <w:proofErr w:type="spellStart"/>
      <w:r>
        <w:t>nonres_demand_emp_yearN</w:t>
      </w:r>
      <w:proofErr w:type="spellEnd"/>
      <w:r>
        <w:tab/>
      </w:r>
      <w:r w:rsidRPr="00840DCF">
        <w:t xml:space="preserve">Total employment demand, </w:t>
      </w:r>
      <w:r>
        <w:t xml:space="preserve">by ezone, emplcass, </w:t>
      </w:r>
    </w:p>
    <w:p w:rsidR="00840DCF" w:rsidRPr="00840DCF" w:rsidRDefault="00840DCF" w:rsidP="00840DCF">
      <w:pPr>
        <w:tabs>
          <w:tab w:val="left" w:pos="3690"/>
        </w:tabs>
        <w:spacing w:after="0"/>
      </w:pPr>
      <w:r>
        <w:tab/>
        <w:t>and real estate type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non</w:t>
      </w:r>
      <w:r>
        <w:t>res_demand_empclass_emp_yearN</w:t>
      </w:r>
      <w:proofErr w:type="spellEnd"/>
      <w:r>
        <w:tab/>
      </w:r>
      <w:r w:rsidRPr="00840DCF">
        <w:t xml:space="preserve">Total employment demand, </w:t>
      </w:r>
      <w:r>
        <w:t>by ezone and emplcass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nonres_demand_hh_yearN</w:t>
      </w:r>
      <w:proofErr w:type="spellEnd"/>
      <w:r>
        <w:tab/>
      </w:r>
      <w:r w:rsidRPr="00840DCF">
        <w:t xml:space="preserve">Households by ezone, from residential </w:t>
      </w:r>
      <w:r>
        <w:t>model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nonres_demand_sqft_yearN</w:t>
      </w:r>
      <w:proofErr w:type="spellEnd"/>
      <w:r>
        <w:tab/>
      </w:r>
      <w:r w:rsidRPr="00840DCF">
        <w:t>Total square foot demand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nonres_locationprice_yearN</w:t>
      </w:r>
      <w:proofErr w:type="spellEnd"/>
      <w:r>
        <w:tab/>
      </w:r>
      <w:r w:rsidRPr="00840DCF">
        <w:t>Non-residential location price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nonres_sqft_newsupply_yearN</w:t>
      </w:r>
      <w:proofErr w:type="spellEnd"/>
      <w:r>
        <w:tab/>
      </w:r>
      <w:r w:rsidRPr="00840DCF">
        <w:t>New regular sqft supply built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nonres_sqftUR_newsupply_yearN</w:t>
      </w:r>
      <w:proofErr w:type="spellEnd"/>
      <w:r>
        <w:tab/>
      </w:r>
      <w:r w:rsidRPr="00840DCF">
        <w:t>New UR sqft supply built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n</w:t>
      </w:r>
      <w:r>
        <w:t>onres_supply_totalsupply_yearN</w:t>
      </w:r>
      <w:proofErr w:type="spellEnd"/>
      <w:r>
        <w:tab/>
      </w:r>
      <w:r w:rsidRPr="00840DCF">
        <w:t>Total sqft supply</w:t>
      </w:r>
    </w:p>
    <w:p w:rsidR="00840DCF" w:rsidRPr="00840DCF" w:rsidRDefault="00840DCF" w:rsidP="00840DCF">
      <w:pPr>
        <w:tabs>
          <w:tab w:val="left" w:pos="3690"/>
        </w:tabs>
        <w:spacing w:after="0"/>
      </w:pPr>
      <w:r w:rsidRPr="00840DCF">
        <w:tab/>
      </w:r>
      <w:r w:rsidRPr="00840DCF">
        <w:tab/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re</w:t>
      </w:r>
      <w:r>
        <w:t>s_supply_acres_consumed_yearN</w:t>
      </w:r>
      <w:proofErr w:type="spellEnd"/>
      <w:r>
        <w:tab/>
      </w:r>
      <w:r w:rsidRPr="00840DCF">
        <w:t>Residential regular</w:t>
      </w:r>
      <w:r>
        <w:t xml:space="preserve"> acres, consumed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res</w:t>
      </w:r>
      <w:r>
        <w:t>_supply_acres_remaining_yearN</w:t>
      </w:r>
      <w:proofErr w:type="spellEnd"/>
      <w:r>
        <w:tab/>
      </w:r>
      <w:r w:rsidRPr="00840DCF">
        <w:t>Residential regular</w:t>
      </w:r>
      <w:r>
        <w:t xml:space="preserve"> acres, consumed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res_demand_avghedonic_bin</w:t>
      </w:r>
      <w:r>
        <w:t>_yearN</w:t>
      </w:r>
      <w:proofErr w:type="spellEnd"/>
      <w:r>
        <w:tab/>
      </w:r>
      <w:r w:rsidRPr="00840DCF">
        <w:t>Average hedonic prices  for each housing bin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res_</w:t>
      </w:r>
      <w:r>
        <w:t>demand_avghousesize_bin_yearN</w:t>
      </w:r>
      <w:proofErr w:type="spellEnd"/>
      <w:r>
        <w:tab/>
      </w:r>
      <w:r w:rsidRPr="00840DCF">
        <w:t>Average house size</w:t>
      </w:r>
      <w:r>
        <w:t xml:space="preserve">  for each housing bin, in sqft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re</w:t>
      </w:r>
      <w:r>
        <w:t>s_demand_avglotsize_bin_yearN</w:t>
      </w:r>
      <w:proofErr w:type="spellEnd"/>
      <w:r>
        <w:tab/>
      </w:r>
      <w:r w:rsidRPr="00840DCF">
        <w:t>Average lot size</w:t>
      </w:r>
      <w:r>
        <w:t xml:space="preserve">  for each housing bin, in sqft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res_demand_binshares_yearN</w:t>
      </w:r>
      <w:proofErr w:type="spellEnd"/>
      <w:r>
        <w:tab/>
      </w:r>
      <w:r w:rsidRPr="00840DCF">
        <w:t>Location wei</w:t>
      </w:r>
      <w:r>
        <w:t>ghts for each housing price bin</w:t>
      </w:r>
    </w:p>
    <w:p w:rsidR="00E13878" w:rsidRPr="00840DCF" w:rsidRDefault="00E13878" w:rsidP="00E13878">
      <w:pPr>
        <w:tabs>
          <w:tab w:val="left" w:pos="3690"/>
        </w:tabs>
        <w:spacing w:after="0"/>
      </w:pPr>
      <w:proofErr w:type="spellStart"/>
      <w:r>
        <w:t>res_demand_RzBin_yearN</w:t>
      </w:r>
      <w:proofErr w:type="spellEnd"/>
      <w:r>
        <w:tab/>
      </w:r>
      <w:r w:rsidRPr="00840DCF">
        <w:t>Total d</w:t>
      </w:r>
      <w:r>
        <w:t xml:space="preserve">emand, by </w:t>
      </w:r>
      <w:proofErr w:type="spellStart"/>
      <w:r>
        <w:t>rzone</w:t>
      </w:r>
      <w:proofErr w:type="spellEnd"/>
      <w:r>
        <w:t xml:space="preserve"> and housing bin</w:t>
      </w:r>
    </w:p>
    <w:p w:rsidR="00E13878" w:rsidRPr="00840DCF" w:rsidRDefault="00E13878" w:rsidP="00E13878">
      <w:pPr>
        <w:tabs>
          <w:tab w:val="left" w:pos="3690"/>
        </w:tabs>
        <w:spacing w:after="0"/>
      </w:pPr>
      <w:proofErr w:type="spellStart"/>
      <w:r>
        <w:t>res_demand_RzEz_yearN</w:t>
      </w:r>
      <w:proofErr w:type="spellEnd"/>
      <w:r>
        <w:tab/>
        <w:t xml:space="preserve">Total demand, by </w:t>
      </w:r>
      <w:proofErr w:type="spellStart"/>
      <w:r>
        <w:t>rzone</w:t>
      </w:r>
      <w:proofErr w:type="spellEnd"/>
      <w:r>
        <w:t xml:space="preserve"> and ezone</w:t>
      </w:r>
    </w:p>
    <w:p w:rsidR="00E13878" w:rsidRPr="00840DCF" w:rsidRDefault="00E13878" w:rsidP="00E13878">
      <w:pPr>
        <w:tabs>
          <w:tab w:val="left" w:pos="3690"/>
        </w:tabs>
        <w:spacing w:after="0"/>
      </w:pPr>
      <w:proofErr w:type="spellStart"/>
      <w:r>
        <w:t>res_demand_RzKHIA_yearN</w:t>
      </w:r>
      <w:proofErr w:type="spellEnd"/>
      <w:r>
        <w:tab/>
        <w:t>Total demand</w:t>
      </w:r>
      <w:r w:rsidRPr="00840DCF">
        <w:t xml:space="preserve">, by </w:t>
      </w:r>
      <w:proofErr w:type="spellStart"/>
      <w:r w:rsidRPr="00840DCF">
        <w:t>rzone</w:t>
      </w:r>
      <w:proofErr w:type="spellEnd"/>
      <w:r w:rsidRPr="00840DCF">
        <w:t xml:space="preserve"> and </w:t>
      </w:r>
      <w:r>
        <w:t>KHIA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res_demand_rzone_yearN</w:t>
      </w:r>
      <w:proofErr w:type="spellEnd"/>
      <w:r>
        <w:tab/>
      </w:r>
      <w:r w:rsidRPr="00840DCF">
        <w:t xml:space="preserve">Total </w:t>
      </w:r>
      <w:r>
        <w:t xml:space="preserve">demand, by </w:t>
      </w:r>
      <w:proofErr w:type="spellStart"/>
      <w:r>
        <w:t>rzone</w:t>
      </w:r>
      <w:proofErr w:type="spellEnd"/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res_locationprice_yearN</w:t>
      </w:r>
      <w:proofErr w:type="spellEnd"/>
      <w:r>
        <w:tab/>
      </w:r>
      <w:r w:rsidRPr="00840DCF">
        <w:t>Residential location price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res_newsupply_yearN</w:t>
      </w:r>
      <w:proofErr w:type="spellEnd"/>
      <w:r>
        <w:tab/>
      </w:r>
      <w:r w:rsidRPr="00840DCF">
        <w:t>New regular households built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>
        <w:t>res_newsupplyUR_yearN</w:t>
      </w:r>
      <w:proofErr w:type="spellEnd"/>
      <w:r>
        <w:tab/>
      </w:r>
      <w:r w:rsidRPr="00840DCF">
        <w:t>New UR households built in model year</w:t>
      </w:r>
    </w:p>
    <w:p w:rsidR="00840DCF" w:rsidRPr="00840DCF" w:rsidRDefault="00840DCF" w:rsidP="00840DCF">
      <w:pPr>
        <w:tabs>
          <w:tab w:val="left" w:pos="3690"/>
        </w:tabs>
        <w:spacing w:after="0"/>
      </w:pPr>
      <w:proofErr w:type="spellStart"/>
      <w:r w:rsidRPr="00840DCF">
        <w:t>res_totalsupply</w:t>
      </w:r>
      <w:r>
        <w:t>_yearN</w:t>
      </w:r>
      <w:proofErr w:type="spellEnd"/>
      <w:r>
        <w:tab/>
      </w:r>
      <w:r w:rsidRPr="00840DCF">
        <w:t>Total households in model year</w:t>
      </w:r>
    </w:p>
    <w:p w:rsidR="00403D4E" w:rsidRDefault="00403D4E" w:rsidP="00840DCF">
      <w:pPr>
        <w:tabs>
          <w:tab w:val="left" w:pos="3690"/>
        </w:tabs>
        <w:spacing w:after="0"/>
        <w:rPr>
          <w:sz w:val="24"/>
          <w:szCs w:val="24"/>
        </w:rPr>
      </w:pPr>
    </w:p>
    <w:p w:rsidR="00CB1CFA" w:rsidRDefault="00CB1CFA" w:rsidP="00CB1CFA">
      <w:pPr>
        <w:rPr>
          <w:sz w:val="20"/>
          <w:szCs w:val="20"/>
        </w:rPr>
      </w:pPr>
    </w:p>
    <w:p w:rsidR="00EE2ABB" w:rsidRPr="00EE2ABB" w:rsidRDefault="00EE2ABB" w:rsidP="00CB1CFA">
      <w:pPr>
        <w:rPr>
          <w:sz w:val="20"/>
          <w:szCs w:val="20"/>
        </w:rPr>
      </w:pPr>
      <w:r>
        <w:rPr>
          <w:sz w:val="32"/>
          <w:szCs w:val="32"/>
        </w:rPr>
        <w:lastRenderedPageBreak/>
        <w:t xml:space="preserve">Glossary and </w:t>
      </w:r>
      <w:r w:rsidR="00CB1CFA">
        <w:rPr>
          <w:sz w:val="32"/>
          <w:szCs w:val="32"/>
        </w:rPr>
        <w:t xml:space="preserve">Category </w:t>
      </w:r>
      <w:r>
        <w:rPr>
          <w:sz w:val="32"/>
          <w:szCs w:val="32"/>
        </w:rPr>
        <w:t>Definitions</w:t>
      </w:r>
    </w:p>
    <w:p w:rsidR="00CB1CFA" w:rsidRDefault="0036331A" w:rsidP="00CB1CFA">
      <w:pPr>
        <w:tabs>
          <w:tab w:val="left" w:pos="1530"/>
        </w:tabs>
        <w:spacing w:after="0" w:line="240" w:lineRule="auto"/>
      </w:pPr>
      <w:r w:rsidRPr="00EE2ABB">
        <w:rPr>
          <w:sz w:val="24"/>
          <w:szCs w:val="24"/>
        </w:rPr>
        <w:t>From Residential Model</w:t>
      </w:r>
      <w:r w:rsidR="002B5603" w:rsidRPr="00EE2ABB">
        <w:rPr>
          <w:sz w:val="24"/>
          <w:szCs w:val="24"/>
        </w:rPr>
        <w:t>:</w:t>
      </w:r>
      <w:r w:rsidRPr="00EE2ABB">
        <w:rPr>
          <w:sz w:val="24"/>
          <w:szCs w:val="24"/>
        </w:rPr>
        <w:tab/>
      </w:r>
    </w:p>
    <w:p w:rsidR="00CB1CFA" w:rsidRDefault="00CB1CFA" w:rsidP="00CB1CFA">
      <w:pPr>
        <w:tabs>
          <w:tab w:val="left" w:pos="1530"/>
        </w:tabs>
        <w:spacing w:after="0" w:line="240" w:lineRule="auto"/>
      </w:pPr>
    </w:p>
    <w:p w:rsidR="00CB1CFA" w:rsidRDefault="00CB1CFA" w:rsidP="00CB1CFA">
      <w:pPr>
        <w:tabs>
          <w:tab w:val="left" w:pos="1530"/>
        </w:tabs>
        <w:spacing w:after="0" w:line="240" w:lineRule="auto"/>
      </w:pPr>
      <w:r w:rsidRPr="00194B0A">
        <w:rPr>
          <w:b/>
        </w:rPr>
        <w:t>Res</w:t>
      </w:r>
      <w:r w:rsidRPr="002B5603">
        <w:tab/>
        <w:t>Residential</w:t>
      </w:r>
    </w:p>
    <w:p w:rsidR="00CB1CFA" w:rsidRPr="002B5603" w:rsidRDefault="00CB1CFA" w:rsidP="00CB1CFA">
      <w:pPr>
        <w:tabs>
          <w:tab w:val="left" w:pos="1530"/>
        </w:tabs>
        <w:spacing w:after="0" w:line="240" w:lineRule="auto"/>
      </w:pPr>
      <w:r w:rsidRPr="00194B0A">
        <w:rPr>
          <w:b/>
        </w:rPr>
        <w:t>Regular</w:t>
      </w:r>
      <w:r w:rsidRPr="002B5603">
        <w:tab/>
        <w:t>Land supply not given a building cost subsidy.</w:t>
      </w:r>
    </w:p>
    <w:p w:rsidR="00CB1CFA" w:rsidRPr="002B5603" w:rsidRDefault="00CB1CFA" w:rsidP="00CB1CFA">
      <w:pPr>
        <w:tabs>
          <w:tab w:val="left" w:pos="1530"/>
        </w:tabs>
        <w:spacing w:after="0" w:line="240" w:lineRule="auto"/>
      </w:pPr>
      <w:r w:rsidRPr="007D4A4F">
        <w:rPr>
          <w:b/>
        </w:rPr>
        <w:t>UR, Urban</w:t>
      </w:r>
      <w:r>
        <w:t xml:space="preserve"> </w:t>
      </w:r>
      <w:r w:rsidRPr="00741664">
        <w:rPr>
          <w:b/>
        </w:rPr>
        <w:t>Renewal</w:t>
      </w:r>
      <w:r w:rsidRPr="002B5603">
        <w:tab/>
        <w:t>Land supply given a building cost subsidy</w:t>
      </w:r>
    </w:p>
    <w:p w:rsidR="0036331A" w:rsidRPr="002B5603" w:rsidRDefault="0036331A" w:rsidP="009058C4">
      <w:pPr>
        <w:tabs>
          <w:tab w:val="left" w:pos="1530"/>
        </w:tabs>
        <w:spacing w:after="0" w:line="240" w:lineRule="auto"/>
      </w:pPr>
    </w:p>
    <w:p w:rsidR="0036331A" w:rsidRPr="002B5603" w:rsidRDefault="008A3F08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Rzones</w:t>
      </w:r>
      <w:proofErr w:type="spellEnd"/>
      <w:r>
        <w:tab/>
      </w:r>
      <w:r w:rsidR="0036331A" w:rsidRPr="002B5603">
        <w:t>Residential zones, used by the residential model.  Metro currently uses 425 r</w:t>
      </w:r>
      <w:r w:rsidR="00402737">
        <w:t xml:space="preserve">esidential </w:t>
      </w:r>
      <w:r w:rsidR="0036331A" w:rsidRPr="002B5603">
        <w:t>zones, based</w:t>
      </w:r>
      <w:r w:rsidR="002B5603" w:rsidRPr="002B5603">
        <w:t xml:space="preserve"> on Year 2000 US Census tracts.</w:t>
      </w:r>
    </w:p>
    <w:p w:rsidR="002B5603" w:rsidRPr="002B5603" w:rsidRDefault="002B5603" w:rsidP="009058C4">
      <w:pPr>
        <w:tabs>
          <w:tab w:val="left" w:pos="1530"/>
        </w:tabs>
        <w:spacing w:after="0" w:line="240" w:lineRule="auto"/>
      </w:pPr>
    </w:p>
    <w:p w:rsidR="0036331A" w:rsidRPr="002B5603" w:rsidRDefault="008A3F08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Zclass</w:t>
      </w:r>
      <w:proofErr w:type="spellEnd"/>
      <w:r>
        <w:tab/>
      </w:r>
      <w:r w:rsidR="0036331A" w:rsidRPr="002B5603">
        <w:t>Residential zoning classes.   Each class defined by minimum and maximum lot sizes per dwelling unit. Refer to input tabl</w:t>
      </w:r>
      <w:r w:rsidR="002B5603" w:rsidRPr="002B5603">
        <w:t>e "</w:t>
      </w:r>
      <w:proofErr w:type="spellStart"/>
      <w:r w:rsidR="002B5603" w:rsidRPr="002B5603">
        <w:t>res_supply_zclass_lotsize</w:t>
      </w:r>
      <w:proofErr w:type="spellEnd"/>
      <w:r w:rsidR="002B5603" w:rsidRPr="002B5603">
        <w:t>"</w:t>
      </w:r>
    </w:p>
    <w:p w:rsidR="002B5603" w:rsidRPr="002B5603" w:rsidRDefault="002B5603" w:rsidP="009058C4">
      <w:pPr>
        <w:tabs>
          <w:tab w:val="left" w:pos="1530"/>
        </w:tabs>
        <w:spacing w:after="0" w:line="240" w:lineRule="auto"/>
      </w:pPr>
    </w:p>
    <w:p w:rsidR="0036331A" w:rsidRPr="002B5603" w:rsidRDefault="0036331A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Htypes</w:t>
      </w:r>
      <w:proofErr w:type="spellEnd"/>
      <w:r w:rsidRPr="002B5603">
        <w:tab/>
        <w:t>Residential housing types: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2B5603" w:rsidRPr="00194B0A">
        <w:rPr>
          <w:b/>
        </w:rPr>
        <w:t>OSF</w:t>
      </w:r>
      <w:r w:rsidR="002B5603" w:rsidRPr="002B5603">
        <w:tab/>
        <w:t>Owner, Single Family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2B5603" w:rsidRPr="00194B0A">
        <w:rPr>
          <w:b/>
        </w:rPr>
        <w:t>OMF</w:t>
      </w:r>
      <w:r w:rsidR="002B5603" w:rsidRPr="002B5603">
        <w:tab/>
        <w:t>Owner, Multi Family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2B5603" w:rsidRPr="00194B0A">
        <w:rPr>
          <w:b/>
        </w:rPr>
        <w:t>RSF</w:t>
      </w:r>
      <w:r w:rsidR="002B5603" w:rsidRPr="002B5603">
        <w:tab/>
        <w:t>Renter, Single Family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2B5603" w:rsidRPr="00194B0A">
        <w:rPr>
          <w:b/>
        </w:rPr>
        <w:t>RMF</w:t>
      </w:r>
      <w:r w:rsidR="002B5603" w:rsidRPr="002B5603">
        <w:tab/>
        <w:t>Renter, Multi Family</w:t>
      </w:r>
    </w:p>
    <w:p w:rsidR="0036331A" w:rsidRPr="002B5603" w:rsidRDefault="0036331A" w:rsidP="009058C4">
      <w:pPr>
        <w:tabs>
          <w:tab w:val="left" w:pos="1530"/>
        </w:tabs>
        <w:spacing w:after="0" w:line="240" w:lineRule="auto"/>
      </w:pPr>
      <w:r w:rsidRPr="002B5603">
        <w:tab/>
      </w:r>
    </w:p>
    <w:p w:rsidR="0036331A" w:rsidRDefault="008A3F08" w:rsidP="009058C4">
      <w:pPr>
        <w:tabs>
          <w:tab w:val="left" w:pos="1530"/>
        </w:tabs>
        <w:spacing w:after="0" w:line="240" w:lineRule="auto"/>
      </w:pPr>
      <w:r w:rsidRPr="00194B0A">
        <w:rPr>
          <w:b/>
        </w:rPr>
        <w:t>Bins</w:t>
      </w:r>
      <w:r>
        <w:tab/>
      </w:r>
      <w:r w:rsidR="0036331A" w:rsidRPr="002B5603">
        <w:t>Residential housing value bins.  These are groupings of KHIA categories into eight value classes to allow more realistic supply and demand of di</w:t>
      </w:r>
      <w:r>
        <w:t>fferent market segments.  See "</w:t>
      </w:r>
      <w:r w:rsidR="0036331A" w:rsidRPr="002B5603">
        <w:t>Me</w:t>
      </w:r>
      <w:r>
        <w:t>troScope Theory and Practice".</w:t>
      </w:r>
    </w:p>
    <w:p w:rsidR="0061531A" w:rsidRPr="002B5603" w:rsidRDefault="0061531A" w:rsidP="009058C4">
      <w:pPr>
        <w:tabs>
          <w:tab w:val="left" w:pos="1530"/>
        </w:tabs>
        <w:spacing w:after="0" w:line="240" w:lineRule="auto"/>
      </w:pPr>
    </w:p>
    <w:p w:rsidR="0036331A" w:rsidRPr="002B5603" w:rsidRDefault="00CF53A0" w:rsidP="009058C4">
      <w:pPr>
        <w:tabs>
          <w:tab w:val="left" w:pos="1530"/>
        </w:tabs>
        <w:spacing w:after="0" w:line="240" w:lineRule="auto"/>
      </w:pPr>
      <w:r w:rsidRPr="00194B0A">
        <w:rPr>
          <w:b/>
        </w:rPr>
        <w:t>HH, DU</w:t>
      </w:r>
      <w:r w:rsidR="00B728BC">
        <w:tab/>
      </w:r>
      <w:r w:rsidR="0036331A" w:rsidRPr="002B5603">
        <w:t xml:space="preserve">Households, Dwelling Units.   At Metro, the forecast is in households, then dwelling units are estimated by adding a 5% vacancy rate.  Note:  in the documentation and code, sometime the </w:t>
      </w:r>
      <w:r w:rsidR="00DF1F47">
        <w:t>terms are used interchangeably.</w:t>
      </w:r>
    </w:p>
    <w:p w:rsidR="0036331A" w:rsidRDefault="0036331A" w:rsidP="009058C4">
      <w:pPr>
        <w:tabs>
          <w:tab w:val="left" w:pos="1530"/>
        </w:tabs>
        <w:spacing w:after="0" w:line="240" w:lineRule="auto"/>
      </w:pPr>
      <w:r w:rsidRPr="002B5603">
        <w:tab/>
      </w:r>
    </w:p>
    <w:p w:rsidR="006738BA" w:rsidRDefault="00CB1CFA" w:rsidP="00CB1CFA">
      <w:pPr>
        <w:tabs>
          <w:tab w:val="left" w:pos="1530"/>
        </w:tabs>
        <w:spacing w:after="0" w:line="240" w:lineRule="auto"/>
      </w:pPr>
      <w:r w:rsidRPr="00194B0A">
        <w:rPr>
          <w:b/>
        </w:rPr>
        <w:t>K, H, I, A, KHIA</w:t>
      </w:r>
      <w:r>
        <w:tab/>
      </w:r>
      <w:r w:rsidRPr="002B5603">
        <w:t>Residential market segments, based on US Census categories.  School-age children present (K), Household size (H), Income (I), Age of household head (A); coll</w:t>
      </w:r>
      <w:r>
        <w:t xml:space="preserve">ectively referred to as "KHIA".   </w:t>
      </w:r>
    </w:p>
    <w:p w:rsidR="006738BA" w:rsidRDefault="006738BA" w:rsidP="00CB1CFA">
      <w:pPr>
        <w:tabs>
          <w:tab w:val="left" w:pos="1530"/>
        </w:tabs>
        <w:spacing w:after="0" w:line="240" w:lineRule="auto"/>
      </w:pPr>
    </w:p>
    <w:p w:rsidR="006738BA" w:rsidRDefault="006738BA" w:rsidP="00CB1CFA">
      <w:pPr>
        <w:tabs>
          <w:tab w:val="left" w:pos="1530"/>
        </w:tabs>
        <w:spacing w:after="0" w:line="240" w:lineRule="auto"/>
      </w:pPr>
      <w:r>
        <w:t>Categories currently used at Metro: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ab/>
      </w:r>
      <w:r>
        <w:tab/>
      </w:r>
    </w:p>
    <w:p w:rsidR="00CB1CFA" w:rsidRPr="00766EDA" w:rsidRDefault="00CB1CFA" w:rsidP="00CB1CFA">
      <w:pPr>
        <w:tabs>
          <w:tab w:val="left" w:pos="1530"/>
        </w:tabs>
        <w:spacing w:after="0" w:line="240" w:lineRule="auto"/>
        <w:rPr>
          <w:b/>
        </w:rPr>
      </w:pPr>
      <w:r w:rsidRPr="00766EDA">
        <w:rPr>
          <w:b/>
        </w:rPr>
        <w:t>K = School Age Children Present</w:t>
      </w:r>
      <w:r w:rsidRPr="00766EDA">
        <w:rPr>
          <w:b/>
        </w:rPr>
        <w:tab/>
      </w:r>
      <w:r w:rsidRPr="00766EDA">
        <w:rPr>
          <w:b/>
        </w:rPr>
        <w:tab/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k0</w:t>
      </w:r>
      <w:r>
        <w:tab/>
        <w:t>no kids</w:t>
      </w:r>
      <w:r>
        <w:tab/>
        <w:t>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k1</w:t>
      </w:r>
      <w:r>
        <w:tab/>
        <w:t>with kids</w:t>
      </w:r>
      <w:r>
        <w:tab/>
        <w:t>1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ab/>
      </w:r>
      <w:r>
        <w:tab/>
      </w:r>
    </w:p>
    <w:p w:rsidR="00CB1CFA" w:rsidRPr="00766EDA" w:rsidRDefault="00CB1CFA" w:rsidP="00CB1CFA">
      <w:pPr>
        <w:tabs>
          <w:tab w:val="left" w:pos="1530"/>
        </w:tabs>
        <w:spacing w:after="0" w:line="240" w:lineRule="auto"/>
        <w:rPr>
          <w:b/>
        </w:rPr>
      </w:pPr>
      <w:r w:rsidRPr="00766EDA">
        <w:rPr>
          <w:b/>
        </w:rPr>
        <w:t>I = Income</w:t>
      </w:r>
      <w:r w:rsidRPr="00766EDA">
        <w:rPr>
          <w:b/>
        </w:rPr>
        <w:tab/>
      </w:r>
      <w:r w:rsidRPr="00766EDA">
        <w:rPr>
          <w:b/>
        </w:rPr>
        <w:tab/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i1</w:t>
      </w:r>
      <w:r>
        <w:tab/>
        <w:t>Less than $14,999</w:t>
      </w:r>
      <w:r>
        <w:tab/>
        <w:t>10000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i2</w:t>
      </w:r>
      <w:r>
        <w:tab/>
        <w:t>$15,000 to $24,999</w:t>
      </w:r>
      <w:r>
        <w:tab/>
        <w:t>20000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i3</w:t>
      </w:r>
      <w:r>
        <w:tab/>
        <w:t>$25,000 to $34,999</w:t>
      </w:r>
      <w:r>
        <w:tab/>
        <w:t>30000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i4</w:t>
      </w:r>
      <w:r>
        <w:tab/>
        <w:t>$35,000 to $44,999</w:t>
      </w:r>
      <w:r>
        <w:tab/>
        <w:t>40000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i5</w:t>
      </w:r>
      <w:r>
        <w:tab/>
        <w:t>$45,000 to $59,999</w:t>
      </w:r>
      <w:r>
        <w:tab/>
        <w:t>52500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i6</w:t>
      </w:r>
      <w:r>
        <w:tab/>
        <w:t>$60,000 to $74,999</w:t>
      </w:r>
      <w:r>
        <w:tab/>
        <w:t>67500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i7</w:t>
      </w:r>
      <w:r>
        <w:tab/>
        <w:t>$75,000 to $99,999</w:t>
      </w:r>
      <w:r>
        <w:tab/>
        <w:t>87500</w:t>
      </w:r>
    </w:p>
    <w:p w:rsidR="009E1131" w:rsidRDefault="00CB1CFA" w:rsidP="00CB1CFA">
      <w:pPr>
        <w:tabs>
          <w:tab w:val="left" w:pos="1530"/>
        </w:tabs>
        <w:spacing w:after="0" w:line="240" w:lineRule="auto"/>
      </w:pPr>
      <w:r>
        <w:t>i8</w:t>
      </w:r>
      <w:r>
        <w:tab/>
        <w:t>$100,000 or more</w:t>
      </w:r>
      <w:r>
        <w:tab/>
        <w:t>125000</w:t>
      </w:r>
    </w:p>
    <w:p w:rsidR="00CB1CFA" w:rsidRPr="009E1131" w:rsidRDefault="00CB1CFA" w:rsidP="00CB1CFA">
      <w:pPr>
        <w:tabs>
          <w:tab w:val="left" w:pos="1530"/>
        </w:tabs>
        <w:spacing w:after="0" w:line="240" w:lineRule="auto"/>
      </w:pPr>
      <w:r w:rsidRPr="00766EDA">
        <w:rPr>
          <w:b/>
        </w:rPr>
        <w:lastRenderedPageBreak/>
        <w:t>H = Household Size</w:t>
      </w:r>
      <w:r w:rsidRPr="00766EDA">
        <w:rPr>
          <w:b/>
        </w:rPr>
        <w:tab/>
      </w:r>
      <w:r w:rsidRPr="00766EDA">
        <w:rPr>
          <w:b/>
        </w:rPr>
        <w:tab/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h1</w:t>
      </w:r>
      <w:r>
        <w:tab/>
        <w:t>1 person</w:t>
      </w:r>
      <w:r>
        <w:tab/>
        <w:t>1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h2</w:t>
      </w:r>
      <w:r>
        <w:tab/>
        <w:t>2 persons</w:t>
      </w:r>
      <w:r>
        <w:tab/>
        <w:t>2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h3</w:t>
      </w:r>
      <w:r>
        <w:tab/>
        <w:t>3 persons</w:t>
      </w:r>
      <w:r>
        <w:tab/>
        <w:t>3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h4</w:t>
      </w:r>
      <w:r>
        <w:tab/>
        <w:t>4 persons</w:t>
      </w:r>
      <w:r>
        <w:tab/>
        <w:t>4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h5+</w:t>
      </w:r>
      <w:r>
        <w:tab/>
        <w:t>5 or more persons</w:t>
      </w:r>
      <w:r>
        <w:tab/>
        <w:t>5.5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ab/>
      </w:r>
      <w:r>
        <w:tab/>
      </w:r>
    </w:p>
    <w:p w:rsidR="00CB1CFA" w:rsidRPr="00766EDA" w:rsidRDefault="00CB1CFA" w:rsidP="00CB1CFA">
      <w:pPr>
        <w:tabs>
          <w:tab w:val="left" w:pos="1530"/>
        </w:tabs>
        <w:spacing w:after="0" w:line="240" w:lineRule="auto"/>
        <w:rPr>
          <w:b/>
        </w:rPr>
      </w:pPr>
      <w:r w:rsidRPr="00766EDA">
        <w:rPr>
          <w:b/>
        </w:rPr>
        <w:t>A = Age of Household Head</w:t>
      </w:r>
      <w:r w:rsidRPr="00766EDA">
        <w:rPr>
          <w:b/>
        </w:rPr>
        <w:tab/>
      </w:r>
      <w:r w:rsidRPr="00766EDA">
        <w:rPr>
          <w:b/>
        </w:rPr>
        <w:tab/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a1</w:t>
      </w:r>
      <w:r>
        <w:tab/>
        <w:t>Under 25</w:t>
      </w:r>
      <w:r>
        <w:tab/>
        <w:t>20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a2</w:t>
      </w:r>
      <w:r>
        <w:tab/>
        <w:t>25 to 44</w:t>
      </w:r>
      <w:r>
        <w:tab/>
        <w:t>35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a3</w:t>
      </w:r>
      <w:r>
        <w:tab/>
        <w:t>45 to 54</w:t>
      </w:r>
      <w:r>
        <w:tab/>
        <w:t>50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>
        <w:t>a4</w:t>
      </w:r>
      <w:r>
        <w:tab/>
        <w:t>55 to 64</w:t>
      </w:r>
      <w:r>
        <w:tab/>
        <w:t>60</w:t>
      </w:r>
    </w:p>
    <w:p w:rsidR="00CB1CFA" w:rsidRPr="002B5603" w:rsidRDefault="00CB1CFA" w:rsidP="00CB1CFA">
      <w:pPr>
        <w:tabs>
          <w:tab w:val="left" w:pos="1530"/>
        </w:tabs>
        <w:spacing w:after="0" w:line="240" w:lineRule="auto"/>
      </w:pPr>
      <w:r>
        <w:t>a5</w:t>
      </w:r>
      <w:r>
        <w:tab/>
        <w:t>65 &amp; over</w:t>
      </w:r>
      <w:r>
        <w:tab/>
        <w:t>70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  <w:r w:rsidRPr="002B5603">
        <w:tab/>
      </w:r>
    </w:p>
    <w:p w:rsidR="0036331A" w:rsidRDefault="00EE2ABB" w:rsidP="009058C4">
      <w:pPr>
        <w:tabs>
          <w:tab w:val="left" w:pos="15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Non-Residential Model:</w:t>
      </w:r>
    </w:p>
    <w:p w:rsidR="00CB1CFA" w:rsidRPr="00EE2ABB" w:rsidRDefault="00CB1CFA" w:rsidP="009058C4">
      <w:pPr>
        <w:tabs>
          <w:tab w:val="left" w:pos="1530"/>
        </w:tabs>
        <w:spacing w:after="0" w:line="240" w:lineRule="auto"/>
        <w:rPr>
          <w:sz w:val="24"/>
          <w:szCs w:val="24"/>
        </w:rPr>
      </w:pPr>
    </w:p>
    <w:p w:rsidR="00CB1CFA" w:rsidRPr="002B5603" w:rsidRDefault="00CB1CFA" w:rsidP="00CB1CFA">
      <w:pPr>
        <w:tabs>
          <w:tab w:val="left" w:pos="180"/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Nonres</w:t>
      </w:r>
      <w:proofErr w:type="spellEnd"/>
      <w:r w:rsidRPr="002B5603">
        <w:tab/>
        <w:t>Non-Residential</w:t>
      </w:r>
    </w:p>
    <w:p w:rsidR="00CB1CFA" w:rsidRDefault="00766EDA" w:rsidP="00CB1CFA">
      <w:pPr>
        <w:tabs>
          <w:tab w:val="left" w:pos="1530"/>
        </w:tabs>
        <w:spacing w:after="0" w:line="240" w:lineRule="auto"/>
      </w:pPr>
      <w:r>
        <w:rPr>
          <w:b/>
        </w:rPr>
        <w:t>E</w:t>
      </w:r>
      <w:r w:rsidR="00CB1CFA" w:rsidRPr="00194B0A">
        <w:rPr>
          <w:b/>
        </w:rPr>
        <w:t>mp</w:t>
      </w:r>
      <w:r w:rsidR="00CB1CFA">
        <w:tab/>
      </w:r>
      <w:r w:rsidR="00CB1CFA" w:rsidRPr="002B5603">
        <w:t>Employment       Note: i</w:t>
      </w:r>
      <w:r w:rsidR="00CB1CFA">
        <w:t>n the documentation and code, "</w:t>
      </w:r>
      <w:proofErr w:type="spellStart"/>
      <w:r w:rsidR="00CB1CFA">
        <w:t>emp</w:t>
      </w:r>
      <w:proofErr w:type="spellEnd"/>
      <w:r w:rsidR="00CB1CFA">
        <w:t>" and "</w:t>
      </w:r>
      <w:proofErr w:type="spellStart"/>
      <w:r w:rsidR="00CB1CFA" w:rsidRPr="002B5603">
        <w:t>n</w:t>
      </w:r>
      <w:r w:rsidR="00CB1CFA">
        <w:t>onres</w:t>
      </w:r>
      <w:proofErr w:type="spellEnd"/>
      <w:r w:rsidR="00CB1CFA">
        <w:t>"</w:t>
      </w:r>
      <w:r w:rsidR="00CB1CFA" w:rsidRPr="002B5603">
        <w:t xml:space="preserve"> are sometimes used interchang</w:t>
      </w:r>
      <w:r w:rsidR="00CB1CFA">
        <w:t>eably.</w:t>
      </w:r>
    </w:p>
    <w:p w:rsidR="00CB1CFA" w:rsidRDefault="00CB1CFA" w:rsidP="00CB1CFA">
      <w:pPr>
        <w:tabs>
          <w:tab w:val="left" w:pos="1530"/>
        </w:tabs>
        <w:spacing w:after="0" w:line="240" w:lineRule="auto"/>
      </w:pPr>
    </w:p>
    <w:p w:rsidR="00CB1CFA" w:rsidRPr="002B5603" w:rsidRDefault="00CB1CFA" w:rsidP="00CB1CFA">
      <w:pPr>
        <w:tabs>
          <w:tab w:val="left" w:pos="1530"/>
        </w:tabs>
        <w:spacing w:after="0" w:line="240" w:lineRule="auto"/>
      </w:pPr>
      <w:r w:rsidRPr="00194B0A">
        <w:rPr>
          <w:b/>
        </w:rPr>
        <w:t>Regular</w:t>
      </w:r>
      <w:r w:rsidRPr="002B5603">
        <w:tab/>
        <w:t>Land supply not given a building cost subsidy.</w:t>
      </w:r>
    </w:p>
    <w:p w:rsidR="00CB1CFA" w:rsidRPr="002B5603" w:rsidRDefault="00CB1CFA" w:rsidP="00CB1CFA">
      <w:pPr>
        <w:tabs>
          <w:tab w:val="left" w:pos="1530"/>
        </w:tabs>
        <w:spacing w:after="0" w:line="240" w:lineRule="auto"/>
      </w:pPr>
      <w:r w:rsidRPr="007D4A4F">
        <w:rPr>
          <w:b/>
        </w:rPr>
        <w:t>UR, Urban</w:t>
      </w:r>
      <w:r>
        <w:t xml:space="preserve"> </w:t>
      </w:r>
      <w:r w:rsidRPr="00741664">
        <w:rPr>
          <w:b/>
        </w:rPr>
        <w:t>Renewal</w:t>
      </w:r>
      <w:r w:rsidRPr="002B5603">
        <w:tab/>
        <w:t>Land supply given a building cost subsidy</w:t>
      </w:r>
    </w:p>
    <w:p w:rsidR="0036331A" w:rsidRPr="002B5603" w:rsidRDefault="0036331A" w:rsidP="009058C4">
      <w:pPr>
        <w:tabs>
          <w:tab w:val="left" w:pos="1530"/>
        </w:tabs>
        <w:spacing w:after="0" w:line="240" w:lineRule="auto"/>
      </w:pPr>
      <w:r w:rsidRPr="002B5603">
        <w:tab/>
      </w:r>
    </w:p>
    <w:p w:rsidR="0036331A" w:rsidRDefault="00B728BC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Ezones</w:t>
      </w:r>
      <w:proofErr w:type="spellEnd"/>
      <w:r>
        <w:tab/>
      </w:r>
      <w:r w:rsidR="0036331A" w:rsidRPr="002B5603">
        <w:t xml:space="preserve">Employment zones, used by the non-residential model.  Metro currently uses 72 </w:t>
      </w:r>
      <w:r w:rsidR="00066AC4">
        <w:t xml:space="preserve">employment </w:t>
      </w:r>
      <w:r w:rsidR="0036331A" w:rsidRPr="002B5603">
        <w:t>zon</w:t>
      </w:r>
      <w:r w:rsidR="002D1C74">
        <w:t>es, which are groups of r</w:t>
      </w:r>
      <w:r w:rsidR="00215CD1">
        <w:t xml:space="preserve">esidential </w:t>
      </w:r>
      <w:r w:rsidR="002D1C74">
        <w:t>zones.</w:t>
      </w:r>
    </w:p>
    <w:p w:rsidR="0054153C" w:rsidRDefault="0054153C" w:rsidP="009058C4">
      <w:pPr>
        <w:tabs>
          <w:tab w:val="left" w:pos="1530"/>
        </w:tabs>
        <w:spacing w:after="0" w:line="240" w:lineRule="auto"/>
        <w:rPr>
          <w:b/>
        </w:rPr>
      </w:pPr>
    </w:p>
    <w:p w:rsidR="0036331A" w:rsidRPr="002B5603" w:rsidRDefault="002B5603" w:rsidP="009058C4">
      <w:pPr>
        <w:tabs>
          <w:tab w:val="left" w:pos="1530"/>
        </w:tabs>
        <w:spacing w:after="0" w:line="240" w:lineRule="auto"/>
      </w:pPr>
      <w:r w:rsidRPr="00194B0A">
        <w:rPr>
          <w:b/>
        </w:rPr>
        <w:t>FAR</w:t>
      </w:r>
      <w:r>
        <w:tab/>
      </w:r>
      <w:r w:rsidR="0036331A" w:rsidRPr="002B5603">
        <w:t>Floor-to-Area ratio categories, used by non-residential model.  A measure of building square footage allowed for a given land sup</w:t>
      </w:r>
      <w:r>
        <w:t>ply acreage.   Refer to table "</w:t>
      </w:r>
      <w:proofErr w:type="spellStart"/>
      <w:r>
        <w:t>nonres_supply_farclass_param</w:t>
      </w:r>
      <w:proofErr w:type="spellEnd"/>
      <w:r>
        <w:t>".</w:t>
      </w:r>
    </w:p>
    <w:p w:rsidR="0036331A" w:rsidRPr="002B5603" w:rsidRDefault="0036331A" w:rsidP="009058C4">
      <w:pPr>
        <w:tabs>
          <w:tab w:val="left" w:pos="1530"/>
        </w:tabs>
        <w:spacing w:after="0" w:line="240" w:lineRule="auto"/>
      </w:pPr>
      <w:r w:rsidRPr="002B5603">
        <w:tab/>
      </w:r>
    </w:p>
    <w:p w:rsidR="0036331A" w:rsidRPr="002B5603" w:rsidRDefault="002B5603" w:rsidP="009058C4">
      <w:pPr>
        <w:tabs>
          <w:tab w:val="left" w:pos="1530"/>
        </w:tabs>
        <w:spacing w:after="0" w:line="240" w:lineRule="auto"/>
      </w:pPr>
      <w:r w:rsidRPr="00194B0A">
        <w:rPr>
          <w:b/>
        </w:rPr>
        <w:t>RE, RE types</w:t>
      </w:r>
      <w:r w:rsidR="0036331A" w:rsidRPr="002B5603">
        <w:tab/>
        <w:t>Non-residential real estate types: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36331A" w:rsidRPr="00194B0A">
        <w:rPr>
          <w:b/>
        </w:rPr>
        <w:t>Man</w:t>
      </w:r>
      <w:r w:rsidR="0036331A" w:rsidRPr="002B5603">
        <w:tab/>
        <w:t xml:space="preserve">Manufacturing 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36331A" w:rsidRPr="00194B0A">
        <w:rPr>
          <w:b/>
        </w:rPr>
        <w:t>War</w:t>
      </w:r>
      <w:r w:rsidR="0036331A" w:rsidRPr="002B5603">
        <w:tab/>
        <w:t>Warehousing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36331A" w:rsidRPr="00194B0A">
        <w:rPr>
          <w:b/>
        </w:rPr>
        <w:t>Ret</w:t>
      </w:r>
      <w:r w:rsidR="0036331A" w:rsidRPr="002B5603">
        <w:tab/>
        <w:t xml:space="preserve">Retail 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36331A" w:rsidRPr="00194B0A">
        <w:rPr>
          <w:b/>
        </w:rPr>
        <w:t>Gen</w:t>
      </w:r>
      <w:r w:rsidR="0036331A" w:rsidRPr="002B5603">
        <w:tab/>
        <w:t>General Office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36331A" w:rsidRPr="00194B0A">
        <w:rPr>
          <w:b/>
        </w:rPr>
        <w:t>Med</w:t>
      </w:r>
      <w:r w:rsidR="0036331A" w:rsidRPr="002B5603">
        <w:tab/>
        <w:t>Medical</w:t>
      </w:r>
    </w:p>
    <w:p w:rsidR="0036331A" w:rsidRPr="002B5603" w:rsidRDefault="00EE2ABB" w:rsidP="009058C4">
      <w:pPr>
        <w:tabs>
          <w:tab w:val="left" w:pos="1530"/>
        </w:tabs>
        <w:spacing w:after="0" w:line="240" w:lineRule="auto"/>
      </w:pPr>
      <w:r>
        <w:rPr>
          <w:b/>
        </w:rPr>
        <w:t xml:space="preserve">    </w:t>
      </w:r>
      <w:r w:rsidR="0036331A" w:rsidRPr="00194B0A">
        <w:rPr>
          <w:b/>
        </w:rPr>
        <w:t>Gov</w:t>
      </w:r>
      <w:r w:rsidR="0036331A" w:rsidRPr="002B5603">
        <w:tab/>
        <w:t>Government</w:t>
      </w:r>
    </w:p>
    <w:p w:rsidR="0036331A" w:rsidRPr="002B5603" w:rsidRDefault="0036331A" w:rsidP="009058C4">
      <w:pPr>
        <w:tabs>
          <w:tab w:val="left" w:pos="1530"/>
        </w:tabs>
        <w:spacing w:after="0" w:line="240" w:lineRule="auto"/>
      </w:pPr>
      <w:r w:rsidRPr="002B5603">
        <w:tab/>
      </w:r>
    </w:p>
    <w:p w:rsidR="0036331A" w:rsidRDefault="0036331A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ManWar</w:t>
      </w:r>
      <w:proofErr w:type="spellEnd"/>
      <w:r w:rsidRPr="002B5603">
        <w:tab/>
        <w:t xml:space="preserve">Industrial </w:t>
      </w:r>
      <w:r w:rsidR="00D81AF9">
        <w:t>land supply</w:t>
      </w:r>
      <w:r w:rsidRPr="002B5603">
        <w:t xml:space="preserve"> type.    The non-residential model splits these into Manufacturing and W</w:t>
      </w:r>
      <w:r w:rsidR="002B5603">
        <w:t>arehousing square footage types.</w:t>
      </w:r>
    </w:p>
    <w:p w:rsidR="002B5603" w:rsidRPr="002B5603" w:rsidRDefault="002B5603" w:rsidP="009058C4">
      <w:pPr>
        <w:tabs>
          <w:tab w:val="left" w:pos="1530"/>
        </w:tabs>
        <w:spacing w:after="0" w:line="240" w:lineRule="auto"/>
      </w:pPr>
    </w:p>
    <w:p w:rsidR="0036331A" w:rsidRDefault="0036331A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RetGen</w:t>
      </w:r>
      <w:proofErr w:type="spellEnd"/>
      <w:r w:rsidRPr="002B5603">
        <w:tab/>
        <w:t>Comme</w:t>
      </w:r>
      <w:r w:rsidR="002B5603">
        <w:t>rci</w:t>
      </w:r>
      <w:r w:rsidRPr="002B5603">
        <w:t xml:space="preserve">al </w:t>
      </w:r>
      <w:r w:rsidR="00D81AF9">
        <w:t>land supply</w:t>
      </w:r>
      <w:r w:rsidRPr="002B5603">
        <w:t xml:space="preserve"> type.    The non-residential model splits these into Retail and General Office square footage types.</w:t>
      </w:r>
    </w:p>
    <w:p w:rsidR="002B5603" w:rsidRPr="002B5603" w:rsidRDefault="002B5603" w:rsidP="009058C4">
      <w:pPr>
        <w:tabs>
          <w:tab w:val="left" w:pos="1530"/>
        </w:tabs>
        <w:spacing w:after="0" w:line="240" w:lineRule="auto"/>
      </w:pPr>
    </w:p>
    <w:p w:rsidR="00693622" w:rsidRDefault="0036331A" w:rsidP="009058C4">
      <w:pPr>
        <w:tabs>
          <w:tab w:val="left" w:pos="1530"/>
        </w:tabs>
        <w:spacing w:after="0" w:line="240" w:lineRule="auto"/>
      </w:pPr>
      <w:proofErr w:type="spellStart"/>
      <w:r w:rsidRPr="00194B0A">
        <w:rPr>
          <w:b/>
        </w:rPr>
        <w:t>MedGov</w:t>
      </w:r>
      <w:proofErr w:type="spellEnd"/>
      <w:r w:rsidRPr="002B5603">
        <w:tab/>
        <w:t xml:space="preserve">Institutional </w:t>
      </w:r>
      <w:r w:rsidR="00D81AF9">
        <w:t>land supply</w:t>
      </w:r>
      <w:r w:rsidR="003E2D2E">
        <w:t xml:space="preserve"> </w:t>
      </w:r>
      <w:r w:rsidRPr="002B5603">
        <w:t>type. The non-residential model splits these into Medical and Government square footage types.</w:t>
      </w:r>
    </w:p>
    <w:p w:rsidR="0054153C" w:rsidRDefault="0054153C" w:rsidP="009058C4">
      <w:pPr>
        <w:tabs>
          <w:tab w:val="left" w:pos="1530"/>
        </w:tabs>
        <w:spacing w:after="0" w:line="240" w:lineRule="auto"/>
      </w:pPr>
    </w:p>
    <w:p w:rsidR="004C2ADB" w:rsidRDefault="004C2ADB" w:rsidP="0054153C">
      <w:pPr>
        <w:tabs>
          <w:tab w:val="left" w:pos="1530"/>
        </w:tabs>
        <w:spacing w:after="0" w:line="240" w:lineRule="auto"/>
      </w:pPr>
    </w:p>
    <w:p w:rsidR="0054153C" w:rsidRPr="002B5603" w:rsidRDefault="004C2ADB" w:rsidP="0054153C">
      <w:pPr>
        <w:tabs>
          <w:tab w:val="left" w:pos="1530"/>
        </w:tabs>
        <w:spacing w:after="0" w:line="240" w:lineRule="auto"/>
      </w:pPr>
      <w:r>
        <w:rPr>
          <w:b/>
        </w:rPr>
        <w:lastRenderedPageBreak/>
        <w:t>E</w:t>
      </w:r>
      <w:r w:rsidR="0054153C" w:rsidRPr="00194B0A">
        <w:rPr>
          <w:b/>
        </w:rPr>
        <w:t>mp</w:t>
      </w:r>
      <w:r>
        <w:rPr>
          <w:b/>
        </w:rPr>
        <w:t>cl</w:t>
      </w:r>
      <w:r w:rsidR="0054153C" w:rsidRPr="00194B0A">
        <w:rPr>
          <w:b/>
        </w:rPr>
        <w:t>ass</w:t>
      </w:r>
      <w:r w:rsidR="0054153C">
        <w:tab/>
      </w:r>
      <w:r w:rsidR="0054153C" w:rsidRPr="002B5603">
        <w:t xml:space="preserve">Employment classes, defined by North American Industry Classification System (NAICS). </w:t>
      </w:r>
      <w:r w:rsidR="0054153C">
        <w:t xml:space="preserve">  </w:t>
      </w:r>
    </w:p>
    <w:p w:rsidR="0054153C" w:rsidRDefault="0054153C" w:rsidP="0054153C">
      <w:pPr>
        <w:tabs>
          <w:tab w:val="left" w:pos="1530"/>
        </w:tabs>
        <w:spacing w:after="0" w:line="240" w:lineRule="auto"/>
        <w:rPr>
          <w:b/>
        </w:rPr>
      </w:pPr>
    </w:p>
    <w:p w:rsidR="0054153C" w:rsidRDefault="00CB1CFA" w:rsidP="0054153C">
      <w:pPr>
        <w:tabs>
          <w:tab w:val="left" w:pos="1530"/>
        </w:tabs>
        <w:spacing w:after="0" w:line="240" w:lineRule="auto"/>
      </w:pPr>
      <w:r>
        <w:t xml:space="preserve">Employment class </w:t>
      </w:r>
      <w:r w:rsidR="0054153C">
        <w:t xml:space="preserve">values </w:t>
      </w:r>
      <w:r>
        <w:t xml:space="preserve">currently used </w:t>
      </w:r>
      <w:r w:rsidR="0054153C">
        <w:t>at Metro:</w:t>
      </w:r>
    </w:p>
    <w:p w:rsidR="0054153C" w:rsidRDefault="0054153C" w:rsidP="0054153C">
      <w:pPr>
        <w:tabs>
          <w:tab w:val="left" w:pos="1530"/>
        </w:tabs>
        <w:spacing w:after="0" w:line="240" w:lineRule="auto"/>
      </w:pPr>
      <w:r>
        <w:tab/>
      </w:r>
      <w:r>
        <w:tab/>
      </w:r>
      <w:r>
        <w:tab/>
      </w:r>
    </w:p>
    <w:p w:rsidR="0054153C" w:rsidRPr="006A1702" w:rsidRDefault="0054153C" w:rsidP="006A1702">
      <w:pPr>
        <w:tabs>
          <w:tab w:val="left" w:pos="1530"/>
          <w:tab w:val="left" w:pos="4590"/>
        </w:tabs>
        <w:spacing w:after="0" w:line="240" w:lineRule="auto"/>
        <w:rPr>
          <w:b/>
        </w:rPr>
      </w:pPr>
      <w:r w:rsidRPr="006A1702">
        <w:rPr>
          <w:b/>
        </w:rPr>
        <w:t>Emp Class</w:t>
      </w:r>
      <w:r w:rsidRPr="006A1702">
        <w:rPr>
          <w:b/>
        </w:rPr>
        <w:tab/>
        <w:t>Industry</w:t>
      </w:r>
      <w:r w:rsidRPr="006A1702">
        <w:rPr>
          <w:b/>
        </w:rPr>
        <w:tab/>
        <w:t>NAICS</w:t>
      </w:r>
      <w:r w:rsidRPr="006A1702">
        <w:rPr>
          <w:b/>
        </w:rP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</w:t>
      </w:r>
      <w:r>
        <w:tab/>
        <w:t>Agriculture,</w:t>
      </w:r>
      <w:r w:rsidR="006A1702">
        <w:t xml:space="preserve"> </w:t>
      </w:r>
      <w:r>
        <w:t>timber</w:t>
      </w:r>
      <w:r>
        <w:tab/>
        <w:t>11, 21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2</w:t>
      </w:r>
      <w:r>
        <w:tab/>
        <w:t>Construction</w:t>
      </w:r>
      <w:r>
        <w:tab/>
        <w:t>23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3</w:t>
      </w:r>
      <w:r>
        <w:tab/>
        <w:t>Nondurable manufacturing</w:t>
      </w:r>
      <w:r>
        <w:tab/>
        <w:t>311, 312-316, 322, 323-327, 511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4</w:t>
      </w:r>
      <w:r>
        <w:tab/>
        <w:t>Durable man.,</w:t>
      </w:r>
      <w:r w:rsidR="006A1702">
        <w:t xml:space="preserve"> </w:t>
      </w:r>
      <w:r>
        <w:t>metals, paper</w:t>
      </w:r>
      <w:r>
        <w:tab/>
        <w:t xml:space="preserve">321, 331, 332, 333, 335, 336, 337, 339 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5</w:t>
      </w:r>
      <w:r>
        <w:tab/>
        <w:t>High tech manufacturing</w:t>
      </w:r>
      <w:r>
        <w:tab/>
        <w:t>334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6</w:t>
      </w:r>
      <w:r>
        <w:tab/>
        <w:t>Transport and warehousing</w:t>
      </w:r>
      <w:r>
        <w:tab/>
        <w:t>48, 49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7</w:t>
      </w:r>
      <w:r>
        <w:tab/>
        <w:t>Communications and utilities</w:t>
      </w:r>
      <w:r>
        <w:tab/>
        <w:t>22, 512, 515, 517, 518, 519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8</w:t>
      </w:r>
      <w:r>
        <w:tab/>
        <w:t>Wholesale trade</w:t>
      </w:r>
      <w:r>
        <w:tab/>
        <w:t>42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9</w:t>
      </w:r>
      <w:r>
        <w:tab/>
        <w:t>Retail trade</w:t>
      </w:r>
      <w:r>
        <w:tab/>
        <w:t>44, 45, 72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10</w:t>
      </w:r>
      <w:r>
        <w:tab/>
        <w:t>Finance, insurance, real estate</w:t>
      </w:r>
      <w:r>
        <w:tab/>
        <w:t>52, 53, 55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11</w:t>
      </w:r>
      <w:r>
        <w:tab/>
        <w:t>Consumer services</w:t>
      </w:r>
      <w:r>
        <w:tab/>
        <w:t>56, 71, 81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12</w:t>
      </w:r>
      <w:r>
        <w:tab/>
        <w:t>Health services</w:t>
      </w:r>
      <w:r>
        <w:tab/>
        <w:t>62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13</w:t>
      </w:r>
      <w:r>
        <w:tab/>
        <w:t>Business, professional services</w:t>
      </w:r>
      <w:r>
        <w:tab/>
        <w:t>54, 61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14</w:t>
      </w:r>
      <w:r>
        <w:tab/>
        <w:t>Other government</w:t>
      </w:r>
      <w:r>
        <w:tab/>
        <w:t>Gov ownership (not NAICS 6111 in es202)</w:t>
      </w:r>
      <w:r>
        <w:tab/>
      </w:r>
    </w:p>
    <w:p w:rsidR="0054153C" w:rsidRDefault="0054153C" w:rsidP="006A1702">
      <w:pPr>
        <w:tabs>
          <w:tab w:val="left" w:pos="1530"/>
          <w:tab w:val="left" w:pos="4590"/>
        </w:tabs>
        <w:spacing w:after="0" w:line="240" w:lineRule="auto"/>
      </w:pPr>
      <w:r>
        <w:t>15</w:t>
      </w:r>
      <w:r>
        <w:tab/>
        <w:t>K-12 education</w:t>
      </w:r>
      <w:r>
        <w:tab/>
        <w:t>Gov ownership (NAICS 6111 in es202)</w:t>
      </w:r>
      <w:r>
        <w:tab/>
      </w:r>
    </w:p>
    <w:p w:rsidR="00C94AB4" w:rsidRDefault="00C94AB4" w:rsidP="006A1702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6A1702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6A1702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6A1702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C94AB4">
      <w:pPr>
        <w:rPr>
          <w:sz w:val="32"/>
          <w:szCs w:val="32"/>
        </w:rPr>
      </w:pPr>
    </w:p>
    <w:p w:rsidR="00C94AB4" w:rsidRDefault="00C94AB4" w:rsidP="00C94AB4">
      <w:pPr>
        <w:rPr>
          <w:sz w:val="32"/>
          <w:szCs w:val="32"/>
        </w:rPr>
      </w:pPr>
    </w:p>
    <w:p w:rsidR="00C94AB4" w:rsidRDefault="00C94AB4" w:rsidP="00C94AB4">
      <w:pPr>
        <w:rPr>
          <w:sz w:val="32"/>
          <w:szCs w:val="32"/>
        </w:rPr>
      </w:pPr>
    </w:p>
    <w:p w:rsidR="003D3416" w:rsidRPr="003D3416" w:rsidRDefault="003D3416" w:rsidP="00C94AB4">
      <w:pPr>
        <w:tabs>
          <w:tab w:val="left" w:pos="1530"/>
          <w:tab w:val="left" w:pos="4590"/>
        </w:tabs>
        <w:spacing w:after="0" w:line="240" w:lineRule="auto"/>
        <w:rPr>
          <w:sz w:val="32"/>
          <w:szCs w:val="32"/>
        </w:rPr>
      </w:pPr>
      <w:r w:rsidRPr="003D3416">
        <w:rPr>
          <w:sz w:val="32"/>
          <w:szCs w:val="32"/>
        </w:rPr>
        <w:t xml:space="preserve">GNU General Public License </w:t>
      </w:r>
    </w:p>
    <w:p w:rsidR="003D3416" w:rsidRDefault="003D3416" w:rsidP="00C94AB4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MetroScope Land Use / Transportation Model. Copyright (C) 2013 Metro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This program is free software: you can redistribute it and/or modify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it under the terms of the GNU General Public License as published by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the Free Software Foundation, either version 3 of the License, or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(at your option) any later version.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This program is distributed in the hope that it will be useful,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but WITHOUT ANY WARRANTY; without even the implied warranty of</w:t>
      </w:r>
    </w:p>
    <w:p w:rsidR="00C94AB4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MERCHANTABILITY or FITNESS FOR A PARTICULAR PURPOSE.  See the</w:t>
      </w:r>
    </w:p>
    <w:p w:rsidR="00C94AB4" w:rsidRPr="002B5603" w:rsidRDefault="00C94AB4" w:rsidP="00C94AB4">
      <w:pPr>
        <w:tabs>
          <w:tab w:val="left" w:pos="1530"/>
          <w:tab w:val="left" w:pos="4590"/>
        </w:tabs>
        <w:spacing w:after="0" w:line="240" w:lineRule="auto"/>
      </w:pPr>
      <w:r>
        <w:t>GNU General Public License for more details.</w:t>
      </w:r>
    </w:p>
    <w:sectPr w:rsidR="00C94AB4" w:rsidRPr="002B5603" w:rsidSect="00B645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50D" w:rsidRDefault="00B6450D" w:rsidP="00B6450D">
      <w:pPr>
        <w:spacing w:after="0" w:line="240" w:lineRule="auto"/>
      </w:pPr>
      <w:r>
        <w:separator/>
      </w:r>
    </w:p>
  </w:endnote>
  <w:endnote w:type="continuationSeparator" w:id="0">
    <w:p w:rsidR="00B6450D" w:rsidRDefault="00B6450D" w:rsidP="00B6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1929790"/>
      <w:docPartObj>
        <w:docPartGallery w:val="Page Numbers (Bottom of Page)"/>
        <w:docPartUnique/>
      </w:docPartObj>
    </w:sdtPr>
    <w:sdtContent>
      <w:p w:rsidR="00B6450D" w:rsidRDefault="004B5B2C">
        <w:pPr>
          <w:pStyle w:val="Footer"/>
        </w:pPr>
        <w:fldSimple w:instr=" PAGE   \* MERGEFORMAT ">
          <w:r w:rsidR="003D3416">
            <w:rPr>
              <w:noProof/>
            </w:rPr>
            <w:t>2</w:t>
          </w:r>
        </w:fldSimple>
      </w:p>
    </w:sdtContent>
  </w:sdt>
  <w:p w:rsidR="00B6450D" w:rsidRDefault="00B645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1929791"/>
      <w:docPartObj>
        <w:docPartGallery w:val="Page Numbers (Bottom of Page)"/>
        <w:docPartUnique/>
      </w:docPartObj>
    </w:sdtPr>
    <w:sdtContent>
      <w:p w:rsidR="009D0E11" w:rsidRDefault="004B5B2C">
        <w:pPr>
          <w:pStyle w:val="Footer"/>
          <w:jc w:val="right"/>
        </w:pPr>
        <w:fldSimple w:instr=" PAGE   \* MERGEFORMAT ">
          <w:r w:rsidR="003D3416">
            <w:rPr>
              <w:noProof/>
            </w:rPr>
            <w:t>1</w:t>
          </w:r>
        </w:fldSimple>
      </w:p>
    </w:sdtContent>
  </w:sdt>
  <w:p w:rsidR="00B6450D" w:rsidRDefault="00B645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11" w:rsidRDefault="009D0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50D" w:rsidRDefault="00B6450D" w:rsidP="00B6450D">
      <w:pPr>
        <w:spacing w:after="0" w:line="240" w:lineRule="auto"/>
      </w:pPr>
      <w:r>
        <w:separator/>
      </w:r>
    </w:p>
  </w:footnote>
  <w:footnote w:type="continuationSeparator" w:id="0">
    <w:p w:rsidR="00B6450D" w:rsidRDefault="00B6450D" w:rsidP="00B6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11" w:rsidRDefault="009D0E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11" w:rsidRDefault="009D0E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E11" w:rsidRDefault="009D0E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D0CA9"/>
    <w:multiLevelType w:val="hybridMultilevel"/>
    <w:tmpl w:val="A178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66F"/>
    <w:rsid w:val="00011C7A"/>
    <w:rsid w:val="000463F0"/>
    <w:rsid w:val="00066AC4"/>
    <w:rsid w:val="00077B70"/>
    <w:rsid w:val="000857B7"/>
    <w:rsid w:val="00087111"/>
    <w:rsid w:val="000A19EA"/>
    <w:rsid w:val="000A6F78"/>
    <w:rsid w:val="000C06F5"/>
    <w:rsid w:val="000D4190"/>
    <w:rsid w:val="000D7572"/>
    <w:rsid w:val="000D7A99"/>
    <w:rsid w:val="00113074"/>
    <w:rsid w:val="0016376D"/>
    <w:rsid w:val="00164FF6"/>
    <w:rsid w:val="001706CA"/>
    <w:rsid w:val="00194B0A"/>
    <w:rsid w:val="001966E3"/>
    <w:rsid w:val="001974C3"/>
    <w:rsid w:val="001E2ADA"/>
    <w:rsid w:val="001F6F24"/>
    <w:rsid w:val="001F6F95"/>
    <w:rsid w:val="0021369C"/>
    <w:rsid w:val="00215CD1"/>
    <w:rsid w:val="00224F65"/>
    <w:rsid w:val="00227DC8"/>
    <w:rsid w:val="00234558"/>
    <w:rsid w:val="00250F67"/>
    <w:rsid w:val="002551B0"/>
    <w:rsid w:val="00276D4F"/>
    <w:rsid w:val="00284DC2"/>
    <w:rsid w:val="00294137"/>
    <w:rsid w:val="00294FD5"/>
    <w:rsid w:val="002954AF"/>
    <w:rsid w:val="0029789D"/>
    <w:rsid w:val="002B48FB"/>
    <w:rsid w:val="002B5603"/>
    <w:rsid w:val="002D1C74"/>
    <w:rsid w:val="002D3204"/>
    <w:rsid w:val="002D43DF"/>
    <w:rsid w:val="002E7335"/>
    <w:rsid w:val="00324B35"/>
    <w:rsid w:val="0033140F"/>
    <w:rsid w:val="00335823"/>
    <w:rsid w:val="00347061"/>
    <w:rsid w:val="00351CCA"/>
    <w:rsid w:val="0036331A"/>
    <w:rsid w:val="00365D59"/>
    <w:rsid w:val="00374B47"/>
    <w:rsid w:val="00391C1E"/>
    <w:rsid w:val="003A2258"/>
    <w:rsid w:val="003A6DC2"/>
    <w:rsid w:val="003B39AA"/>
    <w:rsid w:val="003B5818"/>
    <w:rsid w:val="003B6A48"/>
    <w:rsid w:val="003D3416"/>
    <w:rsid w:val="003D709E"/>
    <w:rsid w:val="003E2D2E"/>
    <w:rsid w:val="003F0522"/>
    <w:rsid w:val="003F4D5E"/>
    <w:rsid w:val="003F58A2"/>
    <w:rsid w:val="00402737"/>
    <w:rsid w:val="00403D4E"/>
    <w:rsid w:val="00416F96"/>
    <w:rsid w:val="00420D94"/>
    <w:rsid w:val="00432EA9"/>
    <w:rsid w:val="00484034"/>
    <w:rsid w:val="0049341B"/>
    <w:rsid w:val="004A53FD"/>
    <w:rsid w:val="004B5B2C"/>
    <w:rsid w:val="004C2ADB"/>
    <w:rsid w:val="004C5763"/>
    <w:rsid w:val="004C6AD8"/>
    <w:rsid w:val="004E2A4F"/>
    <w:rsid w:val="004E5970"/>
    <w:rsid w:val="004E6921"/>
    <w:rsid w:val="0050706C"/>
    <w:rsid w:val="00516FC0"/>
    <w:rsid w:val="00523BB3"/>
    <w:rsid w:val="0054153C"/>
    <w:rsid w:val="00542562"/>
    <w:rsid w:val="00547526"/>
    <w:rsid w:val="00573C23"/>
    <w:rsid w:val="00577DEE"/>
    <w:rsid w:val="005B385B"/>
    <w:rsid w:val="005E1F0A"/>
    <w:rsid w:val="005F0959"/>
    <w:rsid w:val="00602820"/>
    <w:rsid w:val="00605BC6"/>
    <w:rsid w:val="0061140C"/>
    <w:rsid w:val="0061531A"/>
    <w:rsid w:val="006155E2"/>
    <w:rsid w:val="00643F60"/>
    <w:rsid w:val="00644316"/>
    <w:rsid w:val="00651C87"/>
    <w:rsid w:val="00652C6F"/>
    <w:rsid w:val="0067370A"/>
    <w:rsid w:val="006738BA"/>
    <w:rsid w:val="00693622"/>
    <w:rsid w:val="00696B29"/>
    <w:rsid w:val="006A1702"/>
    <w:rsid w:val="006B03CC"/>
    <w:rsid w:val="006B492B"/>
    <w:rsid w:val="006E5196"/>
    <w:rsid w:val="006E6C8D"/>
    <w:rsid w:val="00741664"/>
    <w:rsid w:val="00751DC3"/>
    <w:rsid w:val="00753C78"/>
    <w:rsid w:val="007569BD"/>
    <w:rsid w:val="00765C83"/>
    <w:rsid w:val="007661D1"/>
    <w:rsid w:val="00766EDA"/>
    <w:rsid w:val="00767284"/>
    <w:rsid w:val="007865DD"/>
    <w:rsid w:val="007A3D3E"/>
    <w:rsid w:val="007D0034"/>
    <w:rsid w:val="007D4A4F"/>
    <w:rsid w:val="007D6B35"/>
    <w:rsid w:val="007F0B76"/>
    <w:rsid w:val="007F299D"/>
    <w:rsid w:val="007F5991"/>
    <w:rsid w:val="008043AE"/>
    <w:rsid w:val="00840DCF"/>
    <w:rsid w:val="00843746"/>
    <w:rsid w:val="00853A34"/>
    <w:rsid w:val="00857DEB"/>
    <w:rsid w:val="00867A5D"/>
    <w:rsid w:val="008A3F08"/>
    <w:rsid w:val="008A7F79"/>
    <w:rsid w:val="008B0DA9"/>
    <w:rsid w:val="008C56DE"/>
    <w:rsid w:val="008D17A5"/>
    <w:rsid w:val="008D3045"/>
    <w:rsid w:val="008D6183"/>
    <w:rsid w:val="008E2E14"/>
    <w:rsid w:val="008E3A9D"/>
    <w:rsid w:val="008F03B4"/>
    <w:rsid w:val="009058C4"/>
    <w:rsid w:val="00905C98"/>
    <w:rsid w:val="009234AE"/>
    <w:rsid w:val="00947071"/>
    <w:rsid w:val="0095310B"/>
    <w:rsid w:val="00972A26"/>
    <w:rsid w:val="0097684F"/>
    <w:rsid w:val="0099061A"/>
    <w:rsid w:val="009A021F"/>
    <w:rsid w:val="009A4216"/>
    <w:rsid w:val="009C07D5"/>
    <w:rsid w:val="009D0E11"/>
    <w:rsid w:val="009D3F6E"/>
    <w:rsid w:val="009D6312"/>
    <w:rsid w:val="009E1131"/>
    <w:rsid w:val="00A34E41"/>
    <w:rsid w:val="00A546F5"/>
    <w:rsid w:val="00A7252B"/>
    <w:rsid w:val="00AB50F9"/>
    <w:rsid w:val="00AC76C7"/>
    <w:rsid w:val="00AE319A"/>
    <w:rsid w:val="00AE7133"/>
    <w:rsid w:val="00AF4E40"/>
    <w:rsid w:val="00B001B7"/>
    <w:rsid w:val="00B00C1D"/>
    <w:rsid w:val="00B10716"/>
    <w:rsid w:val="00B57BB8"/>
    <w:rsid w:val="00B606EA"/>
    <w:rsid w:val="00B6450D"/>
    <w:rsid w:val="00B72510"/>
    <w:rsid w:val="00B728BC"/>
    <w:rsid w:val="00B77B58"/>
    <w:rsid w:val="00B82CCE"/>
    <w:rsid w:val="00B85CB1"/>
    <w:rsid w:val="00BA4E5B"/>
    <w:rsid w:val="00BB1389"/>
    <w:rsid w:val="00BB3AC8"/>
    <w:rsid w:val="00BB5228"/>
    <w:rsid w:val="00BC71FA"/>
    <w:rsid w:val="00BD5FC0"/>
    <w:rsid w:val="00BE0492"/>
    <w:rsid w:val="00BE735C"/>
    <w:rsid w:val="00BF3B0E"/>
    <w:rsid w:val="00C00A25"/>
    <w:rsid w:val="00C04940"/>
    <w:rsid w:val="00C153FB"/>
    <w:rsid w:val="00C3777D"/>
    <w:rsid w:val="00C47346"/>
    <w:rsid w:val="00C50628"/>
    <w:rsid w:val="00C61D2E"/>
    <w:rsid w:val="00C94AB4"/>
    <w:rsid w:val="00C968B3"/>
    <w:rsid w:val="00CB1CFA"/>
    <w:rsid w:val="00CC2713"/>
    <w:rsid w:val="00CD581A"/>
    <w:rsid w:val="00CD6B93"/>
    <w:rsid w:val="00CE634C"/>
    <w:rsid w:val="00CE7C0E"/>
    <w:rsid w:val="00CF3356"/>
    <w:rsid w:val="00CF53A0"/>
    <w:rsid w:val="00D16F44"/>
    <w:rsid w:val="00D254C5"/>
    <w:rsid w:val="00D257E8"/>
    <w:rsid w:val="00D649F2"/>
    <w:rsid w:val="00D8166F"/>
    <w:rsid w:val="00D81AF9"/>
    <w:rsid w:val="00DC68EE"/>
    <w:rsid w:val="00DD57A8"/>
    <w:rsid w:val="00DD6231"/>
    <w:rsid w:val="00DE1006"/>
    <w:rsid w:val="00DF1F47"/>
    <w:rsid w:val="00DF6B24"/>
    <w:rsid w:val="00E13878"/>
    <w:rsid w:val="00E16718"/>
    <w:rsid w:val="00E47373"/>
    <w:rsid w:val="00E517A9"/>
    <w:rsid w:val="00E51DE2"/>
    <w:rsid w:val="00E54059"/>
    <w:rsid w:val="00E726BD"/>
    <w:rsid w:val="00E74956"/>
    <w:rsid w:val="00E84C80"/>
    <w:rsid w:val="00E85194"/>
    <w:rsid w:val="00E92475"/>
    <w:rsid w:val="00EA72FD"/>
    <w:rsid w:val="00EA75CD"/>
    <w:rsid w:val="00EC5079"/>
    <w:rsid w:val="00ED337E"/>
    <w:rsid w:val="00EE2ABB"/>
    <w:rsid w:val="00EE7736"/>
    <w:rsid w:val="00EF4EBB"/>
    <w:rsid w:val="00F03AFD"/>
    <w:rsid w:val="00F11942"/>
    <w:rsid w:val="00F12C4C"/>
    <w:rsid w:val="00F2178F"/>
    <w:rsid w:val="00F276CE"/>
    <w:rsid w:val="00F42D99"/>
    <w:rsid w:val="00F64FE6"/>
    <w:rsid w:val="00F65069"/>
    <w:rsid w:val="00F67005"/>
    <w:rsid w:val="00F70E86"/>
    <w:rsid w:val="00F8488A"/>
    <w:rsid w:val="00F87BB3"/>
    <w:rsid w:val="00F90282"/>
    <w:rsid w:val="00FA05DF"/>
    <w:rsid w:val="00FA6D5B"/>
    <w:rsid w:val="00FA7F50"/>
    <w:rsid w:val="00FC7FD7"/>
    <w:rsid w:val="00FD7050"/>
    <w:rsid w:val="00FE15CF"/>
    <w:rsid w:val="00FE3561"/>
    <w:rsid w:val="00FF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42"/>
  </w:style>
  <w:style w:type="paragraph" w:styleId="Heading2">
    <w:name w:val="heading 2"/>
    <w:basedOn w:val="Normal"/>
    <w:link w:val="Heading2Char"/>
    <w:uiPriority w:val="9"/>
    <w:qFormat/>
    <w:rsid w:val="0033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58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6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50D"/>
  </w:style>
  <w:style w:type="paragraph" w:styleId="Footer">
    <w:name w:val="footer"/>
    <w:basedOn w:val="Normal"/>
    <w:link w:val="FooterChar"/>
    <w:uiPriority w:val="99"/>
    <w:unhideWhenUsed/>
    <w:rsid w:val="00B6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50D"/>
  </w:style>
  <w:style w:type="paragraph" w:styleId="ListParagraph">
    <w:name w:val="List Paragraph"/>
    <w:basedOn w:val="Normal"/>
    <w:uiPriority w:val="34"/>
    <w:qFormat/>
    <w:rsid w:val="00853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26047-DE9F-4211-83ED-B55E90B5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</dc:creator>
  <cp:keywords/>
  <dc:description/>
  <cp:lastModifiedBy>cser</cp:lastModifiedBy>
  <cp:revision>216</cp:revision>
  <cp:lastPrinted>2013-03-18T18:22:00Z</cp:lastPrinted>
  <dcterms:created xsi:type="dcterms:W3CDTF">2012-12-12T22:12:00Z</dcterms:created>
  <dcterms:modified xsi:type="dcterms:W3CDTF">2013-04-24T02:35:00Z</dcterms:modified>
</cp:coreProperties>
</file>