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A. Title and Team</w:t>
      </w:r>
    </w:p>
    <w:p>
      <w:pPr>
        <w:pStyle w:val="Title"/>
      </w:pPr>
      <w:r>
        <w:t>Effects of Lighting Augmentation on Industrial Anomaly Detection</w:t>
      </w:r>
    </w:p>
    <w:p>
      <w:r>
        <w:t>Team: Team 1  |  Members: Bavishna Ashok Kumar, Chao Zheng, Jim He, Nithya Anantharaman</w:t>
      </w:r>
    </w:p>
    <w:p>
      <w:r>
        <w:t>We study image-level anomaly detection under lighting changes, using CNNs, pretrained features, reconstruction and controlled augmentation.</w:t>
      </w:r>
    </w:p>
    <w:p>
      <w:pPr>
        <w:pStyle w:val="Heading1"/>
      </w:pPr>
      <w:r>
        <w:t>B. Problem and Research Question</w:t>
      </w:r>
    </w:p>
    <w:p>
      <w:r>
        <w:t>In industrial inspection, lighting changes can make defect-free products appear anomalous. We will test whether brightness and contrast augmentation improves defect detection under changed lighting while preserving performance under regular lighting.</w:t>
      </w:r>
    </w:p>
    <w:p>
      <w:r>
        <w:t>Question: How do additional brightness and contrast augmentation affect EfficientAD image-level anomaly detection on Rice and Walnuts in MVTec AD 2?</w:t>
      </w:r>
    </w:p>
    <w:p>
      <w:r>
        <w:t>H1: Combined brightness and contrast augmentation improves shifted-light AUROC over native EfficientAD. H2: Regular-light AUROC drops by at most 2 percentage points, our practical tolerance. Paired differences and uncertainty will test these hypotheses. Credible evidence, including negative or mixed findings, defines success.</w:t>
      </w:r>
    </w:p>
    <w:p>
      <w:pPr>
        <w:pStyle w:val="Heading1"/>
      </w:pPr>
      <w:r>
        <w:t>C. Dataset and Evaluation</w:t>
      </w:r>
    </w:p>
    <w:p>
      <w:r>
        <w:t>MVTec AD 2 [1,4] provides industrial inspection images under different lighting. We selected Rice and Walnuts before model evaluation. Inputs are 2448 × 2048 RGB images; targets are normal/anomalous image labels, with public pixel masks for error analysis.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1872"/>
        <w:gridCol w:w="2016"/>
        <w:gridCol w:w="4608"/>
      </w:tblGrid>
      <w:tr>
        <w:trPr>
          <w:tblHeader/>
          <w:cantSplit/>
        </w:trPr>
        <w:tc>
          <w:tcPr>
            <w:tcW w:type="dxa" w:w="2541"/>
            <w:shd w:fill="F0F0F0"/>
          </w:tcPr>
          <w:p>
            <w:pPr>
              <w:spacing w:after="60" w:before="40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2541"/>
            <w:shd w:fill="F0F0F0"/>
          </w:tcPr>
          <w:p>
            <w:pPr>
              <w:spacing w:after="60" w:before="40"/>
            </w:pPr>
            <w:r>
              <w:rPr>
                <w:b/>
                <w:sz w:val="19"/>
              </w:rPr>
              <w:t>Train normal</w:t>
            </w:r>
          </w:p>
        </w:tc>
        <w:tc>
          <w:tcPr>
            <w:tcW w:type="dxa" w:w="2541"/>
            <w:shd w:fill="F0F0F0"/>
          </w:tcPr>
          <w:p>
            <w:pPr>
              <w:spacing w:after="60" w:before="40"/>
            </w:pPr>
            <w:r>
              <w:rPr>
                <w:b/>
                <w:sz w:val="19"/>
              </w:rPr>
              <w:t>Validation normal</w:t>
            </w:r>
          </w:p>
        </w:tc>
        <w:tc>
          <w:tcPr>
            <w:tcW w:type="dxa" w:w="2541"/>
            <w:shd w:fill="F0F0F0"/>
          </w:tcPr>
          <w:p>
            <w:pPr>
              <w:spacing w:after="60" w:before="40"/>
            </w:pPr>
            <w:r>
              <w:rPr>
                <w:b/>
                <w:sz w:val="19"/>
              </w:rPr>
              <w:t>Public test normal / anomaly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60" w:before="40"/>
            </w:pPr>
            <w:r>
              <w:rPr>
                <w:sz w:val="19"/>
              </w:rPr>
              <w:t>Rice</w:t>
            </w:r>
          </w:p>
        </w:tc>
        <w:tc>
          <w:tcPr>
            <w:tcW w:type="dxa" w:w="1872"/>
          </w:tcPr>
          <w:p>
            <w:pPr>
              <w:spacing w:after="60" w:before="40"/>
            </w:pPr>
            <w:r>
              <w:rPr>
                <w:sz w:val="19"/>
              </w:rPr>
              <w:t>313</w:t>
            </w:r>
          </w:p>
        </w:tc>
        <w:tc>
          <w:tcPr>
            <w:tcW w:type="dxa" w:w="2016"/>
          </w:tcPr>
          <w:p>
            <w:pPr>
              <w:spacing w:after="60" w:before="40"/>
            </w:pPr>
            <w:r>
              <w:rPr>
                <w:sz w:val="19"/>
              </w:rPr>
              <w:t>35</w:t>
            </w:r>
          </w:p>
        </w:tc>
        <w:tc>
          <w:tcPr>
            <w:tcW w:type="dxa" w:w="4608"/>
          </w:tcPr>
          <w:p>
            <w:pPr>
              <w:spacing w:after="60" w:before="40"/>
            </w:pPr>
            <w:r>
              <w:rPr>
                <w:sz w:val="19"/>
              </w:rPr>
              <w:t>42 / 90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60" w:before="40"/>
            </w:pPr>
            <w:r>
              <w:rPr>
                <w:sz w:val="19"/>
              </w:rPr>
              <w:t>Walnuts</w:t>
            </w:r>
          </w:p>
        </w:tc>
        <w:tc>
          <w:tcPr>
            <w:tcW w:type="dxa" w:w="1872"/>
          </w:tcPr>
          <w:p>
            <w:pPr>
              <w:spacing w:after="60" w:before="40"/>
            </w:pPr>
            <w:r>
              <w:rPr>
                <w:sz w:val="19"/>
              </w:rPr>
              <w:t>432</w:t>
            </w:r>
          </w:p>
        </w:tc>
        <w:tc>
          <w:tcPr>
            <w:tcW w:type="dxa" w:w="2016"/>
          </w:tcPr>
          <w:p>
            <w:pPr>
              <w:spacing w:after="60" w:before="40"/>
            </w:pPr>
            <w:r>
              <w:rPr>
                <w:sz w:val="19"/>
              </w:rPr>
              <w:t>48</w:t>
            </w:r>
          </w:p>
        </w:tc>
        <w:tc>
          <w:tcPr>
            <w:tcW w:type="dxa" w:w="4608"/>
          </w:tcPr>
          <w:p>
            <w:pPr>
              <w:spacing w:after="60" w:before="40"/>
            </w:pPr>
            <w:r>
              <w:rPr>
                <w:sz w:val="19"/>
              </w:rPr>
              <w:t>60 / 90</w:t>
            </w:r>
          </w:p>
        </w:tc>
      </w:tr>
    </w:tbl>
    <w:p>
      <w:pPr>
        <w:spacing w:after="60" w:before="0" w:line="20" w:lineRule="exact"/>
      </w:pPr>
      <w:r>
        <w:rPr>
          <w:sz w:val="2"/>
        </w:rPr>
      </w:r>
    </w:p>
    <w:p>
      <w:r>
        <w:t>Dataset access was confirmed on October 25, 2026: 8,004 images and 705 masks (32.74 GB) across eight categories. The planned subset has 1,110 images and 180 masks. Pinned mirror files [6,7] passed integrity, count and format checks. Private labels remain server-held. CC BY-NC-SA 4.0 applies; no new annotation or human-data collection is needed.</w:t>
      </w:r>
    </w:p>
    <w:p>
      <w:r>
        <w:t>Preserve official splits. Fit preprocessing on training normals; use normal validation for settings, calibration and thresholds. Freeze choices before testing. Group related scene views in uncertainty estimates. Record pretrained-data provenance and known evaluation overlap. Conclusions apply to this public subset.</w:t>
      </w:r>
    </w:p>
    <w:p>
      <w:r>
        <w:t>Primary metric: image AUROC pooled over the five nonregular lighting conditions within each category, then averaged equally across categories. AUROC measures normal/anomalous score ranking without a decision threshold. Also report regular-light and per-light AUROC, AUPRC, recall and false-positive rate. Set each operating threshold to the 95th percentile of normal validation image scores.</w:t>
      </w:r>
    </w:p>
    <w:p>
      <w:pPr>
        <w:pStyle w:val="Heading1"/>
        <w:pageBreakBefore w:val="0"/>
      </w:pPr>
      <w:r>
        <w:t>D. Related Work and Technical Approach</w:t>
      </w:r>
    </w:p>
    <w:p>
      <w:r>
        <w:t>MVTec AD 2 [1] (2026) motivates native lighting-shift evaluation. EfficientAD [2] (2024) supplies a compact teacher–student and reconstruction baseline. SingleNet [3] (2025) supports efficient distillation and texture-error analysis; we will not implement its Fourier architecture.</w:t>
      </w:r>
    </w:p>
    <w:p>
      <w:r>
        <w:t>Reference baseline: a small convolutional autoencoder trained on normal tiles. Strong baseline: Anomalib EfficientAD-S [5], with a frozen pretrained Small Patch Description Network teacher [9] and Imagenette auxiliary data [8]. We reuse these components and implement the pipeline, reference model, augmentation and evaluation. Both methods use native-resolution 256 × 256 tiles and maximum anomaly-map scoring. Tiling retains small defects but changes global context and latency; published full-image scores are not directly comparable.</w:t>
      </w:r>
    </w:p>
    <w:p>
      <w:pPr>
        <w:pStyle w:val="Heading1"/>
        <w:pageBreakBefore w:val="0"/>
      </w:pPr>
      <w:r>
        <w:t>E. Experimental Plan</w:t>
      </w:r>
    </w:p>
    <w:p>
      <w:r>
        <w:t>Main comparison: S11 − S00. Brightness ablation: S11 − S01; contrast ablation: S11 − S10. Enabled factors are sampled independently from Uniform(0.8, 1.2), with one shared 50% application gate and brightness before contrast. Evaluation receives no added transforms.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2304"/>
        <w:gridCol w:w="2160"/>
        <w:gridCol w:w="4248"/>
      </w:tblGrid>
      <w:tr>
        <w:trPr>
          <w:tblHeader/>
          <w:cantSplit/>
        </w:trPr>
        <w:tc>
          <w:tcPr>
            <w:tcW w:type="dxa" w:w="2541"/>
            <w:shd w:fill="F0F0F0"/>
          </w:tcPr>
          <w:p>
            <w:pPr>
              <w:keepNext/>
              <w:spacing w:after="60" w:before="40"/>
            </w:pPr>
            <w:r>
              <w:rPr>
                <w:b/>
                <w:sz w:val="19"/>
              </w:rPr>
              <w:t>Setting</w:t>
            </w:r>
          </w:p>
        </w:tc>
        <w:tc>
          <w:tcPr>
            <w:tcW w:type="dxa" w:w="2541"/>
            <w:shd w:fill="F0F0F0"/>
          </w:tcPr>
          <w:p>
            <w:pPr>
              <w:keepNext/>
              <w:spacing w:after="60" w:before="40"/>
            </w:pPr>
            <w:r>
              <w:rPr>
                <w:b/>
                <w:sz w:val="19"/>
              </w:rPr>
              <w:t>Extra brightness</w:t>
            </w:r>
          </w:p>
        </w:tc>
        <w:tc>
          <w:tcPr>
            <w:tcW w:type="dxa" w:w="2541"/>
            <w:shd w:fill="F0F0F0"/>
          </w:tcPr>
          <w:p>
            <w:pPr>
              <w:keepNext/>
              <w:spacing w:after="60" w:before="40"/>
            </w:pPr>
            <w:r>
              <w:rPr>
                <w:b/>
                <w:sz w:val="19"/>
              </w:rPr>
              <w:t>Extra contrast</w:t>
            </w:r>
          </w:p>
        </w:tc>
        <w:tc>
          <w:tcPr>
            <w:tcW w:type="dxa" w:w="2541"/>
            <w:shd w:fill="F0F0F0"/>
          </w:tcPr>
          <w:p>
            <w:pPr>
              <w:keepNext/>
              <w:spacing w:after="60" w:before="40"/>
            </w:pPr>
            <w:r>
              <w:rPr>
                <w:b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/>
              <w:spacing w:after="60" w:before="40"/>
            </w:pPr>
            <w:r>
              <w:rPr>
                <w:sz w:val="19"/>
              </w:rPr>
              <w:t>S00</w:t>
            </w:r>
          </w:p>
        </w:tc>
        <w:tc>
          <w:tcPr>
            <w:tcW w:type="dxa" w:w="2304"/>
          </w:tcPr>
          <w:p>
            <w:pPr>
              <w:keepNext/>
              <w:spacing w:after="60" w:before="40"/>
            </w:pPr>
            <w:r>
              <w:rPr>
                <w:sz w:val="19"/>
              </w:rPr>
              <w:t>Off</w:t>
            </w:r>
          </w:p>
        </w:tc>
        <w:tc>
          <w:tcPr>
            <w:tcW w:type="dxa" w:w="2160"/>
          </w:tcPr>
          <w:p>
            <w:pPr>
              <w:keepNext/>
              <w:spacing w:after="60" w:before="40"/>
            </w:pPr>
            <w:r>
              <w:rPr>
                <w:sz w:val="19"/>
              </w:rPr>
              <w:t>Off</w:t>
            </w:r>
          </w:p>
        </w:tc>
        <w:tc>
          <w:tcPr>
            <w:tcW w:type="dxa" w:w="4248"/>
          </w:tcPr>
          <w:p>
            <w:pPr>
              <w:keepNext/>
              <w:spacing w:after="60" w:before="40"/>
            </w:pPr>
            <w:r>
              <w:rPr>
                <w:sz w:val="19"/>
              </w:rPr>
              <w:t>Native EfficientAD baseline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/>
              <w:spacing w:after="60" w:before="40"/>
            </w:pPr>
            <w:r>
              <w:rPr>
                <w:sz w:val="19"/>
              </w:rPr>
              <w:t>S10</w:t>
            </w:r>
          </w:p>
        </w:tc>
        <w:tc>
          <w:tcPr>
            <w:tcW w:type="dxa" w:w="2304"/>
          </w:tcPr>
          <w:p>
            <w:pPr>
              <w:keepNext/>
              <w:spacing w:after="60" w:before="40"/>
            </w:pPr>
            <w:r>
              <w:rPr>
                <w:sz w:val="19"/>
              </w:rPr>
              <w:t>On</w:t>
            </w:r>
          </w:p>
        </w:tc>
        <w:tc>
          <w:tcPr>
            <w:tcW w:type="dxa" w:w="2160"/>
          </w:tcPr>
          <w:p>
            <w:pPr>
              <w:keepNext/>
              <w:spacing w:after="60" w:before="40"/>
            </w:pPr>
            <w:r>
              <w:rPr>
                <w:sz w:val="19"/>
              </w:rPr>
              <w:t>Off</w:t>
            </w:r>
          </w:p>
        </w:tc>
        <w:tc>
          <w:tcPr>
            <w:tcW w:type="dxa" w:w="4248"/>
          </w:tcPr>
          <w:p>
            <w:pPr>
              <w:keepNext/>
              <w:spacing w:after="60" w:before="40"/>
            </w:pPr>
            <w:r>
              <w:rPr>
                <w:sz w:val="19"/>
              </w:rPr>
              <w:t>Brightness component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/>
              <w:spacing w:after="60" w:before="40"/>
            </w:pPr>
            <w:r>
              <w:rPr>
                <w:sz w:val="19"/>
              </w:rPr>
              <w:t>S01</w:t>
            </w:r>
          </w:p>
        </w:tc>
        <w:tc>
          <w:tcPr>
            <w:tcW w:type="dxa" w:w="2304"/>
          </w:tcPr>
          <w:p>
            <w:pPr>
              <w:keepNext/>
              <w:spacing w:after="60" w:before="40"/>
            </w:pPr>
            <w:r>
              <w:rPr>
                <w:sz w:val="19"/>
              </w:rPr>
              <w:t>Off</w:t>
            </w:r>
          </w:p>
        </w:tc>
        <w:tc>
          <w:tcPr>
            <w:tcW w:type="dxa" w:w="2160"/>
          </w:tcPr>
          <w:p>
            <w:pPr>
              <w:keepNext/>
              <w:spacing w:after="60" w:before="40"/>
            </w:pPr>
            <w:r>
              <w:rPr>
                <w:sz w:val="19"/>
              </w:rPr>
              <w:t>On</w:t>
            </w:r>
          </w:p>
        </w:tc>
        <w:tc>
          <w:tcPr>
            <w:tcW w:type="dxa" w:w="4248"/>
          </w:tcPr>
          <w:p>
            <w:pPr>
              <w:keepNext/>
              <w:spacing w:after="60" w:before="40"/>
            </w:pPr>
            <w:r>
              <w:rPr>
                <w:sz w:val="19"/>
              </w:rPr>
              <w:t>Contrast component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 w:before="40"/>
            </w:pPr>
            <w:r>
              <w:rPr>
                <w:sz w:val="19"/>
              </w:rPr>
              <w:t>S11</w:t>
            </w:r>
          </w:p>
        </w:tc>
        <w:tc>
          <w:tcPr>
            <w:tcW w:type="dxa" w:w="2304"/>
          </w:tcPr>
          <w:p>
            <w:pPr>
              <w:spacing w:after="60" w:before="40"/>
            </w:pPr>
            <w:r>
              <w:rPr>
                <w:sz w:val="19"/>
              </w:rPr>
              <w:t>On</w:t>
            </w:r>
          </w:p>
        </w:tc>
        <w:tc>
          <w:tcPr>
            <w:tcW w:type="dxa" w:w="2160"/>
          </w:tcPr>
          <w:p>
            <w:pPr>
              <w:spacing w:after="60" w:before="40"/>
            </w:pPr>
            <w:r>
              <w:rPr>
                <w:sz w:val="19"/>
              </w:rPr>
              <w:t>On</w:t>
            </w:r>
          </w:p>
        </w:tc>
        <w:tc>
          <w:tcPr>
            <w:tcW w:type="dxa" w:w="4248"/>
          </w:tcPr>
          <w:p>
            <w:pPr>
              <w:spacing w:after="60" w:before="40"/>
            </w:pPr>
            <w:r>
              <w:rPr>
                <w:sz w:val="19"/>
              </w:rPr>
              <w:t>Combined intervention</w:t>
            </w:r>
          </w:p>
        </w:tc>
      </w:tr>
    </w:tbl>
    <w:p>
      <w:pPr>
        <w:spacing w:after="60" w:before="0" w:line="20" w:lineRule="exact"/>
      </w:pPr>
      <w:r>
        <w:rPr>
          <w:sz w:val="2"/>
        </w:rPr>
      </w:r>
    </w:p>
    <w:p>
      <w:r>
        <w:t>Across EfficientAD settings, hold splits, tiles, scoring, pretrained initialization, native losses/augmentation, auxiliary data, optimization, training steps and calibration fixed. Pair seeds 11, 22 and 33; use separate random streams for extra augmentation. EfficientAD uses 40,000 steps, batch size 1 and the implementation’s learning-rate schedule. The reference uses 10,000 steps per seed. Full scope totals 24 EfficientAD and 6 reference fits. Fix final-step checkpoints and evaluation rules before testing.</w:t>
      </w:r>
    </w:p>
    <w:p>
      <w:r>
        <w:t>Report regular, underexposed, overexposed, shift_1, shift_2 and shift_3 results, every seed, and mean and standard deviation. A paired scene-cluster bootstrap estimates test-sample uncertainty while keeping lighting views together. The 282 test images represent 47 physical scenes; small scene counts limit significance claims.</w:t>
      </w:r>
    </w:p>
    <w:p>
      <w:r>
        <w:t>Report hardware/software versions, parameters, memory and training time. Measure complete-image inference after warm-up and device synchronization, separating preprocessing and data transfer. Present metric tables and masked error examples, including false positives, false negatives and limitations. Test results will not change models or thresholds.</w:t>
      </w:r>
    </w:p>
    <w:p>
      <w:pPr>
        <w:pStyle w:val="Heading1"/>
        <w:pageBreakBefore w:val="0"/>
      </w:pPr>
      <w:r>
        <w:t>F. Feasibility and Team Plan</w:t>
      </w:r>
    </w:p>
    <w:p>
      <w:r>
        <w:t>Available compute is a 24 GB computer using PyTorch. Provisional budget: 48 training hours and 8 evaluation hours. A 1,000-step pilot will measure compatibility, memory and runtime before full training; the Rice-only fallback applies if the forecast exceeds the budget.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8424"/>
      </w:tblGrid>
      <w:tr>
        <w:trPr>
          <w:tblHeader/>
          <w:cantSplit/>
        </w:trPr>
        <w:tc>
          <w:tcPr>
            <w:tcW w:type="dxa" w:w="5083"/>
            <w:shd w:fill="F0F0F0"/>
          </w:tcPr>
          <w:p>
            <w:pPr>
              <w:spacing w:after="60" w:before="40"/>
            </w:pPr>
            <w:r>
              <w:rPr>
                <w:b/>
                <w:sz w:val="19"/>
              </w:rPr>
              <w:t>Milestone</w:t>
            </w:r>
          </w:p>
        </w:tc>
        <w:tc>
          <w:tcPr>
            <w:tcW w:type="dxa" w:w="5083"/>
            <w:shd w:fill="F0F0F0"/>
          </w:tcPr>
          <w:p>
            <w:pPr>
              <w:spacing w:after="60" w:before="40"/>
            </w:pPr>
            <w:r>
              <w:rPr>
                <w:b/>
                <w:sz w:val="19"/>
              </w:rPr>
              <w:t>Evidence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60" w:before="40"/>
            </w:pPr>
            <w:r>
              <w:rPr>
                <w:sz w:val="19"/>
              </w:rPr>
              <w:t>Weeks 1–2</w:t>
            </w:r>
          </w:p>
        </w:tc>
        <w:tc>
          <w:tcPr>
            <w:tcW w:type="dxa" w:w="8424"/>
          </w:tcPr>
          <w:p>
            <w:pPr>
              <w:spacing w:after="60" w:before="40"/>
            </w:pPr>
            <w:r>
              <w:rPr>
                <w:sz w:val="19"/>
              </w:rPr>
              <w:t>Data audit, source manifest, protocol and team agreement; compute pilot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60" w:before="40"/>
            </w:pPr>
            <w:r>
              <w:rPr>
                <w:sz w:val="19"/>
              </w:rPr>
              <w:t>Week 3</w:t>
            </w:r>
          </w:p>
        </w:tc>
        <w:tc>
          <w:tcPr>
            <w:tcW w:type="dxa" w:w="8424"/>
          </w:tcPr>
          <w:p>
            <w:pPr>
              <w:spacing w:after="60" w:before="40"/>
            </w:pPr>
            <w:r>
              <w:rPr>
                <w:sz w:val="19"/>
              </w:rPr>
              <w:t>Runnable reference baseline, split manifest, dataset card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60" w:before="40"/>
            </w:pPr>
            <w:r>
              <w:rPr>
                <w:sz w:val="19"/>
              </w:rPr>
              <w:t>Week 4</w:t>
            </w:r>
          </w:p>
        </w:tc>
        <w:tc>
          <w:tcPr>
            <w:tcW w:type="dxa" w:w="8424"/>
          </w:tcPr>
          <w:p>
            <w:pPr>
              <w:spacing w:after="60" w:before="40"/>
            </w:pPr>
            <w:r>
              <w:rPr>
                <w:sz w:val="19"/>
              </w:rPr>
              <w:t>Strong baseline and normal-validation diagnostics; 2–3-page progress report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60" w:before="40"/>
            </w:pPr>
            <w:r>
              <w:rPr>
                <w:sz w:val="19"/>
              </w:rPr>
              <w:t>Week 5</w:t>
            </w:r>
          </w:p>
        </w:tc>
        <w:tc>
          <w:tcPr>
            <w:tcW w:type="dxa" w:w="8424"/>
          </w:tcPr>
          <w:p>
            <w:pPr>
              <w:spacing w:after="60" w:before="40"/>
            </w:pPr>
            <w:r>
              <w:rPr>
                <w:sz w:val="19"/>
              </w:rPr>
              <w:t>Complete controlled runs and record configurations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60" w:before="40"/>
            </w:pPr>
            <w:r>
              <w:rPr>
                <w:sz w:val="19"/>
              </w:rPr>
              <w:t>Week 6</w:t>
            </w:r>
          </w:p>
        </w:tc>
        <w:tc>
          <w:tcPr>
            <w:tcW w:type="dxa" w:w="8424"/>
          </w:tcPr>
          <w:p>
            <w:pPr>
              <w:spacing w:after="60" w:before="40"/>
            </w:pPr>
            <w:r>
              <w:rPr>
                <w:sz w:val="19"/>
              </w:rPr>
              <w:t>Freeze protocol; final test evaluation, error and resource analysis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60" w:before="40"/>
            </w:pPr>
            <w:r>
              <w:rPr>
                <w:sz w:val="19"/>
              </w:rPr>
              <w:t>Weeks 7–8</w:t>
            </w:r>
          </w:p>
        </w:tc>
        <w:tc>
          <w:tcPr>
            <w:tcW w:type="dxa" w:w="8424"/>
          </w:tcPr>
          <w:p>
            <w:r>
              <w:t>Cross-member reproduction, contribution statements and peer assessments; final report, code and presentation by Dec 16, 2026</w:t>
            </w:r>
          </w:p>
        </w:tc>
      </w:tr>
    </w:tbl>
    <w:p>
      <w:pPr>
        <w:spacing w:after="60" w:before="0" w:line="2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8280"/>
      </w:tblGrid>
      <w:tr>
        <w:trPr>
          <w:tblHeader/>
          <w:cantSplit/>
        </w:trPr>
        <w:tc>
          <w:tcPr>
            <w:tcW w:type="dxa" w:w="1872"/>
            <w:shd w:fill="F0F0F0"/>
          </w:tcPr>
          <w:p>
            <w:pPr>
              <w:spacing w:before="20" w:after="20"/>
            </w:pPr>
            <w:r>
              <w:rPr>
                <w:b/>
                <w:sz w:val="19"/>
              </w:rPr>
              <w:t>Team member</w:t>
            </w:r>
          </w:p>
        </w:tc>
        <w:tc>
          <w:tcPr>
            <w:tcW w:type="dxa" w:w="8280"/>
            <w:shd w:fill="F0F0F0"/>
          </w:tcPr>
          <w:p>
            <w:pPr>
              <w:spacing w:after="20" w:before="20"/>
            </w:pPr>
            <w:r>
              <w:rPr>
                <w:b/>
                <w:sz w:val="19"/>
              </w:rPr>
              <w:t>Substantive technical responsibility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9"/>
              </w:rPr>
              <w:t>[Team member 1]</w:t>
            </w:r>
          </w:p>
        </w:tc>
        <w:tc>
          <w:tcPr>
            <w:tcW w:type="dxa" w:w="828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 xml:space="preserve">Data and reference model. </w:t>
            </w:r>
            <w:r>
              <w:rPr>
                <w:sz w:val="19"/>
              </w:rPr>
              <w:t>Verify the dataset and maintain the split and scene records. Build the shared image loader and tiling process. Train the reference autoencoder for three seeds per category and document preprocessing.</w:t>
            </w:r>
          </w:p>
          <w:p>
            <w:pPr>
              <w:spacing w:before="20" w:after="20"/>
            </w:pPr>
            <w:r>
              <w:rPr>
                <w:b/>
                <w:sz w:val="19"/>
              </w:rPr>
              <w:t xml:space="preserve">Deliverables: </w:t>
            </w:r>
            <w:r>
              <w:rPr>
                <w:sz w:val="19"/>
              </w:rPr>
              <w:t>Shared data loader, split manifest, autoencoder code and saved models.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9"/>
              </w:rPr>
              <w:t>[Team member 2]</w:t>
            </w:r>
          </w:p>
        </w:tc>
        <w:tc>
          <w:tcPr>
            <w:tcW w:type="dxa" w:w="828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 xml:space="preserve">Baseline model. </w:t>
            </w:r>
            <w:r>
              <w:rPr>
                <w:sz w:val="19"/>
              </w:rPr>
              <w:t>Set up EfficientAD-S, its pretrained teacher and auxiliary data. Implement standard training and calibration, then train the original setting (S00) for three seeds per category.</w:t>
            </w:r>
          </w:p>
          <w:p>
            <w:pPr>
              <w:spacing w:before="20" w:after="20"/>
            </w:pPr>
            <w:r>
              <w:rPr>
                <w:b/>
                <w:sz w:val="19"/>
              </w:rPr>
              <w:t xml:space="preserve">Deliverables: </w:t>
            </w:r>
            <w:r>
              <w:rPr>
                <w:sz w:val="19"/>
              </w:rPr>
              <w:t>Reusable EfficientAD training code, baseline saved models and training logs.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9"/>
              </w:rPr>
              <w:t>[Team member 3]</w:t>
            </w:r>
          </w:p>
        </w:tc>
        <w:tc>
          <w:tcPr>
            <w:tcW w:type="dxa" w:w="828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 xml:space="preserve">Lighting experiments. </w:t>
            </w:r>
            <w:r>
              <w:rPr>
                <w:sz w:val="19"/>
              </w:rPr>
              <w:t>Use the baseline code to implement brightness only (S10), contrast only (S01) and both (S11). Train these settings using the planned seeds and fixed controls. Record configurations and training time.</w:t>
            </w:r>
          </w:p>
          <w:p>
            <w:pPr>
              <w:spacing w:before="20" w:after="20"/>
            </w:pPr>
            <w:r>
              <w:rPr>
                <w:b/>
                <w:sz w:val="19"/>
              </w:rPr>
              <w:t xml:space="preserve">Deliverables: </w:t>
            </w:r>
            <w:r>
              <w:rPr>
                <w:sz w:val="19"/>
              </w:rPr>
              <w:t>Augmentation code, experiment configurations, saved models and run logs.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9"/>
              </w:rPr>
              <w:t>[Team member 4]</w:t>
            </w:r>
          </w:p>
        </w:tc>
        <w:tc>
          <w:tcPr>
            <w:tcW w:type="dxa" w:w="828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 xml:space="preserve">Evaluation and analysis. </w:t>
            </w:r>
            <w:r>
              <w:rPr>
                <w:sz w:val="19"/>
              </w:rPr>
              <w:t>Evaluate all saved models using the fixed protocol and validation-based thresholds. Calculate detection metrics and scene-based uncertainty, measure inference time, and inspect errors across lighting conditions.</w:t>
            </w:r>
          </w:p>
          <w:p>
            <w:pPr>
              <w:spacing w:before="20" w:after="20"/>
            </w:pPr>
            <w:r>
              <w:rPr>
                <w:b/>
                <w:sz w:val="19"/>
              </w:rPr>
              <w:t xml:space="preserve">Deliverables: </w:t>
            </w:r>
            <w:r>
              <w:rPr>
                <w:sz w:val="19"/>
              </w:rPr>
              <w:t>Evaluation code, metric tables, comparison figures and findings.</w:t>
            </w:r>
          </w:p>
        </w:tc>
      </w:tr>
    </w:tbl>
    <w:p>
      <w:pPr>
        <w:spacing w:after="60" w:before="0" w:line="20" w:lineRule="exact"/>
      </w:pPr>
      <w:r>
        <w:rPr>
          <w:sz w:val="2"/>
        </w:rPr>
      </w:r>
    </w:p>
    <w:p>
      <w:r>
        <w:t>Each member will code, analyze and write their part, cross-review another member and explain the full system and one experiment. A non-author will reproduce an evaluation from the README and record commands, configuration, result and discrepancies. Minimum scope is Rice (four settings, three seeds, reference; 15 fits); full scope adds Walnuts (30). Tiling cost is the main risk; few scenes limit conclusions. Discuss budget-driven scope reductions with the instructor before testing. Private-server evaluation is a stretch goal.</w:t>
      </w:r>
    </w:p>
    <w:p>
      <w:pPr>
        <w:pStyle w:val="Heading1"/>
        <w:pageBreakBefore/>
      </w:pPr>
      <w:r>
        <w:t>References</w:t>
      </w:r>
    </w:p>
    <w:p>
      <w:pPr>
        <w:spacing w:after="140"/>
      </w:pPr>
      <w:r>
        <w:t xml:space="preserve">[1] L. Heckler-Kram, J.-H. Neudeck, U. Scheler, R. König, and C. Steger. The MVTec AD 2 Dataset: Advanced Scenarios for Unsupervised Anomaly Detection. International Journal of Computer Vision, 134, article 175, March 2026. </w:t>
      </w:r>
      <w:hyperlink r:id="rId11">
        <w:r>
          <w:rPr>
            <w:color w:val="155A85"/>
          </w:rPr>
          <w:t>Source</w:t>
        </w:r>
      </w:hyperlink>
    </w:p>
    <w:p>
      <w:pPr>
        <w:spacing w:after="140"/>
      </w:pPr>
      <w:r>
        <w:t xml:space="preserve">[2] K. Batzner, L. Heckler, and R. König. EfficientAD: Accurate Visual Anomaly Detection at Millisecond-Level Latencies. WACV 2024, pp. 128–138. </w:t>
      </w:r>
      <w:hyperlink r:id="rId12">
        <w:r>
          <w:rPr>
            <w:color w:val="155A85"/>
          </w:rPr>
          <w:t>Source</w:t>
        </w:r>
      </w:hyperlink>
    </w:p>
    <w:p>
      <w:pPr>
        <w:spacing w:after="140"/>
      </w:pPr>
      <w:r>
        <w:t xml:space="preserve">[3] S. Thomine and H. Snoussi. Single-Layer Distillation with Fourier Convolutions for Texture Anomaly Detection. WACV 2025, pp. 8962–8971. </w:t>
      </w:r>
      <w:hyperlink r:id="rId13">
        <w:r>
          <w:rPr>
            <w:color w:val="155A85"/>
          </w:rPr>
          <w:t>Source</w:t>
        </w:r>
      </w:hyperlink>
    </w:p>
    <w:p>
      <w:pPr>
        <w:spacing w:after="140"/>
      </w:pPr>
      <w:r>
        <w:t xml:space="preserve">[4] MVTec Software. MVTec AD 2 dataset, download information, and CC BY-NC-SA 4.0 license. Accessed October 25, 2026. </w:t>
      </w:r>
      <w:hyperlink r:id="rId14">
        <w:r>
          <w:rPr>
            <w:color w:val="155A85"/>
          </w:rPr>
          <w:t>Source</w:t>
        </w:r>
      </w:hyperlink>
    </w:p>
    <w:p>
      <w:pPr>
        <w:spacing w:after="140"/>
      </w:pPr>
      <w:r>
        <w:t xml:space="preserve">[5] Open Edge Platform. Anomalib EfficientAD implementation. Source version reviewed October 25, 2026. </w:t>
      </w:r>
      <w:hyperlink r:id="rId15">
        <w:r>
          <w:rPr>
            <w:color w:val="155A85"/>
          </w:rPr>
          <w:t>Source</w:t>
        </w:r>
      </w:hyperlink>
    </w:p>
    <w:p>
      <w:pPr>
        <w:spacing w:after="140"/>
      </w:pPr>
      <w:r>
        <w:t xml:space="preserve">[6] Y. Jiang. Anomagic researcher repository linking the AnomVerse MVTec AD 2 mirror. Selected original image folders only; no added crops, overlays, or generated metadata. </w:t>
      </w:r>
      <w:hyperlink r:id="rId16">
        <w:r>
          <w:rPr>
            <w:color w:val="155A85"/>
          </w:rPr>
          <w:t>Source</w:t>
        </w:r>
      </w:hyperlink>
    </w:p>
    <w:p>
      <w:pPr>
        <w:spacing w:after="140"/>
      </w:pPr>
      <w:r>
        <w:t xml:space="preserve">[7] AnomVerse. MVTec AD 2 data mirror, fixed source version accessed October 25, 2026. </w:t>
      </w:r>
      <w:hyperlink r:id="rId17">
        <w:r>
          <w:rPr>
            <w:color w:val="155A85"/>
          </w:rPr>
          <w:t>Source</w:t>
        </w:r>
      </w:hyperlink>
    </w:p>
    <w:p>
      <w:pPr>
        <w:spacing w:after="140"/>
      </w:pPr>
      <w:r>
        <w:t xml:space="preserve">[8] fast.ai. Imagenette, a ten-class subset of ImageNet used as auxiliary penalty data by the selected EfficientAD implementation. Dataset URL accessible October 25, 2026. </w:t>
      </w:r>
      <w:hyperlink r:id="rId18">
        <w:r>
          <w:rPr>
            <w:color w:val="155A85"/>
          </w:rPr>
          <w:t>Source</w:t>
        </w:r>
      </w:hyperlink>
    </w:p>
    <w:p>
      <w:pPr>
        <w:spacing w:after="140"/>
      </w:pPr>
      <w:r>
        <w:t xml:space="preserve">[9] Open Edge Platform. EfficientAD pretrained_teacher_small.pth, efficientad_pretrained_weights release. Asset URL accessible October 25, 2026. </w:t>
      </w:r>
      <w:hyperlink r:id="rId19">
        <w:r>
          <w:rPr>
            <w:color w:val="155A85"/>
          </w:rPr>
          <w:t>Source</w:t>
        </w:r>
      </w:hyperlink>
    </w:p>
    <w:p>
      <w:pPr>
        <w:pStyle w:val="Heading1"/>
      </w:pPr>
      <w:r>
        <w:t>Assistance disclosure</w:t>
      </w:r>
    </w:p>
    <w:p>
      <w:r>
        <w:t>OpenAI Codex assisted literature discovery, experimental-design suggestions, substantive drafting and editing. Publication details were checked against publisher/proceedings pages; implementation claims against pinned Anomalib source. Dataset counts and formats were checked against the publication, with file integrity recorded in local audits. No model training or performance results are claimed.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DATA 255 project proposal  •  October 25,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DATA 255  |  FALL 2026  |  PROJECT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 w:before="0"/>
      <w:contextualSpacing/>
    </w:pPr>
    <w:rPr>
      <w:rFonts w:asciiTheme="majorHAnsi" w:eastAsiaTheme="majorEastAsia" w:hAnsiTheme="majorHAnsi" w:cstheme="majorBidi" w:ascii="Calibri" w:hAnsi="Calibri"/>
      <w:b w:val="0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ink.springer.com/article/10.1007/s11263-026-02743-0" TargetMode="External"/><Relationship Id="rId12" Type="http://schemas.openxmlformats.org/officeDocument/2006/relationships/hyperlink" Target="https://openaccess.thecvf.com/content/WACV2024/html/Batzner_EfficientAD_Accurate_Visual_Anomaly_Detection_at_Millisecond-Level_Latencies_WACV_2024_paper.html" TargetMode="External"/><Relationship Id="rId13" Type="http://schemas.openxmlformats.org/officeDocument/2006/relationships/hyperlink" Target="https://openaccess.thecvf.com/content/WACV2025/html/Thomine_Single-Layer_Distillation_with_Fourier_Convolutions_for_Texture_Anomaly_Detection_WACV_2025_paper.html" TargetMode="External"/><Relationship Id="rId14" Type="http://schemas.openxmlformats.org/officeDocument/2006/relationships/hyperlink" Target="https://www.mvtec.com/research-teaching/datasets/mvtec-ad-2" TargetMode="External"/><Relationship Id="rId15" Type="http://schemas.openxmlformats.org/officeDocument/2006/relationships/hyperlink" Target="https://github.com/open-edge-platform/anomalib/tree/dac2a62544d17f5cfef8152dc40f4ccafdc01df6/src/anomalib/models/image/efficient_ad" TargetMode="External"/><Relationship Id="rId16" Type="http://schemas.openxmlformats.org/officeDocument/2006/relationships/hyperlink" Target="https://github.com/yuxin-jiang/Anomagic" TargetMode="External"/><Relationship Id="rId17" Type="http://schemas.openxmlformats.org/officeDocument/2006/relationships/hyperlink" Target="https://huggingface.co/datasets/yuxinjiang11/AnomVerse/tree/47809f7e8f0ec9991cc03083aeeba82d83cd3abf" TargetMode="External"/><Relationship Id="rId18" Type="http://schemas.openxmlformats.org/officeDocument/2006/relationships/hyperlink" Target="https://github.com/fastai/imagenette" TargetMode="External"/><Relationship Id="rId19" Type="http://schemas.openxmlformats.org/officeDocument/2006/relationships/hyperlink" Target="https://github.com/open-edge-platform/anomalib/releases/tag/efficientad_pretrained_weigh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