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shd w:fill="00ff00" w:val="clea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shd w:fill="00ff00" w:val="clea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shd w:fill="00ff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shd w:fill="00ff00"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shd w:fill="00ff00" w:val="clea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shd w:fill="00ff00" w:val="clea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shd w:fill="00ff00" w:val="clea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shd w:fill="00ff00"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7EkRlXX2BLJBDTJ/U2ABgwk3fA==">CgMxLjA4AHIhMXdRM1hlRHRyZkozZVk5V2hqQlBzcUlqTnJFVjB2cXJw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