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7446" w14:textId="3FCCB15B" w:rsidR="00815B27" w:rsidRDefault="00815B27" w:rsidP="00815B27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Jimena Uribe Barrera </w:t>
      </w:r>
    </w:p>
    <w:p w14:paraId="29AE164E" w14:textId="3662BE4F" w:rsidR="00815B27" w:rsidRDefault="00815B27" w:rsidP="00815B27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A01706474</w:t>
      </w:r>
    </w:p>
    <w:p w14:paraId="54020A6F" w14:textId="77777777" w:rsidR="00815B27" w:rsidRDefault="00815B27" w:rsidP="00815B2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0F84CE" w14:textId="553C470C" w:rsidR="00E15021" w:rsidRPr="00815B27" w:rsidRDefault="00426A4E" w:rsidP="00815B27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15B27">
        <w:rPr>
          <w:rFonts w:ascii="Arial" w:hAnsi="Arial" w:cs="Arial"/>
          <w:b/>
          <w:bCs/>
          <w:sz w:val="24"/>
          <w:szCs w:val="24"/>
        </w:rPr>
        <w:t>Insights</w:t>
      </w:r>
      <w:proofErr w:type="spellEnd"/>
      <w:r w:rsidRPr="00815B27">
        <w:rPr>
          <w:rFonts w:ascii="Arial" w:hAnsi="Arial" w:cs="Arial"/>
          <w:b/>
          <w:bCs/>
          <w:sz w:val="24"/>
          <w:szCs w:val="24"/>
        </w:rPr>
        <w:t xml:space="preserve"> de análisis</w:t>
      </w:r>
    </w:p>
    <w:p w14:paraId="65D270BF" w14:textId="77777777" w:rsidR="00815B27" w:rsidRDefault="00815B27" w:rsidP="00815B27">
      <w:pPr>
        <w:jc w:val="both"/>
        <w:rPr>
          <w:rFonts w:ascii="Arial" w:hAnsi="Arial" w:cs="Arial"/>
          <w:sz w:val="24"/>
          <w:szCs w:val="24"/>
        </w:rPr>
      </w:pPr>
    </w:p>
    <w:p w14:paraId="0385E10B" w14:textId="2057DD53" w:rsidR="00426A4E" w:rsidRPr="00815B27" w:rsidRDefault="00426A4E" w:rsidP="00815B27">
      <w:pPr>
        <w:jc w:val="both"/>
        <w:rPr>
          <w:rFonts w:ascii="Arial" w:hAnsi="Arial" w:cs="Arial"/>
          <w:sz w:val="24"/>
          <w:szCs w:val="24"/>
        </w:rPr>
      </w:pPr>
      <w:r w:rsidRPr="00815B27">
        <w:rPr>
          <w:rFonts w:ascii="Arial" w:hAnsi="Arial" w:cs="Arial"/>
          <w:sz w:val="24"/>
          <w:szCs w:val="24"/>
        </w:rPr>
        <w:t xml:space="preserve">Iteré un ciclo </w:t>
      </w:r>
      <w:proofErr w:type="spellStart"/>
      <w:r w:rsidRPr="00815B27">
        <w:rPr>
          <w:rFonts w:ascii="Arial" w:hAnsi="Arial" w:cs="Arial"/>
          <w:sz w:val="24"/>
          <w:szCs w:val="24"/>
        </w:rPr>
        <w:t>for</w:t>
      </w:r>
      <w:proofErr w:type="spellEnd"/>
      <w:r w:rsidRPr="00815B27">
        <w:rPr>
          <w:rFonts w:ascii="Arial" w:hAnsi="Arial" w:cs="Arial"/>
          <w:sz w:val="24"/>
          <w:szCs w:val="24"/>
        </w:rPr>
        <w:t xml:space="preserve"> para obtener el análisis </w:t>
      </w:r>
      <w:proofErr w:type="spellStart"/>
      <w:r w:rsidRPr="00815B27">
        <w:rPr>
          <w:rFonts w:ascii="Arial" w:hAnsi="Arial" w:cs="Arial"/>
          <w:sz w:val="24"/>
          <w:szCs w:val="24"/>
        </w:rPr>
        <w:t>univariado</w:t>
      </w:r>
      <w:proofErr w:type="spellEnd"/>
      <w:r w:rsidRPr="00815B27">
        <w:rPr>
          <w:rFonts w:ascii="Arial" w:hAnsi="Arial" w:cs="Arial"/>
          <w:sz w:val="24"/>
          <w:szCs w:val="24"/>
        </w:rPr>
        <w:t xml:space="preserve"> de 20 variables categóricas (elegidas de manera </w:t>
      </w:r>
      <w:proofErr w:type="spellStart"/>
      <w:r w:rsidRPr="00815B27">
        <w:rPr>
          <w:rFonts w:ascii="Arial" w:hAnsi="Arial" w:cs="Arial"/>
          <w:sz w:val="24"/>
          <w:szCs w:val="24"/>
        </w:rPr>
        <w:t>random</w:t>
      </w:r>
      <w:proofErr w:type="spellEnd"/>
      <w:r w:rsidRPr="00815B27">
        <w:rPr>
          <w:rFonts w:ascii="Arial" w:hAnsi="Arial" w:cs="Arial"/>
          <w:sz w:val="24"/>
          <w:szCs w:val="24"/>
        </w:rPr>
        <w:t>) y una gráfica de barras y de pastel por cada una con el objetivo de identificar las frecuencias de los valores de cada variable.</w:t>
      </w:r>
    </w:p>
    <w:p w14:paraId="0CCD970C" w14:textId="33FB8E68" w:rsidR="00426A4E" w:rsidRPr="00815B27" w:rsidRDefault="00426A4E" w:rsidP="00815B27">
      <w:pPr>
        <w:jc w:val="both"/>
        <w:rPr>
          <w:rFonts w:ascii="Arial" w:hAnsi="Arial" w:cs="Arial"/>
          <w:sz w:val="24"/>
          <w:szCs w:val="24"/>
        </w:rPr>
      </w:pPr>
      <w:r w:rsidRPr="00815B27">
        <w:rPr>
          <w:rFonts w:ascii="Arial" w:hAnsi="Arial" w:cs="Arial"/>
          <w:sz w:val="24"/>
          <w:szCs w:val="24"/>
        </w:rPr>
        <w:t>La mayoría de las variables categóricas seleccionadas al azar tienen un rango de valores que posibilita visualizar fácilmente su distribución por medio de las gráficas. Sin embargo, variables como _</w:t>
      </w:r>
      <w:proofErr w:type="spellStart"/>
      <w:r w:rsidRPr="00815B27">
        <w:rPr>
          <w:rFonts w:ascii="Arial" w:hAnsi="Arial" w:cs="Arial"/>
          <w:sz w:val="24"/>
          <w:szCs w:val="24"/>
        </w:rPr>
        <w:t>record_id</w:t>
      </w:r>
      <w:proofErr w:type="spellEnd"/>
      <w:r w:rsidRPr="00815B2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15B27">
        <w:rPr>
          <w:rFonts w:ascii="Arial" w:hAnsi="Arial" w:cs="Arial"/>
          <w:sz w:val="24"/>
          <w:szCs w:val="24"/>
        </w:rPr>
        <w:t>key</w:t>
      </w:r>
      <w:proofErr w:type="spellEnd"/>
      <w:r w:rsidRPr="00815B27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815B27">
        <w:rPr>
          <w:rFonts w:ascii="Arial" w:hAnsi="Arial" w:cs="Arial"/>
          <w:sz w:val="24"/>
          <w:szCs w:val="24"/>
        </w:rPr>
        <w:t>df</w:t>
      </w:r>
      <w:proofErr w:type="spellEnd"/>
      <w:r w:rsidRPr="00815B27">
        <w:rPr>
          <w:rFonts w:ascii="Arial" w:hAnsi="Arial" w:cs="Arial"/>
          <w:sz w:val="24"/>
          <w:szCs w:val="24"/>
        </w:rPr>
        <w:t>) y s</w:t>
      </w:r>
      <w:proofErr w:type="spellStart"/>
      <w:r w:rsidRPr="00815B27">
        <w:rPr>
          <w:rFonts w:ascii="Arial" w:hAnsi="Arial" w:cs="Arial"/>
          <w:sz w:val="24"/>
          <w:szCs w:val="24"/>
        </w:rPr>
        <w:t>erver_updated_at</w:t>
      </w:r>
      <w:proofErr w:type="spellEnd"/>
      <w:r w:rsidRPr="00815B27">
        <w:rPr>
          <w:rFonts w:ascii="Arial" w:hAnsi="Arial" w:cs="Arial"/>
          <w:sz w:val="24"/>
          <w:szCs w:val="24"/>
        </w:rPr>
        <w:t xml:space="preserve"> tienen valores únicos </w:t>
      </w:r>
      <w:proofErr w:type="gramStart"/>
      <w:r w:rsidRPr="00815B27">
        <w:rPr>
          <w:rFonts w:ascii="Arial" w:hAnsi="Arial" w:cs="Arial"/>
          <w:sz w:val="24"/>
          <w:szCs w:val="24"/>
        </w:rPr>
        <w:t>y</w:t>
      </w:r>
      <w:proofErr w:type="gramEnd"/>
      <w:r w:rsidRPr="00815B27">
        <w:rPr>
          <w:rFonts w:ascii="Arial" w:hAnsi="Arial" w:cs="Arial"/>
          <w:sz w:val="24"/>
          <w:szCs w:val="24"/>
        </w:rPr>
        <w:t xml:space="preserve"> por lo tanto, no es necesario realizar una evaluación del análisis </w:t>
      </w:r>
      <w:proofErr w:type="spellStart"/>
      <w:r w:rsidRPr="00815B27">
        <w:rPr>
          <w:rFonts w:ascii="Arial" w:hAnsi="Arial" w:cs="Arial"/>
          <w:sz w:val="24"/>
          <w:szCs w:val="24"/>
        </w:rPr>
        <w:t>univariado</w:t>
      </w:r>
      <w:proofErr w:type="spellEnd"/>
      <w:r w:rsidRPr="00815B27">
        <w:rPr>
          <w:rFonts w:ascii="Arial" w:hAnsi="Arial" w:cs="Arial"/>
          <w:sz w:val="24"/>
          <w:szCs w:val="24"/>
        </w:rPr>
        <w:t xml:space="preserve">. Aunque son variables categóricas no representan una característica de la tienda, son un </w:t>
      </w:r>
      <w:proofErr w:type="spellStart"/>
      <w:r w:rsidRPr="00815B27">
        <w:rPr>
          <w:rFonts w:ascii="Arial" w:hAnsi="Arial" w:cs="Arial"/>
          <w:sz w:val="24"/>
          <w:szCs w:val="24"/>
        </w:rPr>
        <w:t>key</w:t>
      </w:r>
      <w:proofErr w:type="spellEnd"/>
      <w:r w:rsidRPr="00815B27">
        <w:rPr>
          <w:rFonts w:ascii="Arial" w:hAnsi="Arial" w:cs="Arial"/>
          <w:sz w:val="24"/>
          <w:szCs w:val="24"/>
        </w:rPr>
        <w:t xml:space="preserve"> y una fecha. El haber iterado el ciclo generó que se seleccionaran de manera </w:t>
      </w:r>
      <w:proofErr w:type="spellStart"/>
      <w:r w:rsidRPr="00815B27">
        <w:rPr>
          <w:rFonts w:ascii="Arial" w:hAnsi="Arial" w:cs="Arial"/>
          <w:sz w:val="24"/>
          <w:szCs w:val="24"/>
        </w:rPr>
        <w:t>random</w:t>
      </w:r>
      <w:proofErr w:type="spellEnd"/>
      <w:r w:rsidRPr="00815B27">
        <w:rPr>
          <w:rFonts w:ascii="Arial" w:hAnsi="Arial" w:cs="Arial"/>
          <w:sz w:val="24"/>
          <w:szCs w:val="24"/>
        </w:rPr>
        <w:t xml:space="preserve">, y en este caso en específico, el análisis </w:t>
      </w:r>
      <w:proofErr w:type="spellStart"/>
      <w:r w:rsidRPr="00815B27">
        <w:rPr>
          <w:rFonts w:ascii="Arial" w:hAnsi="Arial" w:cs="Arial"/>
          <w:sz w:val="24"/>
          <w:szCs w:val="24"/>
        </w:rPr>
        <w:t>univariado</w:t>
      </w:r>
      <w:proofErr w:type="spellEnd"/>
      <w:r w:rsidRPr="00815B27">
        <w:rPr>
          <w:rFonts w:ascii="Arial" w:hAnsi="Arial" w:cs="Arial"/>
          <w:sz w:val="24"/>
          <w:szCs w:val="24"/>
        </w:rPr>
        <w:t xml:space="preserve"> de las dos variables no tiene utilidad. </w:t>
      </w:r>
    </w:p>
    <w:p w14:paraId="237FE226" w14:textId="276BAFE2" w:rsidR="00426A4E" w:rsidRPr="00815B27" w:rsidRDefault="00815B27" w:rsidP="00815B27">
      <w:pPr>
        <w:jc w:val="both"/>
        <w:rPr>
          <w:rFonts w:ascii="Arial" w:hAnsi="Arial" w:cs="Arial"/>
          <w:sz w:val="24"/>
          <w:szCs w:val="24"/>
        </w:rPr>
      </w:pPr>
      <w:r w:rsidRPr="00815B27">
        <w:rPr>
          <w:rFonts w:ascii="Arial" w:hAnsi="Arial" w:cs="Arial"/>
          <w:sz w:val="24"/>
          <w:szCs w:val="24"/>
        </w:rPr>
        <w:t xml:space="preserve">Del análisis de las demás variables, identificamos que la mayoría de los </w:t>
      </w:r>
      <w:proofErr w:type="spellStart"/>
      <w:r w:rsidRPr="00815B27">
        <w:rPr>
          <w:rFonts w:ascii="Arial" w:hAnsi="Arial" w:cs="Arial"/>
          <w:sz w:val="24"/>
          <w:szCs w:val="24"/>
        </w:rPr>
        <w:t>microretailers</w:t>
      </w:r>
      <w:proofErr w:type="spellEnd"/>
      <w:r w:rsidRPr="00815B27">
        <w:rPr>
          <w:rFonts w:ascii="Arial" w:hAnsi="Arial" w:cs="Arial"/>
          <w:sz w:val="24"/>
          <w:szCs w:val="24"/>
        </w:rPr>
        <w:t xml:space="preserve"> están de acuerdo en compartir su información de inventario con los proveedores y </w:t>
      </w:r>
      <w:proofErr w:type="spellStart"/>
      <w:r w:rsidRPr="00815B27">
        <w:rPr>
          <w:rFonts w:ascii="Arial" w:hAnsi="Arial" w:cs="Arial"/>
          <w:sz w:val="24"/>
          <w:szCs w:val="24"/>
        </w:rPr>
        <w:t>reorder</w:t>
      </w:r>
      <w:proofErr w:type="spellEnd"/>
      <w:r w:rsidRPr="00815B27">
        <w:rPr>
          <w:rFonts w:ascii="Arial" w:hAnsi="Arial" w:cs="Arial"/>
          <w:sz w:val="24"/>
          <w:szCs w:val="24"/>
        </w:rPr>
        <w:t xml:space="preserve">. Asimismo, el canal de ventas más relevante es por medio de WhatsApp, seguida de teléfono fijo. Sin embargo, en el caso específico de la variable “210_sales_channel” la nula estandarización del registro de los medios de venta (los mismos canales están descritos de maneras diferentes), genera duplicidad y sobre representación de ciertos canales, por lo que es una variable que necesita mayor limpieza antes del análisis. </w:t>
      </w:r>
    </w:p>
    <w:p w14:paraId="6A69E6E4" w14:textId="49604E6D" w:rsidR="00815B27" w:rsidRPr="00815B27" w:rsidRDefault="00815B27" w:rsidP="00815B27">
      <w:pPr>
        <w:jc w:val="both"/>
        <w:rPr>
          <w:rFonts w:ascii="Arial" w:hAnsi="Arial" w:cs="Arial"/>
          <w:sz w:val="24"/>
          <w:szCs w:val="24"/>
        </w:rPr>
      </w:pPr>
      <w:r w:rsidRPr="00815B27">
        <w:rPr>
          <w:rFonts w:ascii="Arial" w:hAnsi="Arial" w:cs="Arial"/>
          <w:sz w:val="24"/>
          <w:szCs w:val="24"/>
        </w:rPr>
        <w:t xml:space="preserve">Más del 40% de los </w:t>
      </w:r>
      <w:proofErr w:type="spellStart"/>
      <w:r w:rsidRPr="00815B27">
        <w:rPr>
          <w:rFonts w:ascii="Arial" w:hAnsi="Arial" w:cs="Arial"/>
          <w:sz w:val="24"/>
          <w:szCs w:val="24"/>
        </w:rPr>
        <w:t>microretailers</w:t>
      </w:r>
      <w:proofErr w:type="spellEnd"/>
      <w:r w:rsidRPr="00815B27">
        <w:rPr>
          <w:rFonts w:ascii="Arial" w:hAnsi="Arial" w:cs="Arial"/>
          <w:sz w:val="24"/>
          <w:szCs w:val="24"/>
        </w:rPr>
        <w:t xml:space="preserve"> consideran que la tecnología es beneficial para los clientes, y el 69% genera un cargo adicional al pagar con tarjeta.</w:t>
      </w:r>
    </w:p>
    <w:p w14:paraId="2FFF2137" w14:textId="19B75F8E" w:rsidR="00815B27" w:rsidRPr="00815B27" w:rsidRDefault="00815B27" w:rsidP="00815B27">
      <w:pPr>
        <w:jc w:val="both"/>
        <w:rPr>
          <w:rFonts w:ascii="Arial" w:hAnsi="Arial" w:cs="Arial"/>
          <w:sz w:val="24"/>
          <w:szCs w:val="24"/>
        </w:rPr>
      </w:pPr>
      <w:r w:rsidRPr="00815B27">
        <w:rPr>
          <w:rFonts w:ascii="Arial" w:hAnsi="Arial" w:cs="Arial"/>
          <w:sz w:val="24"/>
          <w:szCs w:val="24"/>
        </w:rPr>
        <w:t xml:space="preserve">Más del 70% no exhibe su producto fuera de la tienda, y más del 60% no </w:t>
      </w:r>
      <w:proofErr w:type="gramStart"/>
      <w:r w:rsidRPr="00815B27">
        <w:rPr>
          <w:rFonts w:ascii="Arial" w:hAnsi="Arial" w:cs="Arial"/>
          <w:sz w:val="24"/>
          <w:szCs w:val="24"/>
        </w:rPr>
        <w:t>vende  productos</w:t>
      </w:r>
      <w:proofErr w:type="gramEnd"/>
      <w:r w:rsidRPr="00815B27">
        <w:rPr>
          <w:rFonts w:ascii="Arial" w:hAnsi="Arial" w:cs="Arial"/>
          <w:sz w:val="24"/>
          <w:szCs w:val="24"/>
        </w:rPr>
        <w:t xml:space="preserve"> frescos. Casi el 100% de las ventas, son por medio del piso de venta, es decir los clientes recogen en tienda. Menos del 4% del total son por medio de servicio a domicilio.</w:t>
      </w:r>
    </w:p>
    <w:p w14:paraId="75755598" w14:textId="117828E0" w:rsidR="00815B27" w:rsidRPr="00815B27" w:rsidRDefault="00815B27" w:rsidP="00815B27">
      <w:pPr>
        <w:jc w:val="both"/>
        <w:rPr>
          <w:rFonts w:ascii="Arial" w:hAnsi="Arial" w:cs="Arial"/>
          <w:sz w:val="24"/>
          <w:szCs w:val="24"/>
        </w:rPr>
      </w:pPr>
      <w:r w:rsidRPr="00815B27">
        <w:rPr>
          <w:rFonts w:ascii="Arial" w:hAnsi="Arial" w:cs="Arial"/>
          <w:sz w:val="24"/>
          <w:szCs w:val="24"/>
        </w:rPr>
        <w:t>Más del 40% está dispuesto a compartir su información de ventas.</w:t>
      </w:r>
    </w:p>
    <w:sectPr w:rsidR="00815B27" w:rsidRPr="00815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613B"/>
    <w:multiLevelType w:val="hybridMultilevel"/>
    <w:tmpl w:val="A8B835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61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6C"/>
    <w:rsid w:val="00302F6C"/>
    <w:rsid w:val="00426A4E"/>
    <w:rsid w:val="00815B27"/>
    <w:rsid w:val="00BF4009"/>
    <w:rsid w:val="00E15021"/>
    <w:rsid w:val="00EF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CE04"/>
  <w15:chartTrackingRefBased/>
  <w15:docId w15:val="{D024104C-EC86-434E-A22D-2A6C14D3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2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2F6C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302F6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F4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406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1534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9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86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6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67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Uribe Barrera</dc:creator>
  <cp:keywords/>
  <dc:description/>
  <cp:lastModifiedBy>Jimena Uribe Barrera</cp:lastModifiedBy>
  <cp:revision>1</cp:revision>
  <dcterms:created xsi:type="dcterms:W3CDTF">2023-10-15T04:59:00Z</dcterms:created>
  <dcterms:modified xsi:type="dcterms:W3CDTF">2023-10-15T06:15:00Z</dcterms:modified>
</cp:coreProperties>
</file>