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B618A57"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BE5DEF" w:rsidRPr="007F4BD8">
          <w:rPr>
            <w:rStyle w:val="Hyperlink"/>
            <w:rFonts w:ascii="Palatino" w:hAnsi="Palatino"/>
            <w:sz w:val="22"/>
            <w:szCs w:val="22"/>
          </w:rPr>
          <w:t>http://jgolcher.github.io</w:t>
        </w:r>
      </w:hyperlink>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2C0A5F4C" w:rsidR="006F223E" w:rsidRDefault="006F223E" w:rsidP="006F223E">
      <w:pPr>
        <w:ind w:left="2160" w:hanging="2160"/>
        <w:jc w:val="both"/>
        <w:rPr>
          <w:rFonts w:ascii="Palatino" w:hAnsi="Palatino"/>
          <w:b/>
          <w:sz w:val="22"/>
          <w:szCs w:val="22"/>
        </w:rPr>
      </w:pPr>
      <w:r>
        <w:rPr>
          <w:rFonts w:ascii="Palatino" w:hAnsi="Palatino"/>
          <w:b/>
          <w:iCs/>
          <w:color w:val="000000" w:themeColor="text1"/>
          <w:sz w:val="22"/>
          <w:szCs w:val="22"/>
        </w:rPr>
        <w:t>2022-2023</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Pr>
          <w:rFonts w:ascii="Palatino" w:hAnsi="Palatino"/>
          <w:color w:val="000000" w:themeColor="text1"/>
          <w:sz w:val="22"/>
          <w:szCs w:val="22"/>
        </w:rPr>
        <w:t>Early life environment and</w:t>
      </w:r>
      <w:r w:rsidRPr="006F223E">
        <w:rPr>
          <w:rFonts w:ascii="Palatino" w:hAnsi="Palatino"/>
          <w:color w:val="000000" w:themeColor="text1"/>
          <w:sz w:val="22"/>
          <w:szCs w:val="22"/>
        </w:rPr>
        <w:t xml:space="preserve"> recruitment of invasive </w:t>
      </w:r>
      <w:r>
        <w:rPr>
          <w:rFonts w:ascii="Palatino" w:hAnsi="Palatino"/>
          <w:color w:val="000000" w:themeColor="text1"/>
          <w:sz w:val="22"/>
          <w:szCs w:val="22"/>
        </w:rPr>
        <w:t>c</w:t>
      </w:r>
      <w:r w:rsidRPr="006F223E">
        <w:rPr>
          <w:rFonts w:ascii="Palatino" w:hAnsi="Palatino"/>
          <w:color w:val="000000" w:themeColor="text1"/>
          <w:sz w:val="22"/>
          <w:szCs w:val="22"/>
        </w:rPr>
        <w:t>arp</w:t>
      </w:r>
      <w:r w:rsidRPr="00C666E8">
        <w:rPr>
          <w:rFonts w:ascii="Palatino" w:hAnsi="Palatino"/>
          <w:sz w:val="22"/>
          <w:szCs w:val="22"/>
        </w:rPr>
        <w:t xml:space="preserve">” Dr. </w:t>
      </w:r>
      <w:r>
        <w:rPr>
          <w:rFonts w:ascii="Palatino" w:hAnsi="Palatino"/>
          <w:sz w:val="22"/>
          <w:szCs w:val="22"/>
        </w:rPr>
        <w:t xml:space="preserve">Michael J. Weber </w:t>
      </w:r>
      <w:r>
        <w:rPr>
          <w:rFonts w:ascii="Palatino" w:hAnsi="Palatino"/>
          <w:sz w:val="22"/>
          <w:szCs w:val="22"/>
        </w:rPr>
        <w:t xml:space="preserve">and Dr. </w:t>
      </w:r>
      <w:r>
        <w:rPr>
          <w:rFonts w:ascii="Palatino" w:hAnsi="Palatino"/>
          <w:sz w:val="22"/>
          <w:szCs w:val="22"/>
        </w:rPr>
        <w:t>Michael J</w:t>
      </w:r>
      <w:r>
        <w:rPr>
          <w:rFonts w:ascii="Palatino" w:hAnsi="Palatino"/>
          <w:sz w:val="22"/>
          <w:szCs w:val="22"/>
        </w:rPr>
        <w:t>.</w:t>
      </w:r>
      <w:r>
        <w:rPr>
          <w:rFonts w:ascii="Palatino" w:hAnsi="Palatino"/>
          <w:sz w:val="22"/>
          <w:szCs w:val="22"/>
        </w:rPr>
        <w:t xml:space="preserve"> Moore.</w:t>
      </w:r>
    </w:p>
    <w:p w14:paraId="7A10E2DF" w14:textId="18F02C90" w:rsidR="005F096C" w:rsidRDefault="005F096C" w:rsidP="00E62881">
      <w:pPr>
        <w:ind w:left="2160" w:hanging="2160"/>
        <w:jc w:val="both"/>
        <w:rPr>
          <w:rFonts w:ascii="Palatino" w:hAnsi="Palatino"/>
          <w:b/>
          <w:sz w:val="22"/>
          <w:szCs w:val="22"/>
        </w:rPr>
      </w:pPr>
      <w:r w:rsidRPr="005F096C">
        <w:rPr>
          <w:rFonts w:ascii="Palatino" w:hAnsi="Palatino"/>
          <w:b/>
          <w:iCs/>
          <w:color w:val="000000" w:themeColor="text1"/>
          <w:sz w:val="22"/>
          <w:szCs w:val="22"/>
        </w:rPr>
        <w:t>2022</w:t>
      </w:r>
      <w:r>
        <w:rPr>
          <w:rFonts w:ascii="Palatino" w:hAnsi="Palatino"/>
          <w:b/>
          <w:sz w:val="22"/>
          <w:szCs w:val="22"/>
        </w:rPr>
        <w:t xml:space="preserve"> </w:t>
      </w:r>
      <w:r w:rsidR="006F223E" w:rsidRPr="00C666E8">
        <w:rPr>
          <w:rFonts w:ascii="Palatino" w:hAnsi="Palatino"/>
          <w:b/>
          <w:i/>
          <w:color w:val="000000" w:themeColor="text1"/>
          <w:sz w:val="22"/>
          <w:szCs w:val="22"/>
        </w:rPr>
        <w:t xml:space="preserve">– </w:t>
      </w:r>
      <w:r w:rsidR="006F223E">
        <w:rPr>
          <w:rFonts w:ascii="Palatino" w:hAnsi="Palatino"/>
          <w:b/>
          <w:i/>
          <w:color w:val="000000" w:themeColor="text1"/>
          <w:sz w:val="22"/>
          <w:szCs w:val="22"/>
        </w:rPr>
        <w:t>S</w:t>
      </w:r>
      <w:r w:rsidR="006F223E">
        <w:rPr>
          <w:rFonts w:ascii="Palatino" w:hAnsi="Palatino"/>
          <w:b/>
          <w:i/>
          <w:color w:val="000000" w:themeColor="text1"/>
          <w:sz w:val="22"/>
          <w:szCs w:val="22"/>
        </w:rPr>
        <w:t>ummer</w:t>
      </w:r>
      <w:r>
        <w:rPr>
          <w:rFonts w:ascii="Palatino" w:hAnsi="Palatino"/>
          <w:b/>
          <w:sz w:val="22"/>
          <w:szCs w:val="22"/>
        </w:rPr>
        <w:tab/>
      </w:r>
      <w:r>
        <w:rPr>
          <w:rFonts w:ascii="Palatino" w:hAnsi="Palatino"/>
          <w:b/>
          <w:color w:val="000000" w:themeColor="text1"/>
          <w:sz w:val="22"/>
          <w:szCs w:val="22"/>
        </w:rPr>
        <w:t>Postdoctoral</w:t>
      </w:r>
      <w:r w:rsidRPr="002A31F6">
        <w:rPr>
          <w:rFonts w:ascii="Palatino" w:hAnsi="Palatino"/>
          <w:b/>
          <w:color w:val="000000" w:themeColor="text1"/>
          <w:sz w:val="22"/>
          <w:szCs w:val="22"/>
        </w:rPr>
        <w:t xml:space="preserv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w:t>
      </w:r>
      <w:r>
        <w:rPr>
          <w:rFonts w:ascii="Palatino" w:hAnsi="Palatino"/>
          <w:color w:val="000000" w:themeColor="text1"/>
          <w:sz w:val="22"/>
          <w:szCs w:val="22"/>
        </w:rPr>
        <w:t xml:space="preserve">Monitoring anthropogenic impacts on </w:t>
      </w:r>
      <w:r>
        <w:rPr>
          <w:rFonts w:ascii="Palatino" w:hAnsi="Palatino"/>
          <w:sz w:val="22"/>
          <w:szCs w:val="22"/>
        </w:rPr>
        <w:t xml:space="preserve">Lake </w:t>
      </w:r>
      <w:proofErr w:type="spellStart"/>
      <w:r>
        <w:rPr>
          <w:rFonts w:ascii="Palatino" w:hAnsi="Palatino"/>
          <w:sz w:val="22"/>
          <w:szCs w:val="22"/>
        </w:rPr>
        <w:t>Tanganyikan</w:t>
      </w:r>
      <w:proofErr w:type="spellEnd"/>
      <w:r>
        <w:rPr>
          <w:rFonts w:ascii="Palatino" w:hAnsi="Palatino"/>
          <w:sz w:val="22"/>
          <w:szCs w:val="22"/>
        </w:rPr>
        <w:t xml:space="preserve"> fishes</w:t>
      </w:r>
      <w:r w:rsidRPr="00C666E8">
        <w:rPr>
          <w:rFonts w:ascii="Palatino" w:hAnsi="Palatino"/>
          <w:sz w:val="22"/>
          <w:szCs w:val="22"/>
        </w:rPr>
        <w:t>” Dr. Catherine E. Wagner</w:t>
      </w:r>
      <w:r>
        <w:rPr>
          <w:rFonts w:ascii="Palatino" w:hAnsi="Palatino"/>
          <w:sz w:val="22"/>
          <w:szCs w:val="22"/>
        </w:rPr>
        <w:t xml:space="preserve"> and Dr. Peter B. McIntyre.</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lastRenderedPageBreak/>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5ABBD9CE" w14:textId="530A170D"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 xml:space="preserve">Miguel Sanchez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55F84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lastRenderedPageBreak/>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Shadow T. McKim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684BEB46" w14:textId="77777777" w:rsidR="0082408A" w:rsidRDefault="0082408A"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65DBDF33" w:rsidR="0082408A" w:rsidRPr="008765C5" w:rsidRDefault="005447D0" w:rsidP="00454AEF">
      <w:pPr>
        <w:ind w:left="7920"/>
        <w:jc w:val="both"/>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82408A" w:rsidRPr="008765C5">
        <w:rPr>
          <w:rFonts w:ascii="Palatino" w:hAnsi="Palatino"/>
          <w:b/>
          <w:bCs/>
          <w:i/>
          <w:sz w:val="22"/>
          <w:szCs w:val="22"/>
        </w:rPr>
        <w:t>$5</w:t>
      </w:r>
      <w:r w:rsidR="005B3539">
        <w:rPr>
          <w:rFonts w:ascii="Palatino" w:hAnsi="Palatino"/>
          <w:b/>
          <w:bCs/>
          <w:i/>
          <w:sz w:val="22"/>
          <w:szCs w:val="22"/>
        </w:rPr>
        <w:t>4</w:t>
      </w:r>
      <w:r w:rsidR="0082408A" w:rsidRPr="008765C5">
        <w:rPr>
          <w:rFonts w:ascii="Palatino" w:hAnsi="Palatino"/>
          <w:b/>
          <w:bCs/>
          <w:i/>
          <w:sz w:val="22"/>
          <w:szCs w:val="22"/>
        </w:rPr>
        <w:t>,</w:t>
      </w:r>
      <w:r w:rsidR="005B3539">
        <w:rPr>
          <w:rFonts w:ascii="Palatino" w:hAnsi="Palatino"/>
          <w:b/>
          <w:bCs/>
          <w:i/>
          <w:sz w:val="22"/>
          <w:szCs w:val="22"/>
        </w:rPr>
        <w:t>9</w:t>
      </w:r>
      <w:r w:rsidR="0082408A" w:rsidRPr="008765C5">
        <w:rPr>
          <w:rFonts w:ascii="Palatino" w:hAnsi="Palatino"/>
          <w:b/>
          <w:bCs/>
          <w:i/>
          <w:sz w:val="22"/>
          <w:szCs w:val="22"/>
        </w:rPr>
        <w:t>62.36</w:t>
      </w:r>
    </w:p>
    <w:p w14:paraId="26B1339F" w14:textId="483DFA83"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lastRenderedPageBreak/>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7C58B4D5" w14:textId="7492F08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P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B8D91C5" w14:textId="1BF49110" w:rsidR="00D80DF7" w:rsidRPr="00D80DF7" w:rsidRDefault="00D80DF7" w:rsidP="00D80DF7">
      <w:pPr>
        <w:ind w:left="720" w:hanging="720"/>
        <w:contextualSpacing/>
        <w:jc w:val="both"/>
        <w:rPr>
          <w:rFonts w:ascii="Palatino" w:hAnsi="Palatino"/>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sidR="004D3664">
        <w:rPr>
          <w:rFonts w:ascii="Palatino" w:hAnsi="Palatino"/>
          <w:sz w:val="22"/>
          <w:szCs w:val="22"/>
        </w:rPr>
        <w:t>3</w:t>
      </w:r>
      <w:r w:rsidRPr="00C666E8">
        <w:rPr>
          <w:rFonts w:ascii="Palatino" w:hAnsi="Palatino"/>
          <w:sz w:val="22"/>
          <w:szCs w:val="22"/>
        </w:rPr>
        <w:t xml:space="preserve">. </w:t>
      </w:r>
      <w:r>
        <w:rPr>
          <w:rFonts w:ascii="Palatino" w:hAnsi="Palatino"/>
          <w:sz w:val="22"/>
          <w:szCs w:val="22"/>
        </w:rPr>
        <w:t xml:space="preserve">Environmental DNA in the classroom – Case Study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The Water Cooler Center for Teaching and Learning Appalachian College Association</w:t>
      </w:r>
      <w:r w:rsidR="004D3664">
        <w:rPr>
          <w:rFonts w:ascii="Palatino" w:hAnsi="Palatino"/>
          <w:color w:val="808080" w:themeColor="background1" w:themeShade="80"/>
          <w:sz w:val="22"/>
          <w:szCs w:val="22"/>
        </w:rPr>
        <w:t xml:space="preserve"> </w:t>
      </w:r>
      <w:r w:rsidR="004D3664" w:rsidRPr="004D3664">
        <w:rPr>
          <w:rFonts w:ascii="Palatino" w:hAnsi="Palatino"/>
          <w:color w:val="808080" w:themeColor="background1" w:themeShade="80"/>
          <w:sz w:val="22"/>
          <w:szCs w:val="22"/>
        </w:rPr>
        <w:t>https://ctl.acaweb.org/</w:t>
      </w:r>
      <w:r>
        <w:rPr>
          <w:rFonts w:ascii="Palatino" w:hAnsi="Palatino"/>
          <w:sz w:val="22"/>
          <w:szCs w:val="22"/>
        </w:rPr>
        <w:t>.</w:t>
      </w:r>
    </w:p>
    <w:p w14:paraId="36483AAC" w14:textId="20C2C85E" w:rsidR="00AC2874" w:rsidRP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7BA299F4" w14:textId="3A5532C5" w:rsidR="005A24EC" w:rsidRPr="005A24EC" w:rsidRDefault="005A24EC" w:rsidP="005A24EC">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S. M. McKim*</w:t>
      </w:r>
      <w:r w:rsidRPr="00C666E8">
        <w:rPr>
          <w:rFonts w:ascii="Palatino" w:hAnsi="Palatino"/>
          <w:sz w:val="22"/>
          <w:szCs w:val="22"/>
        </w:rPr>
        <w:t>, and C. E. Wagner. 202</w:t>
      </w:r>
      <w:r w:rsidR="001D45C7">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AA4DEC">
        <w:rPr>
          <w:rFonts w:ascii="Palatino" w:hAnsi="Palatino"/>
          <w:color w:val="808080" w:themeColor="background1" w:themeShade="80"/>
          <w:sz w:val="22"/>
          <w:szCs w:val="22"/>
        </w:rPr>
        <w:t>under review</w:t>
      </w:r>
      <w:r w:rsidRPr="00C666E8">
        <w:rPr>
          <w:rFonts w:ascii="Palatino" w:hAnsi="Palatino"/>
          <w:color w:val="808080" w:themeColor="background1" w:themeShade="80"/>
          <w:sz w:val="22"/>
          <w:szCs w:val="22"/>
        </w:rPr>
        <w:t xml:space="preserve">: </w:t>
      </w:r>
      <w:r w:rsidR="00AA4DEC">
        <w:rPr>
          <w:rFonts w:ascii="Palatino" w:hAnsi="Palatino"/>
          <w:color w:val="808080" w:themeColor="background1" w:themeShade="80"/>
          <w:sz w:val="22"/>
          <w:szCs w:val="22"/>
        </w:rPr>
        <w:t>Evolution</w:t>
      </w:r>
      <w:r>
        <w:rPr>
          <w:rFonts w:ascii="Palatino" w:hAnsi="Palatino"/>
          <w:sz w:val="22"/>
          <w:szCs w:val="22"/>
        </w:rPr>
        <w:t>* Undergraduate student co-author.</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i/>
          <w:iCs/>
          <w:color w:val="000000" w:themeColor="text1"/>
          <w:sz w:val="22"/>
          <w:szCs w:val="22"/>
        </w:rPr>
        <w:t>.</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w:t>
      </w:r>
      <w:r w:rsidRPr="00454AEF">
        <w:rPr>
          <w:rFonts w:ascii="Palatino" w:hAnsi="Palatino"/>
          <w:color w:val="000000" w:themeColor="text1"/>
          <w:sz w:val="22"/>
          <w:szCs w:val="22"/>
        </w:rPr>
        <w:t>, DOI:</w:t>
      </w:r>
      <w:r w:rsidRPr="00454AEF">
        <w:rPr>
          <w:rFonts w:ascii="Palatino" w:hAnsi="Palatino"/>
          <w:color w:val="000000" w:themeColor="text1"/>
          <w:sz w:val="22"/>
          <w:szCs w:val="22"/>
        </w:rPr>
        <w:t>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w:t>
      </w:r>
      <w:r w:rsidR="004D3664" w:rsidRPr="004D3664">
        <w:rPr>
          <w:rFonts w:ascii="Palatino" w:hAnsi="Palatino"/>
          <w:color w:val="000000" w:themeColor="text1"/>
          <w:sz w:val="22"/>
          <w:szCs w:val="22"/>
        </w:rPr>
        <w:t>5041-5059</w:t>
      </w:r>
      <w:r w:rsidR="004D3664" w:rsidRPr="004D3664">
        <w:rPr>
          <w:rFonts w:ascii="Palatino" w:hAnsi="Palatino"/>
          <w:color w:val="000000" w:themeColor="text1"/>
          <w:sz w:val="22"/>
          <w:szCs w:val="22"/>
        </w:rPr>
        <w:t>,</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Liem's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3BAD26B"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Leisher, C. 2021. The Nature Conservancy </w:t>
      </w:r>
      <w:proofErr w:type="spellStart"/>
      <w:r w:rsidRPr="00282FEC">
        <w:rPr>
          <w:rFonts w:ascii="Palatino" w:hAnsi="Palatino"/>
          <w:sz w:val="22"/>
          <w:szCs w:val="22"/>
        </w:rPr>
        <w:t>Tuungane</w:t>
      </w:r>
      <w:proofErr w:type="spellEnd"/>
      <w:r w:rsidRPr="00282FEC">
        <w:rPr>
          <w:rFonts w:ascii="Palatino" w:hAnsi="Palatino"/>
          <w:sz w:val="22"/>
          <w:szCs w:val="22"/>
        </w:rPr>
        <w:t xml:space="preserve"> Global and Africa Fish Conservation </w:t>
      </w:r>
      <w:r w:rsidR="0011602F" w:rsidRPr="00282FEC">
        <w:rPr>
          <w:rFonts w:ascii="Palatino" w:hAnsi="Palatino"/>
          <w:sz w:val="22"/>
          <w:szCs w:val="22"/>
        </w:rPr>
        <w:t xml:space="preserve">Interdisciplinary Team </w:t>
      </w:r>
      <w:r w:rsidRPr="00282FEC">
        <w:rPr>
          <w:rFonts w:ascii="Palatino" w:hAnsi="Palatino"/>
          <w:sz w:val="22"/>
          <w:szCs w:val="22"/>
        </w:rPr>
        <w:t xml:space="preserve">Meeting. “Fish Survey comparison” with Dr. Walter </w:t>
      </w:r>
      <w:proofErr w:type="spellStart"/>
      <w:r w:rsidRPr="00282FEC">
        <w:rPr>
          <w:rFonts w:ascii="Palatino" w:hAnsi="Palatino"/>
          <w:sz w:val="22"/>
          <w:szCs w:val="22"/>
        </w:rPr>
        <w:t>Salzburger</w:t>
      </w:r>
      <w:proofErr w:type="spellEnd"/>
      <w:r w:rsidRPr="00282FEC">
        <w:rPr>
          <w:rFonts w:ascii="Palatino" w:hAnsi="Palatino"/>
          <w:sz w:val="22"/>
          <w:szCs w:val="22"/>
        </w:rPr>
        <w:t xml:space="preserve"> and Dr. Peter B. McIntyre. (30 min talk)</w:t>
      </w:r>
    </w:p>
    <w:p w14:paraId="64359228"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Mandeville, E.G., McIntyre, P.B.M and C.E. Wagner. 2021 Virtual Asilomar American Society for Naturalists Meeting.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(15 min </w:t>
      </w:r>
      <w:hyperlink r:id="rId8" w:history="1">
        <w:r w:rsidRPr="00282FEC">
          <w:rPr>
            <w:rFonts w:ascii="Palatino" w:hAnsi="Palatino"/>
          </w:rPr>
          <w:t>talk</w:t>
        </w:r>
      </w:hyperlink>
      <w:r w:rsidRPr="00282FEC">
        <w:rPr>
          <w:rFonts w:ascii="Palatino" w:hAnsi="Palatino"/>
          <w:sz w:val="22"/>
          <w:szCs w:val="22"/>
        </w:rPr>
        <w:t xml:space="preserve"> starts at min 40)</w:t>
      </w:r>
    </w:p>
    <w:p w14:paraId="7634FA0B"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Invited Speaker in Research Seminar Series. Center for Limnology and Marine Biology, Universidad de Costa Rica (UCR). “Eco-evolutionary drivers of cichlid fish diversity.” (50 min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Machado-Schiaffino, G.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Machado-Schiaffino, G. and A. Meyer. 2014. Poster at Evolution Meeting 2014 North Carolina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51935D61" w14:textId="2B201C4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Protti-Quesada. 2011. Talk at the National Biology Meeting, in San José, Costa Rica. “Fish species richness in Caribbean lowland streams.” (15 min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DA68B03"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Pr="00C666E8">
        <w:rPr>
          <w:rFonts w:ascii="Palatino" w:hAnsi="Palatino"/>
          <w:iCs/>
          <w:sz w:val="22"/>
          <w:szCs w:val="22"/>
        </w:rPr>
        <w:t>International Journal of Tropical Biology and Conservation (Rev. Biol. Trop. 2016-</w:t>
      </w:r>
      <w:r>
        <w:rPr>
          <w:rFonts w:ascii="Palatino" w:hAnsi="Palatino"/>
          <w:iCs/>
          <w:sz w:val="22"/>
          <w:szCs w:val="22"/>
        </w:rPr>
        <w:t>202</w:t>
      </w:r>
      <w:r w:rsidR="005A24EC">
        <w:rPr>
          <w:rFonts w:ascii="Palatino" w:hAnsi="Palatino"/>
          <w:iCs/>
          <w:sz w:val="22"/>
          <w:szCs w:val="22"/>
        </w:rPr>
        <w:t>2</w:t>
      </w:r>
      <w:r w:rsidRPr="00C666E8">
        <w:rPr>
          <w:rFonts w:ascii="Palatino" w:hAnsi="Palatino"/>
          <w:iCs/>
          <w:sz w:val="22"/>
          <w:szCs w:val="22"/>
        </w:rPr>
        <w:t>), Functional Ecology (2017)</w:t>
      </w:r>
      <w:r>
        <w:rPr>
          <w:rFonts w:ascii="Palatino" w:hAnsi="Palatino"/>
          <w:iCs/>
          <w:sz w:val="22"/>
          <w:szCs w:val="22"/>
        </w:rPr>
        <w:t xml:space="preserve">, </w:t>
      </w:r>
      <w:r w:rsidRPr="00C666E8">
        <w:rPr>
          <w:rFonts w:ascii="Palatino" w:hAnsi="Palatino"/>
          <w:iCs/>
          <w:sz w:val="22"/>
          <w:szCs w:val="22"/>
        </w:rPr>
        <w:t>Journal of Great Lakes Research (2019)</w:t>
      </w:r>
      <w:r>
        <w:rPr>
          <w:rFonts w:ascii="Palatino" w:hAnsi="Palatino"/>
          <w:iCs/>
          <w:sz w:val="22"/>
          <w:szCs w:val="22"/>
        </w:rPr>
        <w:t xml:space="preserve">, </w:t>
      </w:r>
      <w:proofErr w:type="spellStart"/>
      <w:r>
        <w:rPr>
          <w:rFonts w:ascii="Palatino" w:hAnsi="Palatino"/>
          <w:iCs/>
          <w:sz w:val="22"/>
          <w:szCs w:val="22"/>
        </w:rPr>
        <w:t>Hydrobiologia</w:t>
      </w:r>
      <w:proofErr w:type="spellEnd"/>
      <w:r>
        <w:rPr>
          <w:rFonts w:ascii="Palatino" w:hAnsi="Palatino"/>
          <w:iCs/>
          <w:sz w:val="22"/>
          <w:szCs w:val="22"/>
        </w:rPr>
        <w:t xml:space="preserve"> (2020)</w:t>
      </w:r>
      <w:r w:rsidR="00BE27D5">
        <w:rPr>
          <w:rFonts w:ascii="Palatino" w:hAnsi="Palatino"/>
          <w:iCs/>
          <w:sz w:val="22"/>
          <w:szCs w:val="22"/>
        </w:rPr>
        <w:t>.</w:t>
      </w:r>
      <w:r w:rsidR="00FF38E4">
        <w:rPr>
          <w:rFonts w:ascii="Palatino" w:hAnsi="Palatino"/>
          <w:iCs/>
          <w:sz w:val="22"/>
          <w:szCs w:val="22"/>
        </w:rPr>
        <w:t xml:space="preserve"> </w:t>
      </w:r>
    </w:p>
    <w:p w14:paraId="64B53F58" w14:textId="7911C590" w:rsidR="0082408A" w:rsidRDefault="0082408A" w:rsidP="0082408A">
      <w:pPr>
        <w:jc w:val="both"/>
        <w:rPr>
          <w:rFonts w:ascii="Palatino" w:hAnsi="Palatino"/>
          <w:iCs/>
          <w:sz w:val="22"/>
          <w:szCs w:val="22"/>
        </w:rPr>
      </w:pPr>
      <w:r w:rsidRPr="00270A16">
        <w:rPr>
          <w:rFonts w:ascii="Palatino" w:hAnsi="Palatino"/>
          <w:b/>
          <w:bCs/>
          <w:iCs/>
          <w:sz w:val="22"/>
          <w:szCs w:val="22"/>
        </w:rPr>
        <w:t>Memberships</w:t>
      </w:r>
      <w:r w:rsidRPr="00C666E8">
        <w:rPr>
          <w:rFonts w:ascii="Palatino" w:hAnsi="Palatino"/>
          <w:i/>
          <w:sz w:val="22"/>
          <w:szCs w:val="22"/>
        </w:rPr>
        <w:t>|</w:t>
      </w:r>
      <w:r w:rsidRPr="00C666E8">
        <w:rPr>
          <w:rFonts w:ascii="Palatino" w:hAnsi="Palatino"/>
          <w:iCs/>
          <w:sz w:val="22"/>
          <w:szCs w:val="22"/>
        </w:rPr>
        <w:t xml:space="preserve"> American Society of Naturalists, Society for the Study of Evolution</w:t>
      </w:r>
      <w:r>
        <w:rPr>
          <w:rFonts w:ascii="Palatino" w:hAnsi="Palatino"/>
          <w:iCs/>
          <w:sz w:val="22"/>
          <w:szCs w:val="22"/>
        </w:rPr>
        <w:t>, Society for Freshwater Science</w:t>
      </w:r>
      <w:r w:rsidR="00DB3815">
        <w:rPr>
          <w:rFonts w:ascii="Palatino" w:hAnsi="Palatino"/>
          <w:iCs/>
          <w:sz w:val="22"/>
          <w:szCs w:val="22"/>
        </w:rPr>
        <w:t xml:space="preserve">, </w:t>
      </w:r>
      <w:r w:rsidR="00DB3815" w:rsidRPr="00DB3815">
        <w:rPr>
          <w:rFonts w:ascii="Palatino" w:hAnsi="Palatino"/>
          <w:iCs/>
          <w:sz w:val="22"/>
          <w:szCs w:val="22"/>
        </w:rPr>
        <w:t>American Society of Ichthyologists and Herpetologists</w:t>
      </w:r>
      <w:r w:rsidR="00DB3815">
        <w:rPr>
          <w:rFonts w:ascii="Palatino" w:hAnsi="Palatino"/>
          <w:iCs/>
          <w:sz w:val="22"/>
          <w:szCs w:val="22"/>
        </w:rPr>
        <w:t xml:space="preserve"> (2022)</w:t>
      </w:r>
      <w:r w:rsidR="00FF38E4">
        <w:rPr>
          <w:rFonts w:ascii="Palatino" w:hAnsi="Palatino"/>
          <w:iCs/>
          <w:sz w:val="22"/>
          <w:szCs w:val="22"/>
        </w:rPr>
        <w:t>.</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lastRenderedPageBreak/>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1A26E236"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(+2,</w:t>
      </w:r>
      <w:r w:rsidR="00F850F1">
        <w:rPr>
          <w:rFonts w:ascii="Palatino" w:hAnsi="Palatino"/>
          <w:iCs/>
          <w:sz w:val="22"/>
          <w:szCs w:val="22"/>
        </w:rPr>
        <w:t>5</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3F45" w14:textId="77777777" w:rsidR="0087024C" w:rsidRDefault="0087024C" w:rsidP="0028710C">
      <w:r>
        <w:separator/>
      </w:r>
    </w:p>
  </w:endnote>
  <w:endnote w:type="continuationSeparator" w:id="0">
    <w:p w14:paraId="05566A69" w14:textId="77777777" w:rsidR="0087024C" w:rsidRDefault="0087024C"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F108" w14:textId="77777777" w:rsidR="0087024C" w:rsidRDefault="0087024C" w:rsidP="0028710C">
      <w:r>
        <w:separator/>
      </w:r>
    </w:p>
  </w:footnote>
  <w:footnote w:type="continuationSeparator" w:id="0">
    <w:p w14:paraId="1A6CA6D6" w14:textId="77777777" w:rsidR="0087024C" w:rsidRDefault="0087024C"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72465479"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Pr>
        <w:rFonts w:ascii="Palatino" w:eastAsia="Times New Roman" w:hAnsi="Palatino" w:cs="Times New Roman"/>
        <w:sz w:val="22"/>
        <w:szCs w:val="22"/>
      </w:rPr>
      <w:t>January</w:t>
    </w:r>
    <w:r w:rsidR="008A394B">
      <w:rPr>
        <w:rFonts w:ascii="Palatino" w:eastAsia="Times New Roman" w:hAnsi="Palatino" w:cs="Times New Roman"/>
        <w:sz w:val="22"/>
        <w:szCs w:val="22"/>
      </w:rPr>
      <w:t xml:space="preserve"> </w:t>
    </w:r>
    <w:r>
      <w:rPr>
        <w:rFonts w:ascii="Palatino" w:eastAsia="Times New Roman" w:hAnsi="Palatino" w:cs="Times New Roman"/>
        <w:sz w:val="22"/>
        <w:szCs w:val="22"/>
      </w:rPr>
      <w:t>4</w:t>
    </w:r>
    <w:r w:rsidR="00AC13E0">
      <w:rPr>
        <w:rFonts w:ascii="Palatino" w:eastAsia="Times New Roman" w:hAnsi="Palatino" w:cs="Times New Roman"/>
        <w:sz w:val="22"/>
        <w:szCs w:val="22"/>
        <w:vertAlign w:val="superscript"/>
      </w:rPr>
      <w:t>th</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4442"/>
    <w:rsid w:val="00196CA9"/>
    <w:rsid w:val="001A3E11"/>
    <w:rsid w:val="001B47E3"/>
    <w:rsid w:val="001B6036"/>
    <w:rsid w:val="001C07A0"/>
    <w:rsid w:val="001C0EA4"/>
    <w:rsid w:val="001C12FC"/>
    <w:rsid w:val="001C24B5"/>
    <w:rsid w:val="001D202A"/>
    <w:rsid w:val="001D45C7"/>
    <w:rsid w:val="001E0FB3"/>
    <w:rsid w:val="001E110A"/>
    <w:rsid w:val="001E440D"/>
    <w:rsid w:val="001E4E74"/>
    <w:rsid w:val="001F0681"/>
    <w:rsid w:val="00210A60"/>
    <w:rsid w:val="0021784E"/>
    <w:rsid w:val="002202DC"/>
    <w:rsid w:val="00223318"/>
    <w:rsid w:val="002276FC"/>
    <w:rsid w:val="00230DFE"/>
    <w:rsid w:val="00237318"/>
    <w:rsid w:val="00247A77"/>
    <w:rsid w:val="00251FFB"/>
    <w:rsid w:val="0025493A"/>
    <w:rsid w:val="002570C6"/>
    <w:rsid w:val="00263B04"/>
    <w:rsid w:val="00264E0F"/>
    <w:rsid w:val="00266B48"/>
    <w:rsid w:val="00267629"/>
    <w:rsid w:val="00272B6F"/>
    <w:rsid w:val="00277EC6"/>
    <w:rsid w:val="00281210"/>
    <w:rsid w:val="002820AF"/>
    <w:rsid w:val="00282FEC"/>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482D"/>
    <w:rsid w:val="003E58B8"/>
    <w:rsid w:val="003F0D84"/>
    <w:rsid w:val="003F63D9"/>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5001DD"/>
    <w:rsid w:val="0050072C"/>
    <w:rsid w:val="005065C1"/>
    <w:rsid w:val="005074B8"/>
    <w:rsid w:val="00510898"/>
    <w:rsid w:val="00511680"/>
    <w:rsid w:val="00515C4A"/>
    <w:rsid w:val="005257C4"/>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2755"/>
    <w:rsid w:val="005B2E89"/>
    <w:rsid w:val="005B2F6A"/>
    <w:rsid w:val="005B3539"/>
    <w:rsid w:val="005C7BAD"/>
    <w:rsid w:val="005D37FE"/>
    <w:rsid w:val="005D6CDA"/>
    <w:rsid w:val="005D6E60"/>
    <w:rsid w:val="005E0A21"/>
    <w:rsid w:val="005F096C"/>
    <w:rsid w:val="005F5867"/>
    <w:rsid w:val="005F73C2"/>
    <w:rsid w:val="0061100C"/>
    <w:rsid w:val="006143EB"/>
    <w:rsid w:val="00616B56"/>
    <w:rsid w:val="00620102"/>
    <w:rsid w:val="00626319"/>
    <w:rsid w:val="006324B0"/>
    <w:rsid w:val="00637064"/>
    <w:rsid w:val="00645024"/>
    <w:rsid w:val="006460AB"/>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6FC0"/>
    <w:rsid w:val="00786507"/>
    <w:rsid w:val="007A26B9"/>
    <w:rsid w:val="007A7FB8"/>
    <w:rsid w:val="007B0BD1"/>
    <w:rsid w:val="007B29D2"/>
    <w:rsid w:val="007B4F4A"/>
    <w:rsid w:val="007C05BC"/>
    <w:rsid w:val="007C2C05"/>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21746"/>
    <w:rsid w:val="00B25601"/>
    <w:rsid w:val="00B322BA"/>
    <w:rsid w:val="00B325D1"/>
    <w:rsid w:val="00B3558B"/>
    <w:rsid w:val="00B4462A"/>
    <w:rsid w:val="00B52F16"/>
    <w:rsid w:val="00B54A77"/>
    <w:rsid w:val="00B557F6"/>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216F"/>
    <w:rsid w:val="00F34A98"/>
    <w:rsid w:val="00F46A64"/>
    <w:rsid w:val="00F55BD0"/>
    <w:rsid w:val="00F56CB4"/>
    <w:rsid w:val="00F573CA"/>
    <w:rsid w:val="00F775EE"/>
    <w:rsid w:val="00F82762"/>
    <w:rsid w:val="00F82D8F"/>
    <w:rsid w:val="00F850F1"/>
    <w:rsid w:val="00F87715"/>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9kiHmsEK-Q&amp;t=69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golche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3</cp:revision>
  <cp:lastPrinted>2023-01-04T15:30:00Z</cp:lastPrinted>
  <dcterms:created xsi:type="dcterms:W3CDTF">2023-01-04T15:28:00Z</dcterms:created>
  <dcterms:modified xsi:type="dcterms:W3CDTF">2023-01-04T15:32:00Z</dcterms:modified>
</cp:coreProperties>
</file>