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8CF77" w14:textId="77777777" w:rsidR="004B1449" w:rsidRDefault="004B1449" w:rsidP="004B1449">
      <w:pPr>
        <w:pBdr>
          <w:top w:val="nil"/>
          <w:left w:val="nil"/>
          <w:bottom w:val="nil"/>
          <w:right w:val="nil"/>
          <w:between w:val="nil"/>
        </w:pBdr>
        <w:jc w:val="center"/>
        <w:rPr>
          <w:rFonts w:ascii="Imago" w:eastAsia="Imago" w:hAnsi="Imago" w:cs="Imago"/>
          <w:b/>
        </w:rPr>
      </w:pPr>
      <w:r>
        <w:rPr>
          <w:rFonts w:ascii="Imago" w:eastAsia="Imago" w:hAnsi="Imago" w:cs="Imago"/>
          <w:b/>
        </w:rPr>
        <w:t>Appendix D: Upstream Rule Violation Checklist Information</w:t>
      </w:r>
    </w:p>
    <w:p w14:paraId="55FBCF30" w14:textId="77777777" w:rsidR="004B1449" w:rsidRPr="00DF61C2" w:rsidRDefault="004B1449" w:rsidP="004B1449">
      <w:pPr>
        <w:tabs>
          <w:tab w:val="left" w:pos="360"/>
        </w:tabs>
        <w:spacing w:before="120" w:after="240"/>
        <w:rPr>
          <w:rFonts w:ascii="Imago" w:eastAsia="Imago" w:hAnsi="Imago" w:cs="Imago"/>
          <w:sz w:val="20"/>
          <w:szCs w:val="20"/>
        </w:rPr>
      </w:pPr>
      <w:r w:rsidRPr="00DF61C2">
        <w:rPr>
          <w:rFonts w:ascii="Imago" w:eastAsia="Imago" w:hAnsi="Imago" w:cs="Imago"/>
          <w:sz w:val="20"/>
          <w:szCs w:val="20"/>
        </w:rPr>
        <w:t xml:space="preserve">For certain rule violations, </w:t>
      </w:r>
      <w:r>
        <w:rPr>
          <w:rFonts w:ascii="Imago" w:eastAsia="Imago" w:hAnsi="Imago" w:cs="Imago"/>
          <w:sz w:val="20"/>
          <w:szCs w:val="20"/>
        </w:rPr>
        <w:t xml:space="preserve">a specific process excursion </w:t>
      </w:r>
      <w:proofErr w:type="spellStart"/>
      <w:r>
        <w:rPr>
          <w:rFonts w:ascii="Imago" w:eastAsia="Imago" w:hAnsi="Imago" w:cs="Imago"/>
          <w:sz w:val="20"/>
          <w:szCs w:val="20"/>
        </w:rPr>
        <w:t>or</w:t>
      </w:r>
      <w:r w:rsidRPr="00DF61C2">
        <w:rPr>
          <w:rFonts w:ascii="Imago" w:eastAsia="Imago" w:hAnsi="Imago" w:cs="Imago"/>
          <w:sz w:val="20"/>
          <w:szCs w:val="20"/>
        </w:rPr>
        <w:t>deviation</w:t>
      </w:r>
      <w:proofErr w:type="spellEnd"/>
      <w:r w:rsidRPr="00DF61C2">
        <w:rPr>
          <w:rFonts w:ascii="Imago" w:eastAsia="Imago" w:hAnsi="Imago" w:cs="Imago"/>
          <w:sz w:val="20"/>
          <w:szCs w:val="20"/>
        </w:rPr>
        <w:t xml:space="preserve"> could be attributed. For every rule violation that occurred, a defined set of potential causes </w:t>
      </w:r>
      <w:proofErr w:type="gramStart"/>
      <w:r w:rsidRPr="00DF61C2">
        <w:rPr>
          <w:rFonts w:ascii="Imago" w:eastAsia="Imago" w:hAnsi="Imago" w:cs="Imago"/>
          <w:sz w:val="20"/>
          <w:szCs w:val="20"/>
        </w:rPr>
        <w:t>were</w:t>
      </w:r>
      <w:proofErr w:type="gramEnd"/>
      <w:r w:rsidRPr="00DF61C2">
        <w:rPr>
          <w:rFonts w:ascii="Imago" w:eastAsia="Imago" w:hAnsi="Imago" w:cs="Imago"/>
          <w:sz w:val="20"/>
          <w:szCs w:val="20"/>
        </w:rPr>
        <w:t xml:space="preserve"> evaluated </w:t>
      </w:r>
      <w:proofErr w:type="gramStart"/>
      <w:r w:rsidRPr="00DF61C2">
        <w:rPr>
          <w:rFonts w:ascii="Imago" w:eastAsia="Imago" w:hAnsi="Imago" w:cs="Imago"/>
          <w:sz w:val="20"/>
          <w:szCs w:val="20"/>
        </w:rPr>
        <w:t>per</w:t>
      </w:r>
      <w:proofErr w:type="gramEnd"/>
      <w:r w:rsidRPr="00DF61C2">
        <w:rPr>
          <w:rFonts w:ascii="Imago" w:eastAsia="Imago" w:hAnsi="Imago" w:cs="Imago"/>
          <w:sz w:val="20"/>
          <w:szCs w:val="20"/>
        </w:rPr>
        <w:t xml:space="preserve"> the checklist</w:t>
      </w:r>
      <w:r>
        <w:rPr>
          <w:rFonts w:ascii="Imago" w:eastAsia="Imago" w:hAnsi="Imago" w:cs="Imago"/>
          <w:sz w:val="20"/>
          <w:szCs w:val="20"/>
        </w:rPr>
        <w:t xml:space="preserve"> below</w:t>
      </w:r>
      <w:r w:rsidRPr="00DF61C2">
        <w:rPr>
          <w:rFonts w:ascii="Imago" w:eastAsia="Imago" w:hAnsi="Imago" w:cs="Imago"/>
          <w:sz w:val="20"/>
          <w:szCs w:val="20"/>
        </w:rPr>
        <w:t xml:space="preserve">.  A rule violation was stated to have no known root cause if </w:t>
      </w:r>
      <w:proofErr w:type="gramStart"/>
      <w:r w:rsidRPr="00DF61C2">
        <w:rPr>
          <w:rFonts w:ascii="Imago" w:eastAsia="Imago" w:hAnsi="Imago" w:cs="Imago"/>
          <w:sz w:val="20"/>
          <w:szCs w:val="20"/>
        </w:rPr>
        <w:t>all of</w:t>
      </w:r>
      <w:proofErr w:type="gramEnd"/>
      <w:r w:rsidRPr="00DF61C2">
        <w:rPr>
          <w:rFonts w:ascii="Imago" w:eastAsia="Imago" w:hAnsi="Imago" w:cs="Imago"/>
          <w:sz w:val="20"/>
          <w:szCs w:val="20"/>
        </w:rPr>
        <w:t xml:space="preserve"> the steps in the checklist resulted in no apparent indication of a causal relationship.</w:t>
      </w:r>
    </w:p>
    <w:tbl>
      <w:tblPr>
        <w:tblW w:w="9450" w:type="dxa"/>
        <w:tblLayout w:type="fixed"/>
        <w:tblCellMar>
          <w:left w:w="0" w:type="dxa"/>
          <w:right w:w="0" w:type="dxa"/>
        </w:tblCellMar>
        <w:tblLook w:val="0400" w:firstRow="0" w:lastRow="0" w:firstColumn="0" w:lastColumn="0" w:noHBand="0" w:noVBand="1"/>
      </w:tblPr>
      <w:tblGrid>
        <w:gridCol w:w="5218"/>
        <w:gridCol w:w="4232"/>
      </w:tblGrid>
      <w:tr w:rsidR="004B1449" w14:paraId="3A6DC2DB" w14:textId="77777777" w:rsidTr="00FD045E">
        <w:trPr>
          <w:trHeight w:val="315"/>
        </w:trPr>
        <w:tc>
          <w:tcPr>
            <w:tcW w:w="5218" w:type="dxa"/>
            <w:tcBorders>
              <w:top w:val="single" w:sz="6" w:space="0" w:color="000000"/>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tcPr>
          <w:p w14:paraId="38483ECD" w14:textId="77777777" w:rsidR="004B1449" w:rsidRDefault="004B1449" w:rsidP="00FD045E">
            <w:pPr>
              <w:jc w:val="center"/>
              <w:rPr>
                <w:rFonts w:ascii="Imago" w:eastAsia="Imago" w:hAnsi="Imago" w:cs="Imago"/>
                <w:b/>
                <w:sz w:val="18"/>
                <w:szCs w:val="18"/>
              </w:rPr>
            </w:pPr>
            <w:r>
              <w:rPr>
                <w:rFonts w:ascii="Imago" w:eastAsia="Imago" w:hAnsi="Imago" w:cs="Imago"/>
                <w:b/>
                <w:sz w:val="18"/>
                <w:szCs w:val="18"/>
              </w:rPr>
              <w:t>Step/Items</w:t>
            </w:r>
          </w:p>
        </w:tc>
        <w:tc>
          <w:tcPr>
            <w:tcW w:w="4232" w:type="dxa"/>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tcPr>
          <w:p w14:paraId="469E1A8F" w14:textId="77777777" w:rsidR="004B1449" w:rsidRDefault="004B1449" w:rsidP="00FD045E">
            <w:pPr>
              <w:jc w:val="center"/>
              <w:rPr>
                <w:rFonts w:ascii="Imago" w:eastAsia="Imago" w:hAnsi="Imago" w:cs="Imago"/>
                <w:b/>
                <w:sz w:val="18"/>
                <w:szCs w:val="18"/>
              </w:rPr>
            </w:pPr>
            <w:r>
              <w:rPr>
                <w:rFonts w:ascii="Imago" w:eastAsia="Imago" w:hAnsi="Imago" w:cs="Imago"/>
                <w:b/>
                <w:sz w:val="18"/>
                <w:szCs w:val="18"/>
              </w:rPr>
              <w:t>Additional Directions (if applicable)</w:t>
            </w:r>
          </w:p>
        </w:tc>
      </w:tr>
      <w:tr w:rsidR="004B1449" w14:paraId="5C079514" w14:textId="77777777" w:rsidTr="00FD045E">
        <w:trPr>
          <w:trHeight w:val="315"/>
        </w:trPr>
        <w:tc>
          <w:tcPr>
            <w:tcW w:w="5218"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tcPr>
          <w:p w14:paraId="1FD91C69" w14:textId="77777777" w:rsidR="004B1449" w:rsidRDefault="004B1449" w:rsidP="00FD045E">
            <w:pPr>
              <w:rPr>
                <w:rFonts w:ascii="Imago" w:eastAsia="Imago" w:hAnsi="Imago" w:cs="Imago"/>
                <w:sz w:val="16"/>
                <w:szCs w:val="16"/>
              </w:rPr>
            </w:pPr>
            <w:r>
              <w:rPr>
                <w:rFonts w:ascii="Imago" w:eastAsia="Imago" w:hAnsi="Imago" w:cs="Imago"/>
                <w:sz w:val="16"/>
                <w:szCs w:val="16"/>
              </w:rPr>
              <w:t>Step 1: Identify Rule Violations using JMP Control Charts. To investigate root cause of violations, refer to the following checklist:</w:t>
            </w:r>
          </w:p>
        </w:tc>
        <w:tc>
          <w:tcPr>
            <w:tcW w:w="4232"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tcPr>
          <w:p w14:paraId="67239B3E" w14:textId="77777777" w:rsidR="004B1449" w:rsidRDefault="004B1449" w:rsidP="00FD045E">
            <w:pPr>
              <w:rPr>
                <w:rFonts w:ascii="Imago" w:eastAsia="Imago" w:hAnsi="Imago" w:cs="Imago"/>
                <w:sz w:val="16"/>
                <w:szCs w:val="16"/>
              </w:rPr>
            </w:pPr>
            <w:r>
              <w:rPr>
                <w:rFonts w:ascii="Imago" w:eastAsia="Imago" w:hAnsi="Imago" w:cs="Imago"/>
                <w:sz w:val="16"/>
                <w:szCs w:val="16"/>
              </w:rPr>
              <w:t>N/A</w:t>
            </w:r>
          </w:p>
        </w:tc>
      </w:tr>
      <w:tr w:rsidR="004B1449" w14:paraId="323F1FAA" w14:textId="77777777" w:rsidTr="00FD045E">
        <w:trPr>
          <w:trHeight w:val="315"/>
        </w:trPr>
        <w:tc>
          <w:tcPr>
            <w:tcW w:w="521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29EF0E43" w14:textId="77777777" w:rsidR="004B1449" w:rsidRDefault="004B1449" w:rsidP="00FD045E">
            <w:pPr>
              <w:rPr>
                <w:rFonts w:ascii="Imago" w:eastAsia="Imago" w:hAnsi="Imago" w:cs="Imago"/>
                <w:sz w:val="16"/>
                <w:szCs w:val="16"/>
              </w:rPr>
            </w:pPr>
            <w:r>
              <w:rPr>
                <w:rFonts w:ascii="Imago" w:eastAsia="Imago" w:hAnsi="Imago" w:cs="Imago"/>
                <w:sz w:val="16"/>
                <w:szCs w:val="16"/>
              </w:rPr>
              <w:t xml:space="preserve">Step 2: Check the EBR to see whether the values are correct and all replicate samples are reasonably close, to make sure the average is representative. </w:t>
            </w:r>
          </w:p>
        </w:tc>
        <w:tc>
          <w:tcPr>
            <w:tcW w:w="42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5302ECB1" w14:textId="77777777" w:rsidR="004B1449" w:rsidRDefault="004B1449" w:rsidP="00FD045E">
            <w:pPr>
              <w:rPr>
                <w:rFonts w:ascii="Imago" w:eastAsia="Imago" w:hAnsi="Imago" w:cs="Imago"/>
                <w:sz w:val="16"/>
                <w:szCs w:val="16"/>
              </w:rPr>
            </w:pPr>
            <w:r>
              <w:rPr>
                <w:rFonts w:ascii="Imago" w:eastAsia="Imago" w:hAnsi="Imago" w:cs="Imago"/>
                <w:sz w:val="16"/>
                <w:szCs w:val="16"/>
              </w:rPr>
              <w:t xml:space="preserve">It is possible that one sample could be incorrect (i.e. one of the PCV samples came out as 100% as the equipment was not working, which incorrectly skewed the PCV final value to something unreasonable. </w:t>
            </w:r>
          </w:p>
        </w:tc>
      </w:tr>
      <w:tr w:rsidR="004B1449" w14:paraId="1C13A1D6" w14:textId="77777777" w:rsidTr="00FD045E">
        <w:trPr>
          <w:trHeight w:val="315"/>
        </w:trPr>
        <w:tc>
          <w:tcPr>
            <w:tcW w:w="521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3AAE7CAC" w14:textId="77777777" w:rsidR="004B1449" w:rsidRDefault="004B1449" w:rsidP="00FD045E">
            <w:pPr>
              <w:rPr>
                <w:rFonts w:ascii="Imago" w:eastAsia="Imago" w:hAnsi="Imago" w:cs="Imago"/>
                <w:sz w:val="16"/>
                <w:szCs w:val="16"/>
              </w:rPr>
            </w:pPr>
            <w:r>
              <w:rPr>
                <w:rFonts w:ascii="Imago" w:eastAsia="Imago" w:hAnsi="Imago" w:cs="Imago"/>
                <w:sz w:val="16"/>
                <w:szCs w:val="16"/>
              </w:rPr>
              <w:t xml:space="preserve">Step 3: Particularly for a Rule 1 violation, evaluate inoculation PCV value (the first PCV value in that stage). An atypical </w:t>
            </w:r>
            <w:proofErr w:type="spellStart"/>
            <w:r>
              <w:rPr>
                <w:rFonts w:ascii="Imago" w:eastAsia="Imago" w:hAnsi="Imago" w:cs="Imago"/>
                <w:sz w:val="16"/>
                <w:szCs w:val="16"/>
              </w:rPr>
              <w:t>inoc</w:t>
            </w:r>
            <w:proofErr w:type="spellEnd"/>
            <w:r>
              <w:rPr>
                <w:rFonts w:ascii="Imago" w:eastAsia="Imago" w:hAnsi="Imago" w:cs="Imago"/>
                <w:sz w:val="16"/>
                <w:szCs w:val="16"/>
              </w:rPr>
              <w:t xml:space="preserve"> PCV has a strong impact on SGR and can result in rule violations. For final viability violations, check the inoculation PCV of the next stage, which should be close, but somewhat lower. </w:t>
            </w:r>
          </w:p>
        </w:tc>
        <w:tc>
          <w:tcPr>
            <w:tcW w:w="42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52F1AA00" w14:textId="77777777" w:rsidR="004B1449" w:rsidRDefault="004B1449" w:rsidP="00FD045E">
            <w:pPr>
              <w:rPr>
                <w:rFonts w:ascii="Imago" w:eastAsia="Imago" w:hAnsi="Imago" w:cs="Imago"/>
                <w:sz w:val="16"/>
                <w:szCs w:val="16"/>
              </w:rPr>
            </w:pPr>
            <w:r>
              <w:rPr>
                <w:rFonts w:ascii="Imago" w:eastAsia="Imago" w:hAnsi="Imago" w:cs="Imago"/>
                <w:sz w:val="16"/>
                <w:szCs w:val="16"/>
              </w:rPr>
              <w:t xml:space="preserve">SGR is most affected by runtime duration and initial </w:t>
            </w:r>
            <w:proofErr w:type="spellStart"/>
            <w:r>
              <w:rPr>
                <w:rFonts w:ascii="Imago" w:eastAsia="Imago" w:hAnsi="Imago" w:cs="Imago"/>
                <w:sz w:val="16"/>
                <w:szCs w:val="16"/>
              </w:rPr>
              <w:t>inoc</w:t>
            </w:r>
            <w:proofErr w:type="spellEnd"/>
            <w:r>
              <w:rPr>
                <w:rFonts w:ascii="Imago" w:eastAsia="Imago" w:hAnsi="Imago" w:cs="Imago"/>
                <w:sz w:val="16"/>
                <w:szCs w:val="16"/>
              </w:rPr>
              <w:t xml:space="preserve"> PCV, so those are good places to start looking. A higher next stage inoculation final viability indicates the prior final viability measure was a false value.</w:t>
            </w:r>
          </w:p>
        </w:tc>
      </w:tr>
      <w:tr w:rsidR="004B1449" w14:paraId="425D4F05" w14:textId="77777777" w:rsidTr="00FD045E">
        <w:trPr>
          <w:trHeight w:val="315"/>
        </w:trPr>
        <w:tc>
          <w:tcPr>
            <w:tcW w:w="521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38344E6F" w14:textId="77777777" w:rsidR="004B1449" w:rsidRDefault="004B1449" w:rsidP="00FD045E">
            <w:pPr>
              <w:rPr>
                <w:rFonts w:ascii="Imago" w:eastAsia="Imago" w:hAnsi="Imago" w:cs="Imago"/>
                <w:sz w:val="16"/>
                <w:szCs w:val="16"/>
              </w:rPr>
            </w:pPr>
            <w:r>
              <w:rPr>
                <w:rFonts w:ascii="Imago" w:eastAsia="Imago" w:hAnsi="Imago" w:cs="Imago"/>
                <w:sz w:val="16"/>
                <w:szCs w:val="16"/>
              </w:rPr>
              <w:t>Step 4: Evaluate the last PCV value for the prior stage, to see if poor growth in an earlier stage might be related to the cause of the violation.</w:t>
            </w:r>
          </w:p>
        </w:tc>
        <w:tc>
          <w:tcPr>
            <w:tcW w:w="42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49B1BAEF" w14:textId="77777777" w:rsidR="004B1449" w:rsidRDefault="004B1449" w:rsidP="00FD045E">
            <w:pPr>
              <w:rPr>
                <w:rFonts w:ascii="Imago" w:eastAsia="Imago" w:hAnsi="Imago" w:cs="Imago"/>
                <w:sz w:val="16"/>
                <w:szCs w:val="16"/>
              </w:rPr>
            </w:pPr>
            <w:r>
              <w:rPr>
                <w:rFonts w:ascii="Imago" w:eastAsia="Imago" w:hAnsi="Imago" w:cs="Imago"/>
                <w:sz w:val="16"/>
                <w:szCs w:val="16"/>
              </w:rPr>
              <w:t xml:space="preserve">To understand what values are "standard," review the product-specific </w:t>
            </w:r>
            <w:proofErr w:type="spellStart"/>
            <w:r>
              <w:rPr>
                <w:rFonts w:ascii="Imago" w:eastAsia="Imago" w:hAnsi="Imago" w:cs="Imago"/>
                <w:sz w:val="16"/>
                <w:szCs w:val="16"/>
              </w:rPr>
              <w:t>ssMPS</w:t>
            </w:r>
            <w:proofErr w:type="spellEnd"/>
            <w:r>
              <w:rPr>
                <w:rFonts w:ascii="Imago" w:eastAsia="Imago" w:hAnsi="Imago" w:cs="Imago"/>
                <w:sz w:val="16"/>
                <w:szCs w:val="16"/>
              </w:rPr>
              <w:t xml:space="preserve">. If certain </w:t>
            </w:r>
            <w:proofErr w:type="spellStart"/>
            <w:r>
              <w:rPr>
                <w:rFonts w:ascii="Imago" w:eastAsia="Imago" w:hAnsi="Imago" w:cs="Imago"/>
                <w:sz w:val="16"/>
                <w:szCs w:val="16"/>
              </w:rPr>
              <w:t>inoc</w:t>
            </w:r>
            <w:proofErr w:type="spellEnd"/>
            <w:r>
              <w:rPr>
                <w:rFonts w:ascii="Imago" w:eastAsia="Imago" w:hAnsi="Imago" w:cs="Imago"/>
                <w:sz w:val="16"/>
                <w:szCs w:val="16"/>
              </w:rPr>
              <w:t xml:space="preserve"> PCVs are below the acceptable range of </w:t>
            </w:r>
            <w:proofErr w:type="gramStart"/>
            <w:r>
              <w:rPr>
                <w:rFonts w:ascii="Imago" w:eastAsia="Imago" w:hAnsi="Imago" w:cs="Imago"/>
                <w:sz w:val="16"/>
                <w:szCs w:val="16"/>
              </w:rPr>
              <w:t>a stage</w:t>
            </w:r>
            <w:proofErr w:type="gramEnd"/>
            <w:r>
              <w:rPr>
                <w:rFonts w:ascii="Imago" w:eastAsia="Imago" w:hAnsi="Imago" w:cs="Imago"/>
                <w:sz w:val="16"/>
                <w:szCs w:val="16"/>
              </w:rPr>
              <w:t xml:space="preserve"> that is likely the cause for a growth rate violation. </w:t>
            </w:r>
          </w:p>
        </w:tc>
      </w:tr>
      <w:tr w:rsidR="004B1449" w14:paraId="198AFC9A" w14:textId="77777777" w:rsidTr="00FD045E">
        <w:trPr>
          <w:trHeight w:val="315"/>
        </w:trPr>
        <w:tc>
          <w:tcPr>
            <w:tcW w:w="521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10AD57BF" w14:textId="77777777" w:rsidR="004B1449" w:rsidRDefault="004B1449" w:rsidP="00FD045E">
            <w:pPr>
              <w:rPr>
                <w:rFonts w:ascii="Imago" w:eastAsia="Imago" w:hAnsi="Imago" w:cs="Imago"/>
                <w:sz w:val="16"/>
                <w:szCs w:val="16"/>
              </w:rPr>
            </w:pPr>
            <w:r>
              <w:rPr>
                <w:rFonts w:ascii="Imago" w:eastAsia="Imago" w:hAnsi="Imago" w:cs="Imago"/>
                <w:sz w:val="16"/>
                <w:szCs w:val="16"/>
              </w:rPr>
              <w:t xml:space="preserve">Step 5: Compare runtime durations between the run with a violation, and other recent runs. </w:t>
            </w:r>
          </w:p>
        </w:tc>
        <w:tc>
          <w:tcPr>
            <w:tcW w:w="42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650C0790" w14:textId="77777777" w:rsidR="004B1449" w:rsidRDefault="004B1449" w:rsidP="00FD045E">
            <w:pPr>
              <w:rPr>
                <w:rFonts w:ascii="Imago" w:eastAsia="Imago" w:hAnsi="Imago" w:cs="Imago"/>
                <w:sz w:val="16"/>
                <w:szCs w:val="16"/>
              </w:rPr>
            </w:pPr>
            <w:r>
              <w:rPr>
                <w:rFonts w:ascii="Imago" w:eastAsia="Imago" w:hAnsi="Imago" w:cs="Imago"/>
                <w:sz w:val="16"/>
                <w:szCs w:val="16"/>
              </w:rPr>
              <w:t>Unusually long or short run time can be the cause of a rule violation.</w:t>
            </w:r>
          </w:p>
        </w:tc>
      </w:tr>
      <w:tr w:rsidR="004B1449" w14:paraId="2F65FAB1" w14:textId="77777777" w:rsidTr="00FD045E">
        <w:trPr>
          <w:trHeight w:val="315"/>
        </w:trPr>
        <w:tc>
          <w:tcPr>
            <w:tcW w:w="521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040958E5" w14:textId="77777777" w:rsidR="004B1449" w:rsidRDefault="004B1449" w:rsidP="00FD045E">
            <w:pPr>
              <w:rPr>
                <w:rFonts w:ascii="Imago" w:eastAsia="Imago" w:hAnsi="Imago" w:cs="Imago"/>
                <w:sz w:val="16"/>
                <w:szCs w:val="16"/>
              </w:rPr>
            </w:pPr>
            <w:r>
              <w:rPr>
                <w:rFonts w:ascii="Imago" w:eastAsia="Imago" w:hAnsi="Imago" w:cs="Imago"/>
                <w:sz w:val="16"/>
                <w:szCs w:val="16"/>
              </w:rPr>
              <w:t xml:space="preserve">Step 6: Check equipment numbers and FLEX-MEIN's to see whether the issue is occurring only with one </w:t>
            </w:r>
            <w:proofErr w:type="gramStart"/>
            <w:r>
              <w:rPr>
                <w:rFonts w:ascii="Imago" w:eastAsia="Imago" w:hAnsi="Imago" w:cs="Imago"/>
                <w:sz w:val="16"/>
                <w:szCs w:val="16"/>
              </w:rPr>
              <w:t>particular piece</w:t>
            </w:r>
            <w:proofErr w:type="gramEnd"/>
            <w:r>
              <w:rPr>
                <w:rFonts w:ascii="Imago" w:eastAsia="Imago" w:hAnsi="Imago" w:cs="Imago"/>
                <w:sz w:val="16"/>
                <w:szCs w:val="16"/>
              </w:rPr>
              <w:t xml:space="preserve"> of equipment, or if it coincides with equipment changes</w:t>
            </w:r>
          </w:p>
        </w:tc>
        <w:tc>
          <w:tcPr>
            <w:tcW w:w="42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75A3FE76" w14:textId="77777777" w:rsidR="004B1449" w:rsidRDefault="004B1449" w:rsidP="00FD045E">
            <w:pPr>
              <w:rPr>
                <w:rFonts w:ascii="Imago" w:eastAsia="Imago" w:hAnsi="Imago" w:cs="Imago"/>
                <w:sz w:val="16"/>
                <w:szCs w:val="16"/>
              </w:rPr>
            </w:pPr>
            <w:r>
              <w:rPr>
                <w:rFonts w:ascii="Imago" w:eastAsia="Imago" w:hAnsi="Imago" w:cs="Imago"/>
                <w:sz w:val="16"/>
                <w:szCs w:val="16"/>
              </w:rPr>
              <w:t xml:space="preserve">Some FLEX instruments may be either not working or improperly calibrated. If the same FLEX-MEIN is used exclusively for the set of runs being analyzed, it may mean the equipment is the root cause. </w:t>
            </w:r>
          </w:p>
        </w:tc>
      </w:tr>
      <w:tr w:rsidR="004B1449" w14:paraId="145F6818" w14:textId="77777777" w:rsidTr="00FD045E">
        <w:trPr>
          <w:trHeight w:val="315"/>
        </w:trPr>
        <w:tc>
          <w:tcPr>
            <w:tcW w:w="521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764F1BA9" w14:textId="77777777" w:rsidR="004B1449" w:rsidRDefault="004B1449" w:rsidP="00FD045E">
            <w:pPr>
              <w:rPr>
                <w:rFonts w:ascii="Imago" w:eastAsia="Imago" w:hAnsi="Imago" w:cs="Imago"/>
                <w:sz w:val="16"/>
                <w:szCs w:val="16"/>
              </w:rPr>
            </w:pPr>
            <w:r>
              <w:rPr>
                <w:rFonts w:ascii="Imago" w:eastAsia="Imago" w:hAnsi="Imago" w:cs="Imago"/>
                <w:sz w:val="16"/>
                <w:szCs w:val="16"/>
              </w:rPr>
              <w:t xml:space="preserve">Step 7: If none of the above show any clues to explain the unusual value(s), begin looking through the parameters specified in the </w:t>
            </w:r>
            <w:proofErr w:type="spellStart"/>
            <w:r>
              <w:rPr>
                <w:rFonts w:ascii="Imago" w:eastAsia="Imago" w:hAnsi="Imago" w:cs="Imago"/>
                <w:sz w:val="16"/>
                <w:szCs w:val="16"/>
              </w:rPr>
              <w:t>ssMPS</w:t>
            </w:r>
            <w:proofErr w:type="spellEnd"/>
            <w:r>
              <w:rPr>
                <w:rFonts w:ascii="Imago" w:eastAsia="Imago" w:hAnsi="Imago" w:cs="Imago"/>
                <w:sz w:val="16"/>
                <w:szCs w:val="16"/>
              </w:rPr>
              <w:t xml:space="preserve">: pH, glucose, dO2 etc. </w:t>
            </w:r>
          </w:p>
        </w:tc>
        <w:tc>
          <w:tcPr>
            <w:tcW w:w="42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53E5078C" w14:textId="77777777" w:rsidR="004B1449" w:rsidRDefault="004B1449" w:rsidP="00FD045E">
            <w:pPr>
              <w:rPr>
                <w:rFonts w:ascii="Imago" w:eastAsia="Imago" w:hAnsi="Imago" w:cs="Imago"/>
                <w:sz w:val="16"/>
                <w:szCs w:val="16"/>
              </w:rPr>
            </w:pPr>
            <w:r>
              <w:rPr>
                <w:rFonts w:ascii="Imago" w:eastAsia="Imago" w:hAnsi="Imago" w:cs="Imago"/>
                <w:sz w:val="16"/>
                <w:szCs w:val="16"/>
              </w:rPr>
              <w:t xml:space="preserve">To understand what values are "standard," review the product-specific </w:t>
            </w:r>
            <w:proofErr w:type="spellStart"/>
            <w:r>
              <w:rPr>
                <w:rFonts w:ascii="Imago" w:eastAsia="Imago" w:hAnsi="Imago" w:cs="Imago"/>
                <w:sz w:val="16"/>
                <w:szCs w:val="16"/>
              </w:rPr>
              <w:t>ssMPS</w:t>
            </w:r>
            <w:proofErr w:type="spellEnd"/>
            <w:r>
              <w:rPr>
                <w:rFonts w:ascii="Imago" w:eastAsia="Imago" w:hAnsi="Imago" w:cs="Imago"/>
                <w:sz w:val="16"/>
                <w:szCs w:val="16"/>
              </w:rPr>
              <w:t xml:space="preserve">. Deviations from standard pH values could mean the production of too much lactate or the addition of too much base.  </w:t>
            </w:r>
          </w:p>
        </w:tc>
      </w:tr>
      <w:tr w:rsidR="004B1449" w14:paraId="74BA08CE" w14:textId="77777777" w:rsidTr="00FD045E">
        <w:trPr>
          <w:trHeight w:val="315"/>
        </w:trPr>
        <w:tc>
          <w:tcPr>
            <w:tcW w:w="521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2B291937" w14:textId="77777777" w:rsidR="004B1449" w:rsidRDefault="004B1449" w:rsidP="00FD045E">
            <w:pPr>
              <w:rPr>
                <w:rFonts w:ascii="Imago" w:eastAsia="Imago" w:hAnsi="Imago" w:cs="Imago"/>
                <w:sz w:val="16"/>
                <w:szCs w:val="16"/>
              </w:rPr>
            </w:pPr>
            <w:r>
              <w:rPr>
                <w:rFonts w:ascii="Imago" w:eastAsia="Imago" w:hAnsi="Imago" w:cs="Imago"/>
                <w:sz w:val="16"/>
                <w:szCs w:val="16"/>
              </w:rPr>
              <w:t>Step 8: Check metabolite concentrations. Large fluxes in concentrations could indicate abnormally high levels of growth.</w:t>
            </w:r>
          </w:p>
        </w:tc>
        <w:tc>
          <w:tcPr>
            <w:tcW w:w="42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62B92B2B" w14:textId="77777777" w:rsidR="004B1449" w:rsidRDefault="004B1449" w:rsidP="00FD045E">
            <w:pPr>
              <w:rPr>
                <w:rFonts w:ascii="Imago" w:eastAsia="Imago" w:hAnsi="Imago" w:cs="Imago"/>
                <w:sz w:val="16"/>
                <w:szCs w:val="16"/>
              </w:rPr>
            </w:pPr>
            <w:r>
              <w:rPr>
                <w:rFonts w:ascii="Imago" w:eastAsia="Imago" w:hAnsi="Imago" w:cs="Imago"/>
                <w:sz w:val="16"/>
                <w:szCs w:val="16"/>
              </w:rPr>
              <w:t xml:space="preserve">Perform statistical testing (i.e. confidence intervals, correlations, etc.) to see if certain metabolites (Na+, K+, NH4+) change at a rate that is statistically significantly different from other runs in the campaign. </w:t>
            </w:r>
          </w:p>
        </w:tc>
      </w:tr>
      <w:tr w:rsidR="004B1449" w14:paraId="5BFAC1E5" w14:textId="77777777" w:rsidTr="00FD045E">
        <w:trPr>
          <w:trHeight w:val="315"/>
        </w:trPr>
        <w:tc>
          <w:tcPr>
            <w:tcW w:w="521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1FF0AE2A" w14:textId="77777777" w:rsidR="004B1449" w:rsidRDefault="004B1449" w:rsidP="00FD045E">
            <w:pPr>
              <w:rPr>
                <w:rFonts w:ascii="Imago" w:eastAsia="Imago" w:hAnsi="Imago" w:cs="Imago"/>
                <w:sz w:val="16"/>
                <w:szCs w:val="16"/>
              </w:rPr>
            </w:pPr>
            <w:r>
              <w:rPr>
                <w:rFonts w:ascii="Imago" w:eastAsia="Imago" w:hAnsi="Imago" w:cs="Imago"/>
                <w:sz w:val="16"/>
                <w:szCs w:val="16"/>
              </w:rPr>
              <w:t xml:space="preserve">Step 9: Check the subsequent stage’s corresponding KPI info. For example, if you have a rule violation and are investigating N-4 final Viability, check the trend for N-3 final viability. </w:t>
            </w:r>
          </w:p>
        </w:tc>
        <w:tc>
          <w:tcPr>
            <w:tcW w:w="42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6F564750" w14:textId="77777777" w:rsidR="004B1449" w:rsidRDefault="004B1449" w:rsidP="00FD045E">
            <w:pPr>
              <w:rPr>
                <w:rFonts w:ascii="Imago" w:eastAsia="Imago" w:hAnsi="Imago" w:cs="Imago"/>
                <w:sz w:val="16"/>
                <w:szCs w:val="16"/>
              </w:rPr>
            </w:pPr>
            <w:r>
              <w:rPr>
                <w:rFonts w:ascii="Imago" w:eastAsia="Imago" w:hAnsi="Imago" w:cs="Imago"/>
                <w:sz w:val="16"/>
                <w:szCs w:val="16"/>
              </w:rPr>
              <w:t>If the N-3 final viability data behaves (does not involve any rule 1 violations or process excursions</w:t>
            </w:r>
            <w:proofErr w:type="gramStart"/>
            <w:r>
              <w:rPr>
                <w:rFonts w:ascii="Imago" w:eastAsia="Imago" w:hAnsi="Imago" w:cs="Imago"/>
                <w:sz w:val="16"/>
                <w:szCs w:val="16"/>
              </w:rPr>
              <w:t>), but</w:t>
            </w:r>
            <w:proofErr w:type="gramEnd"/>
            <w:r>
              <w:rPr>
                <w:rFonts w:ascii="Imago" w:eastAsia="Imago" w:hAnsi="Imago" w:cs="Imago"/>
                <w:sz w:val="16"/>
                <w:szCs w:val="16"/>
              </w:rPr>
              <w:t xml:space="preserve"> does trend in the same fashion as N-4 (also above or below the centerline), the final viability violation could be linked to the culture itself. </w:t>
            </w:r>
          </w:p>
        </w:tc>
      </w:tr>
      <w:tr w:rsidR="004B1449" w14:paraId="12CA777A" w14:textId="77777777" w:rsidTr="00FD045E">
        <w:trPr>
          <w:trHeight w:val="315"/>
        </w:trPr>
        <w:tc>
          <w:tcPr>
            <w:tcW w:w="521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3DED5585" w14:textId="77777777" w:rsidR="004B1449" w:rsidRDefault="004B1449" w:rsidP="00FD045E">
            <w:pPr>
              <w:rPr>
                <w:rFonts w:ascii="Imago" w:eastAsia="Imago" w:hAnsi="Imago" w:cs="Imago"/>
                <w:sz w:val="16"/>
                <w:szCs w:val="16"/>
              </w:rPr>
            </w:pPr>
            <w:r>
              <w:rPr>
                <w:rFonts w:ascii="Imago" w:eastAsia="Imago" w:hAnsi="Imago" w:cs="Imago"/>
                <w:sz w:val="16"/>
                <w:szCs w:val="16"/>
              </w:rPr>
              <w:t>Step 10: If those do not offer any conclusive root causes, begin looking at recent work orders on SAP and at DMS</w:t>
            </w:r>
          </w:p>
        </w:tc>
        <w:tc>
          <w:tcPr>
            <w:tcW w:w="42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54F6954C" w14:textId="77777777" w:rsidR="004B1449" w:rsidRDefault="004B1449" w:rsidP="00FD045E">
            <w:pPr>
              <w:rPr>
                <w:rFonts w:ascii="Imago" w:eastAsia="Imago" w:hAnsi="Imago" w:cs="Imago"/>
                <w:sz w:val="16"/>
                <w:szCs w:val="16"/>
              </w:rPr>
            </w:pPr>
            <w:r>
              <w:rPr>
                <w:rFonts w:ascii="Imago" w:eastAsia="Imago" w:hAnsi="Imago" w:cs="Imago"/>
                <w:sz w:val="16"/>
                <w:szCs w:val="16"/>
              </w:rPr>
              <w:t>If an issue appeared abruptly after a work order, or resolved abruptly after a work order, the two may be linked.</w:t>
            </w:r>
          </w:p>
        </w:tc>
      </w:tr>
      <w:tr w:rsidR="004B1449" w14:paraId="58448FA5" w14:textId="77777777" w:rsidTr="00FD045E">
        <w:trPr>
          <w:trHeight w:val="315"/>
        </w:trPr>
        <w:tc>
          <w:tcPr>
            <w:tcW w:w="521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7C564840" w14:textId="77777777" w:rsidR="004B1449" w:rsidRDefault="004B1449" w:rsidP="00FD045E">
            <w:pPr>
              <w:rPr>
                <w:rFonts w:ascii="Imago" w:eastAsia="Imago" w:hAnsi="Imago" w:cs="Imago"/>
                <w:sz w:val="16"/>
                <w:szCs w:val="16"/>
              </w:rPr>
            </w:pPr>
            <w:r>
              <w:rPr>
                <w:rFonts w:ascii="Imago" w:eastAsia="Imago" w:hAnsi="Imago" w:cs="Imago"/>
                <w:sz w:val="16"/>
                <w:szCs w:val="16"/>
              </w:rPr>
              <w:t>Step 11: Evaluate raw materials.</w:t>
            </w:r>
          </w:p>
        </w:tc>
        <w:tc>
          <w:tcPr>
            <w:tcW w:w="42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151EC3A7" w14:textId="77777777" w:rsidR="004B1449" w:rsidRDefault="004B1449" w:rsidP="00FD045E">
            <w:pPr>
              <w:rPr>
                <w:rFonts w:ascii="Imago" w:eastAsia="Imago" w:hAnsi="Imago" w:cs="Imago"/>
                <w:sz w:val="16"/>
                <w:szCs w:val="16"/>
              </w:rPr>
            </w:pPr>
            <w:r>
              <w:rPr>
                <w:rFonts w:ascii="Imago" w:eastAsia="Imago" w:hAnsi="Imago" w:cs="Imago"/>
                <w:sz w:val="16"/>
                <w:szCs w:val="16"/>
              </w:rPr>
              <w:t>Evaluate performance associated with different lots of materials.</w:t>
            </w:r>
          </w:p>
        </w:tc>
      </w:tr>
    </w:tbl>
    <w:p w14:paraId="59478CB3" w14:textId="77777777" w:rsidR="004B1449" w:rsidRDefault="004B1449" w:rsidP="004B1449">
      <w:pPr>
        <w:tabs>
          <w:tab w:val="left" w:pos="360"/>
        </w:tabs>
        <w:spacing w:before="120" w:after="120"/>
        <w:rPr>
          <w:rFonts w:ascii="Imago" w:eastAsia="Imago" w:hAnsi="Imago" w:cs="Imago"/>
        </w:rPr>
      </w:pPr>
      <w:r w:rsidRPr="006A4E64">
        <w:rPr>
          <w:rFonts w:ascii="Imago" w:eastAsia="Imago" w:hAnsi="Imago" w:cs="Imago"/>
          <w:sz w:val="20"/>
          <w:szCs w:val="20"/>
        </w:rPr>
        <w:t>If these 11 steps have been evaluated and still no root cause has been identified or is discernable, the rule violation can likely be attributed to common cause variability. Control limits may need to be</w:t>
      </w:r>
      <w:r>
        <w:rPr>
          <w:rFonts w:ascii="Imago" w:eastAsia="Imago" w:hAnsi="Imago" w:cs="Imago"/>
        </w:rPr>
        <w:t xml:space="preserve"> </w:t>
      </w:r>
      <w:r w:rsidRPr="006A4E64">
        <w:rPr>
          <w:rFonts w:ascii="Imago" w:eastAsia="Imago" w:hAnsi="Imago" w:cs="Imago"/>
          <w:sz w:val="20"/>
          <w:szCs w:val="20"/>
        </w:rPr>
        <w:t>reevaluated.</w:t>
      </w:r>
    </w:p>
    <w:p w14:paraId="28ED8E1D" w14:textId="77777777" w:rsidR="004B1449" w:rsidRDefault="004B1449" w:rsidP="004B1449">
      <w:pPr>
        <w:tabs>
          <w:tab w:val="left" w:pos="360"/>
        </w:tabs>
        <w:spacing w:before="120" w:after="120"/>
        <w:jc w:val="center"/>
        <w:rPr>
          <w:rFonts w:ascii="Imago" w:eastAsia="Imago" w:hAnsi="Imago" w:cs="Imago"/>
          <w:b/>
        </w:rPr>
      </w:pPr>
    </w:p>
    <w:p w14:paraId="0A52F066" w14:textId="77777777" w:rsidR="00C53443" w:rsidRDefault="00C53443"/>
    <w:sectPr w:rsidR="00C534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mago">
    <w:altName w:val="Calibri"/>
    <w:charset w:val="00"/>
    <w:family w:val="auto"/>
    <w:pitch w:val="variable"/>
    <w:sig w:usb0="A00002AF" w:usb1="500020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449"/>
    <w:rsid w:val="001F3F3A"/>
    <w:rsid w:val="004B1449"/>
    <w:rsid w:val="00606C8C"/>
    <w:rsid w:val="00C534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2E19D"/>
  <w15:chartTrackingRefBased/>
  <w15:docId w15:val="{264C47F2-8C19-4063-B0F4-B93CF054B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hidden/>
    <w:qFormat/>
    <w:rsid w:val="004B1449"/>
    <w:pPr>
      <w:widowControl w:val="0"/>
      <w:spacing w:after="0" w:line="240" w:lineRule="auto"/>
    </w:pPr>
    <w:rPr>
      <w:rFonts w:ascii="Arial" w:eastAsia="Arial" w:hAnsi="Arial" w:cs="Arial"/>
      <w:color w:val="000000"/>
      <w:kern w:val="0"/>
      <w:sz w:val="22"/>
      <w:szCs w:val="22"/>
      <w14:ligatures w14:val="none"/>
    </w:rPr>
  </w:style>
  <w:style w:type="paragraph" w:styleId="Heading1">
    <w:name w:val="heading 1"/>
    <w:basedOn w:val="Normal"/>
    <w:next w:val="Normal"/>
    <w:link w:val="Heading1Char"/>
    <w:uiPriority w:val="9"/>
    <w:qFormat/>
    <w:rsid w:val="004B14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14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14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14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14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14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4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4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4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4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14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14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14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14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14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4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4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449"/>
    <w:rPr>
      <w:rFonts w:eastAsiaTheme="majorEastAsia" w:cstheme="majorBidi"/>
      <w:color w:val="272727" w:themeColor="text1" w:themeTint="D8"/>
    </w:rPr>
  </w:style>
  <w:style w:type="paragraph" w:styleId="Title">
    <w:name w:val="Title"/>
    <w:basedOn w:val="Normal"/>
    <w:next w:val="Normal"/>
    <w:link w:val="TitleChar"/>
    <w:uiPriority w:val="10"/>
    <w:qFormat/>
    <w:rsid w:val="004B144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4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4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4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449"/>
    <w:pPr>
      <w:spacing w:before="160"/>
      <w:jc w:val="center"/>
    </w:pPr>
    <w:rPr>
      <w:i/>
      <w:iCs/>
      <w:color w:val="404040" w:themeColor="text1" w:themeTint="BF"/>
    </w:rPr>
  </w:style>
  <w:style w:type="character" w:customStyle="1" w:styleId="QuoteChar">
    <w:name w:val="Quote Char"/>
    <w:basedOn w:val="DefaultParagraphFont"/>
    <w:link w:val="Quote"/>
    <w:uiPriority w:val="29"/>
    <w:rsid w:val="004B1449"/>
    <w:rPr>
      <w:i/>
      <w:iCs/>
      <w:color w:val="404040" w:themeColor="text1" w:themeTint="BF"/>
    </w:rPr>
  </w:style>
  <w:style w:type="paragraph" w:styleId="ListParagraph">
    <w:name w:val="List Paragraph"/>
    <w:basedOn w:val="Normal"/>
    <w:uiPriority w:val="34"/>
    <w:qFormat/>
    <w:rsid w:val="004B1449"/>
    <w:pPr>
      <w:ind w:left="720"/>
      <w:contextualSpacing/>
    </w:pPr>
  </w:style>
  <w:style w:type="character" w:styleId="IntenseEmphasis">
    <w:name w:val="Intense Emphasis"/>
    <w:basedOn w:val="DefaultParagraphFont"/>
    <w:uiPriority w:val="21"/>
    <w:qFormat/>
    <w:rsid w:val="004B1449"/>
    <w:rPr>
      <w:i/>
      <w:iCs/>
      <w:color w:val="0F4761" w:themeColor="accent1" w:themeShade="BF"/>
    </w:rPr>
  </w:style>
  <w:style w:type="paragraph" w:styleId="IntenseQuote">
    <w:name w:val="Intense Quote"/>
    <w:basedOn w:val="Normal"/>
    <w:next w:val="Normal"/>
    <w:link w:val="IntenseQuoteChar"/>
    <w:uiPriority w:val="30"/>
    <w:qFormat/>
    <w:rsid w:val="004B14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1449"/>
    <w:rPr>
      <w:i/>
      <w:iCs/>
      <w:color w:val="0F4761" w:themeColor="accent1" w:themeShade="BF"/>
    </w:rPr>
  </w:style>
  <w:style w:type="character" w:styleId="IntenseReference">
    <w:name w:val="Intense Reference"/>
    <w:basedOn w:val="DefaultParagraphFont"/>
    <w:uiPriority w:val="32"/>
    <w:qFormat/>
    <w:rsid w:val="004B14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VphDocument" ma:contentTypeID="0x01010028234C82A164D040ABE86EB9227D5528008A2401B0972F7847AFCC6D5B9A0DAD0F" ma:contentTypeVersion="7" ma:contentTypeDescription="Create a new document." ma:contentTypeScope="" ma:versionID="65e1a23af55284fadc6da7a06f5f569d">
  <xsd:schema xmlns:xsd="http://www.w3.org/2001/XMLSchema" xmlns:xs="http://www.w3.org/2001/XMLSchema" xmlns:p="http://schemas.microsoft.com/office/2006/metadata/properties" xmlns:ns2="f37f2928-853f-4077-bf4e-929a19ef1d50" targetNamespace="http://schemas.microsoft.com/office/2006/metadata/properties" ma:root="true" ma:fieldsID="1c37d16a779bd74f29705dea5604c430" ns2:_="">
    <xsd:import namespace="f37f2928-853f-4077-bf4e-929a19ef1d50"/>
    <xsd:element name="properties">
      <xsd:complexType>
        <xsd:sequence>
          <xsd:element name="documentManagement">
            <xsd:complexType>
              <xsd:all>
                <xsd:element ref="ns2:vphRocheNo"/>
                <xsd:element ref="ns2:boxModifiedAt" minOccurs="0"/>
                <xsd:element ref="ns2:boxModifiedBy" minOccurs="0"/>
                <xsd:element ref="ns2:boxCreatedAt" minOccurs="0"/>
                <xsd:element ref="ns2:boxCreatedBy" minOccurs="0"/>
                <xsd:element ref="ns2:boxId" minOccurs="0"/>
                <xsd:element ref="ns2:boxOwner" minOccurs="0"/>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7f2928-853f-4077-bf4e-929a19ef1d50" elementFormDefault="qualified">
    <xsd:import namespace="http://schemas.microsoft.com/office/2006/documentManagement/types"/>
    <xsd:import namespace="http://schemas.microsoft.com/office/infopath/2007/PartnerControls"/>
    <xsd:element name="vphRocheNo" ma:index="8" ma:displayName="Roche No" ma:default="SiteEquip" ma:description="" ma:internalName="vphRocheNo">
      <xsd:simpleType>
        <xsd:restriction base="dms:Text">
          <xsd:maxLength value="255"/>
        </xsd:restriction>
      </xsd:simpleType>
    </xsd:element>
    <xsd:element name="boxModifiedAt" ma:index="9" nillable="true" ma:displayName="Box Modified At" ma:default="" ma:description="" ma:internalName="boxModifiedAt">
      <xsd:simpleType>
        <xsd:restriction base="dms:DateTime">
          <xsd:maxLength value="255"/>
        </xsd:restriction>
      </xsd:simpleType>
    </xsd:element>
    <xsd:element name="boxModifiedBy" ma:index="10" nillable="true" ma:displayName="Box Modified By" ma:default="" ma:description="" ma:internalName="boxModifiedBy">
      <xsd:simpleType>
        <xsd:restriction base="dms:Text">
          <xsd:maxLength value="255"/>
        </xsd:restriction>
      </xsd:simpleType>
    </xsd:element>
    <xsd:element name="boxCreatedAt" ma:index="11" nillable="true" ma:displayName="Box Created At" ma:default="" ma:description="" ma:internalName="boxCreatedAt">
      <xsd:simpleType>
        <xsd:restriction base="dms:DateTime">
          <xsd:maxLength value="255"/>
        </xsd:restriction>
      </xsd:simpleType>
    </xsd:element>
    <xsd:element name="boxCreatedBy" ma:index="12" nillable="true" ma:displayName="Box Created By " ma:default="" ma:description="" ma:internalName="boxCreatedBy">
      <xsd:simpleType>
        <xsd:restriction base="dms:Text">
          <xsd:maxLength value="255"/>
        </xsd:restriction>
      </xsd:simpleType>
    </xsd:element>
    <xsd:element name="boxId" ma:index="13" nillable="true" ma:displayName="Box Id" ma:default="" ma:description="" ma:internalName="boxId">
      <xsd:simpleType>
        <xsd:restriction base="dms:Text">
          <xsd:maxLength value="255"/>
        </xsd:restriction>
      </xsd:simpleType>
    </xsd:element>
    <xsd:element name="boxOwner" ma:index="14" nillable="true" ma:displayName="Box Owner" ma:default="" ma:description="" ma:internalName="boxOwner">
      <xsd:simpleType>
        <xsd:restriction base="dms:Text">
          <xsd:maxLength value="255"/>
        </xsd:restriction>
      </xsd:simpleType>
    </xsd:element>
    <xsd:element name="_dlc_DocId" ma:index="15" nillable="true" ma:displayName="Document ID Value" ma:description="The value of the document ID assigned to this item." ma:internalName="_dlc_DocId" ma:readOnly="true">
      <xsd:simpleType>
        <xsd:restriction base="dms:Text"/>
      </xsd:simpleType>
    </xsd:element>
    <xsd:element name="_dlc_DocIdUrl" ma:index="16"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7"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08C1442-1594-4793-8D7A-2D55918C96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7f2928-853f-4077-bf4e-929a19ef1d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03BC571-B1B1-4DEA-882B-2628C7499F97}">
  <ds:schemaRefs>
    <ds:schemaRef ds:uri="http://schemas.microsoft.com/sharepoint/events"/>
  </ds:schemaRefs>
</ds:datastoreItem>
</file>

<file path=customXml/itemProps3.xml><?xml version="1.0" encoding="utf-8"?>
<ds:datastoreItem xmlns:ds="http://schemas.openxmlformats.org/officeDocument/2006/customXml" ds:itemID="{A8562804-EFFC-47A6-839D-9D3A562066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606</Words>
  <Characters>3459</Characters>
  <Application>Microsoft Office Word</Application>
  <DocSecurity>0</DocSecurity>
  <Lines>28</Lines>
  <Paragraphs>8</Paragraphs>
  <ScaleCrop>false</ScaleCrop>
  <Company>F. Hoffmann La Roche Ltd</Company>
  <LinksUpToDate>false</LinksUpToDate>
  <CharactersWithSpaces>4057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Fish, Raphael {MMND~OCEANSIDE}</dc:creator>
  <cp:keywords/>
  <dc:description/>
  <cp:lastModifiedBy>Fish, Raphael {MMND~OCEANSIDE}</cp:lastModifiedBy>
  <cp:revision>2</cp:revision>
  <dcterms:created xsi:type="dcterms:W3CDTF">2026-08-12T22:39:00Z</dcterms:created>
  <dcterms:modified xsi:type="dcterms:W3CDTF">2026-08-12T22:39:00Z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0x01010028234C82A164D040ABE86EB9227D5528008A2401B0972F7847AFCC6D5B9A0DAD0F</vt:lpwstr>
  </property>
</Properties>
</file>