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60"/>
        <w:ind w:firstLine="0"/>
        <w:jc w:val="center"/>
      </w:pPr>
      <w:r>
        <w:rPr>
          <w:rFonts w:ascii="黑体" w:hAnsi="黑体" w:eastAsia="黑体"/>
          <w:b/>
          <w:sz w:val="40"/>
        </w:rPr>
        <w:t>后台算法说明文档</w:t>
      </w:r>
    </w:p>
    <w:p>
      <w:pPr>
        <w:spacing w:line="240" w:lineRule="auto" w:before="0" w:after="320"/>
        <w:ind w:firstLine="0"/>
        <w:jc w:val="center"/>
      </w:pPr>
      <w:r>
        <w:rPr>
          <w:rFonts w:ascii="宋体" w:hAnsi="宋体" w:eastAsia="宋体"/>
          <w:b w:val="0"/>
          <w:sz w:val="24"/>
        </w:rPr>
        <w:t>考察站风-光-氢-储-柴联合规划系统 | 版本日期：2026-05-19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本文档基于当前代码库整理后台规划求解与方案评估算法，重点描述模型输入、优化变量、目标函数、约束条件、快速预检查、求解器调用方式和输出结果。文档面向算法维护、技术评审和后续模型扩展使用。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核心源码文件包括 plan_optimizer.py、dispatch_milp.py、milp_solver.py、estimate.py、calculation_precheck.py 和 server.py。规划求解与方案评估共享统一 MILP 建模框架；方案评估可以理解为建设台数已知的特殊规划调度问题。</w:t>
      </w:r>
    </w:p>
    <w:p>
      <w:pPr>
        <w:spacing w:line="240" w:lineRule="auto" w:before="160" w:after="120"/>
        <w:ind w:firstLine="0"/>
        <w:jc w:val="left"/>
      </w:pPr>
      <w:r>
        <w:rPr>
          <w:rFonts w:ascii="黑体" w:hAnsi="黑体" w:eastAsia="黑体"/>
          <w:b/>
          <w:sz w:val="32"/>
        </w:rPr>
        <w:t>1. 后台调用链和模块分工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用户在前端点击“规划求解”或“方案评估”后，server.py 中的运行时对象会读取方案数据，执行快速可行性预检查，然后启动独立多进程执行计算。计算进程通过事件队列把日志、进度、完成结果或错误返回给页面。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1  主要算法模块分工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server.py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任务入口、运行状态、进程管理、结果文件写入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OptimizationRuntime 和 EvaluationRuntime 使用 multiprocessing.Process 启动后台计算。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calculation_precheck.py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快速可行性预检查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规划和评估共享；评估先把结果台数转成固定上下限后再检查。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plan_optimizer.py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规划 MILP 输入整理、变量构造、结果整理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建设台数和 8760 小时运行联合优化的核心入口。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estimate.py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方案评估适配、固定台数转换、统计汇总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评估通过 fixed_quantity_payload 调用统一规划模型。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dispatch_milp.py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公共 MILP 建模工具和约束函数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负责功率平衡、储能、氢能、绿电比例、扰动后平衡等公共约束。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milp_solver.py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求解器适配器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封装 Gurobi、CPLEX、MOSEK、SciPy/HiGHS 调用和日志转发。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规划求解的主流程为：读取方案数据 -&gt; 预检查 -&gt; build_planning_model() 归一化输入 -&gt; solve_planning_model() 组装 MILP -&gt; solve_milp() 调用求解器 -&gt; planning_rows_from_solution() 和 dispatch_rows_from_solution() 整理输出 -&gt; 写入 xxx_results.xlsx。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方案评估的主流程为：读取方案和当前结果文件 -&gt; 读取“规划结果”中的设计台数 -&gt; fixed_quantity_payload() 将所有设备台数上下限固定为设计台数 -&gt; 复用 build_planning_model() 和 solve_planning_model() -&gt; 将评估结果覆盖写回当前结果文件。</w:t>
      </w:r>
    </w:p>
    <w:p>
      <w:pPr>
        <w:spacing w:line="240" w:lineRule="auto" w:before="160" w:after="120"/>
        <w:ind w:firstLine="0"/>
        <w:jc w:val="left"/>
      </w:pPr>
      <w:r>
        <w:rPr>
          <w:rFonts w:ascii="黑体" w:hAnsi="黑体" w:eastAsia="黑体"/>
          <w:b/>
          <w:sz w:val="32"/>
        </w:rPr>
        <w:t>2. 输入数据和参数归一化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2.1 时序数据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规划求解默认要求 8760 点时序数据。每个小时的基础字段包括风速、太阳辐射、环境温度、负荷功率、时间标签和小时序号。优化模型直接使用负荷功率作为电力平衡右端项。环境温度当前主要作为输出曲线和结果展示字段。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Load_t = max(0, time_series[t].load),    t = 1, 2, ..., 8760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2.2 规划参数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2  主要全局规划参数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当前用途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diesel_price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柴油价格，万元/吨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年柴油成本计算；也作为目标函数柴油成本系数。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green_power_ratio_lower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绿色电量占比下限，0-1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加入全年绿电比例约束。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optimization_time_limit_minutes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优化求解时间上限，分钟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转换为秒传给求解器，当前限制在 10-120 分钟。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initial_storage_soc_ratio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初始电储 SOC，0-1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首小时电储 SOC 约束和每天日末循环约束。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initial_hydrogen_storage_ratio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初始氢储 SOC，0-1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首小时氢储约束和全年期末循环约束。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post_disturbance_power_balance_enabled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是否考虑扰动后平衡约束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为 1 时加入上下调节能力约束。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load_up_disturbance_factor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负荷向上扰动系数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计算电网向上调节需求。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load_down_disturbance_factor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负荷向下扰动系数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计算电网向下调节需求。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renewable_down_disturbance_factor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新能源向下扰动系数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计算风光出力下降扰动需求。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2.3 设备参数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3  设备表和容量字段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设备表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设备类型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容量字段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特殊字段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diesel_generators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柴油发电机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capacity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kW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power_upper、power_lower、fuel_rate、惯量/调频参数等。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wind_turbines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风机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capacity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kW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cut_in_wind_speed、rated_wind_speed、cut_out_wind_speed。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photovoltaics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光伏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capacity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kW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按太阳辐射线性计算最大可发。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storage_pcs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储能 PCS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power_capacity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kW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充电效率、放电效率、是否构网、等效动态参数。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storage_battery_packs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储能电池组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battery_capacity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kWh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SOC 上限、SOC 下限、自损耗率。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hydrogen_electrolyzers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电制氢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power_capacity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kW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power_lower、电-氢效率。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hydrogen_tanks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储氢罐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hydrogen_tank_capacity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Nm3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自损耗率。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fuel_cells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燃料电池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power_capacity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kW</w:t>
            </w:r>
          </w:p>
        </w:tc>
        <w:tc>
          <w:tcPr>
            <w:tcW w:type="dxa" w:w="20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氢-电效率。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所有设备行均会生成整数建设台数变量，并读取 quantity_lower、quantity_upper、cost 和 design_life_years。年均建设成本系数按 cost / design_life_years 计算。</w:t>
      </w:r>
    </w:p>
    <w:p>
      <w:pPr>
        <w:spacing w:line="240" w:lineRule="auto" w:before="160" w:after="120"/>
        <w:ind w:firstLine="0"/>
        <w:jc w:val="left"/>
      </w:pPr>
      <w:r>
        <w:rPr>
          <w:rFonts w:ascii="黑体" w:hAnsi="黑体" w:eastAsia="黑体"/>
          <w:b/>
          <w:sz w:val="32"/>
        </w:rPr>
        <w:t>3. 优化问题类型和符号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当前后台建立混合整数线性规划问题，简称 MILP。连续变量用于功率、电量、氢储量、弃电率等；整数变量用于设备建设台数、柴发开机台数、电制氢开机台数、构网储能在线台数等；二进制变量主要用于储能充放电互斥和 SOC 阈值逻辑。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4  主要下标和集合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符号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t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小时序号，t = 1 ... T，正常全年 T = 8760。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i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设备表中的设备行。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D, W, PV, PCS, BAT, EL, HT, FC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柴油、风机、光伏、储能 PCS、电池、电制氢、储氢罐、燃料电池设备集合。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q_i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设备行 i 的建设台数整数变量。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5  主要运行变量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变量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diesel_power_t_i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i 行柴发第 t 小时总出力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连续变量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diesel_on_count_t_i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i 行柴发第 t 小时开机台数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整数变量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wind_power_t / wind_curtailed_t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风机总出力 / 弃风功率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连续变量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pv_power_t / pv_curtailed_t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光伏总出力 / 弃光功率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连续变量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renewable_curtailment_rate_t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同一小时风光统一弃电率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0-1 连续变量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storage_charge_t / storage_discharge_t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电储能充电 / 放电功率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连续变量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storage_charge_on_t / storage_discharge_on_t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储能充放电状态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二进制变量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storage_soc_t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电储能电量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连续变量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electrolyzer_power_t_i / electrolyzer_on_count_t_i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电制氢功率 / 开机台数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连续变量 / 整数变量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hydrogen_storage_t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储氢罐氢储量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连续变量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fuel_cell_power_t_i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燃料电池出力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连续变量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unmet_load_t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切负荷功率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连续变量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160" w:after="120"/>
        <w:ind w:firstLine="0"/>
        <w:jc w:val="left"/>
      </w:pPr>
      <w:r>
        <w:rPr>
          <w:rFonts w:ascii="黑体" w:hAnsi="黑体" w:eastAsia="黑体"/>
          <w:b/>
          <w:sz w:val="32"/>
        </w:rPr>
        <w:t>4. 目标函数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规划求解主目标是最小化年均建设成本和年柴油成本，并通过大惩罚尽量避免切负荷。后台还加入很小的开机台数惩罚，用于减少无意义的柴发或电制氢开机，但这些辅助惩罚不计入前端显示的年总成本。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min  Σ_i(q_i · cost_i / design_life_i) + diesel_price · Σ_tΣ_i(diesel_power_t_i · fuel_rate_i / 1000) + M_load · Σ_t unmet_load_t + ε_dg · Σ_tΣ_i diesel_on_count_t_i + ε_el · Σ_tΣ_i electrolyzer_on_count_t_i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6  目标函数项说明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代码常量或参数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年均建设成本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device.annual_cost = cost / design_life_years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所有设备建设台数乘年均成本。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年柴油成本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diesel_price × fuel_rate / 1000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柴油出力按油耗率换算为吨，再乘柴油价格。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切负荷惩罚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LOAD_SHED_PENALTY_COST = 1,000,000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极大惩罚，确保模型优先满足负荷。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柴发开机小惩罚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DIESEL_ON_COUNT_PENALTY = 0.0001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减少无意义柴发在线台数。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电制氢开机小惩罚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ELECTROLYZER_ON_COUNT_PENALTY = 0.00001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减少无意义制氢开机台数。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前端和结果文件中的“年总成本”只统计年均建设成本和年柴油成本，不包含切负荷惩罚和微小开机惩罚。</w:t>
      </w:r>
    </w:p>
    <w:p>
      <w:pPr>
        <w:spacing w:line="240" w:lineRule="auto" w:before="160" w:after="120"/>
        <w:ind w:firstLine="0"/>
        <w:jc w:val="left"/>
      </w:pPr>
      <w:r>
        <w:rPr>
          <w:rFonts w:ascii="黑体" w:hAnsi="黑体" w:eastAsia="黑体"/>
          <w:b/>
          <w:sz w:val="32"/>
        </w:rPr>
        <w:t>5. 优化约束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5.1 建设台数上下限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quantity_lower_i &lt;= q_i &lt;= quantity_upper_i,    q_i ∈ Z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规划求解中 q_i 是优化变量；方案评估中通过 fixed_quantity_payload() 把 quantity_lower_i 和 quantity_upper_i 同时固定为结果文件中的设计台数。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5.2 每小时电功率平衡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Σ diesel_power_t_i + wind_power_t + pv_power_t + storage_discharge_t + Σ fuel_cell_power_t_i + unmet_load_t - storage_charge_t - Σ electrolyzer_power_t_i = Load_t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切负荷变量 unmet_load_t 允许模型在极端情况下保持数学可行，但由于目标函数中有大惩罚，只有在物理供电能力或约束边界不足时才会出现。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5.3 风电最大可发、出力和弃风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风电最大可发由风速、切入风速、额定风速、切出风速和容量计算。当前实现使用分段近似功率曲线。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P_wind_unit(t,i) = 0,  v &lt; v_in 或 v &gt;= v_out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P_wind_unit(t,i) = C_i,  v &gt;= v_rated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P_wind_unit(t,i) = C_i · ((v - v_in)/(v_rated - v_in))^3,  其他情况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同一小时所有风机和光伏共用 renewable_curtailment_rate_t。对每个风机设备行，线性化变量 z_t_i 表示 q_i × renewable_curtailment_rate_t。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wind_power_t = Σ_i P_wind_unit(t,i) · (q_i - z_t_i)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wind_curtailed_t = Σ_i P_wind_unit(t,i) · z_t_i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5.4 光伏最大可发、出力和弃光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光伏最大可发按太阳辐射线性计算，并受装机容量截断，避免异常辐照度导致超过额定容量。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P_pv_unit(t,i) = min(C_i, C_i · max(0, G_t) / 1000)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pv_power_t = Σ_i P_pv_unit(t,i) · (q_i - z_t_i)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pv_curtailed_t = Σ_i P_pv_unit(t,i) · z_t_i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统一弃电率约束用于避免同一小时内不同风光设备任意分摊弃电，且不需要对每台候选设备引入单台级二进制变量。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5.5 柴发启停和上下限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diesel_on_count_t_i &lt;= q_dg_i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power_lower_i · diesel_on_count_t_i &lt;= diesel_power_t_i &lt;= power_upper_i · diesel_on_count_t_i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diesel_on_count_t_i 是台数级整数变量，不是每台设备单独一个二进制变量。该处理降低变量规模，同时保留开机台数和出力上下限约束。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5.6 电制氢启停和上下限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electrolyzer_on_count_t_i &lt;= q_el_i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power_lower_i · electrolyzer_on_count_t_i &lt;= electrolyzer_power_t_i &lt;= capacity_i · electrolyzer_on_count_t_i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电制氢开机后必须满足功率下限，因此小规模富余新能源可能不足以启动制氢设备。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5.7 燃料电池出力约束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0 &lt;= fuel_cell_power_t_i &lt;= power_capacity_i · q_fc_i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燃料电池出力还受到氢储动态约束约束，即必须有足够氢气可供消耗。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5.8 储能 PCS、充放电互斥和 SOC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storage_charge_t &lt;= Σ_i q_pcs_i · power_capacity_i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storage_discharge_t &lt;= Σ_i q_pcs_i · power_capacity_i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storage_charge_on_t + storage_discharge_on_t &lt;= 1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storage_charge_t &lt;= M_pcs · storage_charge_on_t,    storage_discharge_t &lt;= M_pcs · storage_discharge_on_t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储能 SOC 动态考虑充放电效率和自损耗。首小时使用初始 SOC，之后逐小时递推。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SOC_t - retention · SOC_(t-1) - η_charge · charge_t + discharge_t / η_discharge = 0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SOC_day_end = initial_storage_soc_ratio · Σ_i(q_bat_i · battery_capacity_i)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每天最后一个小时加入日循环约束，使电储能日末回到初始 SOC 比例。SOC 上下限还通过 Big-M 阈值变量控制：SOC 到下限附近不能放电，SOC 到上限附近不能充电。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5.9 氢储动态和全年循环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hydrogen_storage_t - retention · hydrogen_storage_(t-1) - Σ electrolyzer_power_t_i · η_e2h_i + Σ fuel_cell_power_t_i / η_h2e_i = 0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hydrogen_storage_T = initial_hydrogen_storage_ratio · Σ_i(q_ht_i · hydrogen_tank_capacity_i)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电制氢增加氢储量，燃料电池消耗氢储量，储氢罐自损耗按小时 retention 系数进入递推。期末约束避免模型透支年末氢储来降低柴油消耗。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5.10 构网储能在线和基础支撑约束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Σ_i diesel_on_count_t_i + Σ_j grid_storage_on_count_t_j &gt;= 1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若存在柴发或构网储能，每个小时至少需要一个可调资源在线。构网储能在线台数不能超过对应建设台数，且只有 is_grid_forming = 1 的储能 PCS 参与该类约束。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5.11 扰动后平衡约束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当 post_disturbance_power_balance_enabled = 1 时，每个小时加入上下调节能力约束。跟网储能不参与电网调节能力；构网储能还会受 SOC 阈值限制。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上调能力 = 柴发开机容量 - 柴发实时出力 + 构网储能向上容量 - 构网储能实时净出力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上调需求 = load_t · load_up_factor + (wind_power_t + pv_power_t) · renewable_down_factor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上调能力 &gt;= 上调需求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下调能力 &gt;= load_t · load_down_factor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结果曲线中下调需求和下调能力按负方向显示，便于与上调曲线区分；约束内部仍以线性不等式表达。</w:t>
      </w:r>
    </w:p>
    <w:p>
      <w:pPr>
        <w:spacing w:line="240" w:lineRule="auto" w:before="120" w:after="100"/>
        <w:ind w:firstLine="0"/>
        <w:jc w:val="left"/>
      </w:pPr>
      <w:r>
        <w:rPr>
          <w:rFonts w:ascii="黑体" w:hAnsi="黑体" w:eastAsia="黑体"/>
          <w:b/>
          <w:sz w:val="26"/>
        </w:rPr>
        <w:t>5.12 绿色电量占比约束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绿色电量 = Σ_t(wind_power_t + pv_power_t + storage_discharge_t + Σ_i fuel_cell_power_t_i)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柴油电量 = Σ_tΣ_i diesel_power_t_i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绿色电量 &gt;= (绿色电量 + 柴油电量) · green_power_ratio_lower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(1-r) · 绿色电量 - r · 柴油电量 &gt;= 0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该约束采用线性形式进入 MILP。当前口径中，电储能放电和燃料电池发电计入绿色电量。</w:t>
      </w:r>
    </w:p>
    <w:p>
      <w:pPr>
        <w:spacing w:line="240" w:lineRule="auto" w:before="160" w:after="120"/>
        <w:ind w:firstLine="0"/>
        <w:jc w:val="left"/>
      </w:pPr>
      <w:r>
        <w:rPr>
          <w:rFonts w:ascii="黑体" w:hAnsi="黑体" w:eastAsia="黑体"/>
          <w:b/>
          <w:sz w:val="32"/>
        </w:rPr>
        <w:t>6. 快速可行性预检查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快速预检查在正式启动求解器前执行，用于提前拦截必然不可行的输入组合。预检查不是完整可行性证明；通过预检查后，仍由 MILP 求解器检查全部约束。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7  快速预检查规则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处理方式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绿电比例下无风光建设能力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绿色电量占比下限 &gt; 0 且风机、光伏可建设容量为 0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直接返回中文错误。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年度风光最大可发不足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风光最大可发电量 &lt; 负荷电量 × 绿色电量占比下限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返回可达到占比和要求占比。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单小时最大供电不足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任一小时风光最大可发 + 柴发最大可发 &lt; 负荷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返回小时序号、最大供电和负荷。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储氢自损耗不可补偿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初始氢储 &gt; 0、储氢有下限且自损耗 &gt; 0，但电制氢上限为 0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提示调整储氢下限、电制氢上限或自损耗率。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电储自损耗不可补偿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初始电储 &gt; 0、电池有下限且自损耗 &gt; 0，但储能 PCS 上限为 0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提示调整电池下限、PCS 上限或自损耗率。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160" w:after="120"/>
        <w:ind w:firstLine="0"/>
        <w:jc w:val="left"/>
      </w:pPr>
      <w:r>
        <w:rPr>
          <w:rFonts w:ascii="黑体" w:hAnsi="黑体" w:eastAsia="黑体"/>
          <w:b/>
          <w:sz w:val="32"/>
        </w:rPr>
        <w:t>7. 求解算法和求解器接口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MILP 模型由 dispatch_milp.MilpModelBuilder 增量构建。该构建器统一维护变量索引、目标函数系数、变量上下界、整数标记和稀疏线性约束矩阵。求解时，模型被转换为目标向量 c、变量上下界 l/u、整数标记 integrality、稀疏约束矩阵 A 以及约束上下界 lb/ub。</w:t>
      </w:r>
    </w:p>
    <w:p>
      <w:pPr>
        <w:spacing w:line="240" w:lineRule="auto" w:before="0" w:after="80"/>
        <w:ind w:firstLine="0"/>
        <w:jc w:val="center"/>
      </w:pPr>
      <w:r>
        <w:rPr>
          <w:rFonts w:ascii="Consolas" w:hAnsi="Consolas" w:eastAsia="Consolas"/>
          <w:b w:val="0"/>
          <w:sz w:val="21"/>
        </w:rPr>
        <w:t>min c^T x,    lb &lt;= A x &lt;= ub,    l &lt;= x &lt;= u,    x_j ∈ Z for integer variables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8  求解器选择策略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solver 参数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调用策略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auto 或空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依次尝试 Gurobi -&gt; CPLEX -&gt; MOSEK -&gt; SciPy/HiGHS。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gurobi / grb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只调用 Gurobi。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cplex / cplx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只调用 CPLEX。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mosek / msk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只调用 MOSEK。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scipy / highs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调用 scipy.optimize.milp / HiGHS。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默认求解参数包括 time_limit 和 mip_rel_gap=0.01。Gurobi 回调会把节点数、可行解、当前最优、最优界和 MIP gap 等信息转发到前端日志；CPLEX、MOSEK 和 SciPy 也通过日志流或结果对象返回状态。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如果求解器达到时间上限，milp_solver 会识别 time limit / timeout 等状态文本，并由 plan_optimizer.raise_if_solver_timed_out() 转换为 CalculationTimeoutError，前端任务状态显示为“计算超时”。如果求解器未声明最优但返回了可行解，程序会保留可行解并写入警告日志。</w:t>
      </w:r>
    </w:p>
    <w:p>
      <w:pPr>
        <w:spacing w:line="240" w:lineRule="auto" w:before="160" w:after="120"/>
        <w:ind w:firstLine="0"/>
        <w:jc w:val="left"/>
      </w:pPr>
      <w:r>
        <w:rPr>
          <w:rFonts w:ascii="黑体" w:hAnsi="黑体" w:eastAsia="黑体"/>
          <w:b/>
          <w:sz w:val="32"/>
        </w:rPr>
        <w:t>8. 输出结果</w:t>
      </w: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求解完成后，后台生成规划结果、8760 点调度曲线、日级统计、月度统计、年度指标、经济性指标、安全性指标和运行日志，并写入结果工作簿。规划求解默认文件名为 opt_results.xlsx；方案评估会覆盖当前选中的 xxx_results.xlsx。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9  主要输出内容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主要字段或含义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规划结果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设备类型、名称、设计台数、单台容量、总容量、单位。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小时级曲线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负荷、柴发、风机、光伏、储能、制氢、储氢、燃料电池、弃电、切负荷、扰动需求和调节能力等。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日级/月度统计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负荷电量、柴发电量、风光发电量、储能充放电、电制氢用电、氢储变化、燃料电池发电、弃电和切负荷。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年度指标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年总成本、年均建设成本、年柴油成本、柴油消耗、度电成本、绿电占比、新能源弃电率等。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安全性指标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当前主要基于切负荷、调节能力曲线和基础频率摘要输出。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运行日志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输入摘要、设备摘要、模型规模、求解器状态、成本汇总、容量结果和文件写入提示。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160" w:after="120"/>
        <w:ind w:firstLine="0"/>
        <w:jc w:val="left"/>
      </w:pPr>
      <w:r>
        <w:rPr>
          <w:rFonts w:ascii="黑体" w:hAnsi="黑体" w:eastAsia="黑体"/>
          <w:b/>
          <w:sz w:val="32"/>
        </w:rPr>
        <w:t>9. 当前实现边界和注意事项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10  当前实现边界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主题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当前实现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后续扩展方向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设备台数建模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柴发、电制氢、构网储能等采用台数级整数变量，避免对每台候选设备引入 0/1 变量。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若需要单机级启停轨迹，可重新扩展单机变量。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风光弃电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同一小时所有风光行使用统一弃电率，采用 q_i × rate_t 线性化。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若需要每台设备完全独立弃电，可增加更细粒度变量。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储能模型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PCS 功率和电池能量聚合建模，不强制 PCS 与电池型号一一绑定。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可扩展为 PCS-电池组合约束。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频率安全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代码中已有频率摘要输出；严格动态频率约束尚未作为完整 MILP 约束进入 plan_optimizer。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可加入 RoCoF、Nadir、稳态频率线性化约束。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扰动后平衡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已按负荷和新能源扰动系数加入上下调节能力约束。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可进一步加入新能源 N-1 单机精确约束。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求解性能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采用台数级整数、统一弃电率、稀疏矩阵和多求解器适配提升性能。</w:t>
            </w:r>
          </w:p>
        </w:tc>
        <w:tc>
          <w:tcPr>
            <w:tcW w:type="dxa" w:w="33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可加入滚动时域、分解算法或 warm start。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p>
      <w:pPr>
        <w:spacing w:line="240" w:lineRule="auto" w:before="0" w:after="60"/>
        <w:ind w:firstLine="480"/>
        <w:jc w:val="both"/>
      </w:pPr>
      <w:r>
        <w:rPr>
          <w:rFonts w:ascii="宋体" w:hAnsi="宋体" w:eastAsia="宋体"/>
          <w:b w:val="0"/>
          <w:sz w:val="24"/>
        </w:rPr>
        <w:t>因此，当前后台算法已经把规划求解和方案评估统一到同一套 MILP 框架中，重点保障建设台数、8760 小时运行调度、储能、氢能、弃电、切负荷、绿电比例和扰动后平衡的一致建模。频率安全的严格动态约束仍属于后续可扩展方向。</w:t>
      </w:r>
    </w:p>
    <w:p>
      <w:pPr>
        <w:spacing w:line="240" w:lineRule="auto" w:before="160" w:after="120"/>
        <w:ind w:firstLine="0"/>
        <w:jc w:val="left"/>
      </w:pPr>
      <w:r>
        <w:rPr>
          <w:rFonts w:ascii="黑体" w:hAnsi="黑体" w:eastAsia="黑体"/>
          <w:b/>
          <w:sz w:val="32"/>
        </w:rPr>
        <w:t>10. 关键函数索引</w:t>
      </w:r>
    </w:p>
    <w:p>
      <w:pPr>
        <w:spacing w:line="240" w:lineRule="auto" w:before="0" w:after="80"/>
        <w:ind w:firstLine="0"/>
        <w:jc w:val="center"/>
      </w:pPr>
      <w:r>
        <w:rPr>
          <w:rFonts w:ascii="黑体" w:hAnsi="黑体" w:eastAsia="黑体"/>
          <w:b w:val="0"/>
          <w:sz w:val="21"/>
        </w:rPr>
        <w:t>表 11  关键函数索引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函数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plan_optimizer.run_optimization()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规划求解总入口，负责建模、求解和结果整理。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plan_optimizer.build_planning_model()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读取并归一化方案参数、设备行和时序数据。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plan_optimizer.solve_planning_model()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创建变量、添加约束、调用求解器。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estimate.fixed_quantity_payload()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将方案评估结果台数转为固定上下限。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dispatch_milp.MilpModelBuilder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统一管理变量、目标、上下界、整数标记和稀疏约束。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dispatch_milp.add_power_balance_constraint()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添加每小时功率平衡约束。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dispatch_milp.add_storage_constraints()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添加储能功率、SOC、充放电互斥和阈值逻辑。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dispatch_milp.add_hydrogen_constraints()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添加制氢、储氢、燃料电池消耗和氢储动态约束。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dispatch_milp.add_post_disturbance_balance_constraints()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添加扰动后上下调节能力约束。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dispatch_milp.add_green_ratio_constraint()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添加全年绿色电量占比约束。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milp_solver.solve_milp()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按配置或自动顺序调用 Gurobi、CPLEX、MOSEK、SciPy。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calculation_precheck.validate_optimization_fast_feasibility()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规划求解启动前快速可行性预检查。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calculation_precheck.validate_evaluation_fast_feasibility()</w:t>
            </w:r>
          </w:p>
        </w:tc>
        <w:tc>
          <w:tcPr>
            <w:tcW w:type="dxa" w:w="508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方案评估启动前快速可行性预检查。</w:t>
            </w:r>
          </w:p>
        </w:tc>
      </w:tr>
    </w:tbl>
    <w:p>
      <w:pPr>
        <w:spacing w:line="240" w:lineRule="auto" w:before="0" w:after="60"/>
        <w:ind w:firstLine="0"/>
        <w:jc w:val="both"/>
      </w:pP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