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eastAsia="黑体"/>
          <w:b/>
          <w:color w:val="0F172A"/>
          <w:sz w:val="48"/>
        </w:rPr>
        <w:t>考察站风-光-氢-储-柴联合规划系统</w:t>
        <w:br/>
      </w:r>
      <w:r>
        <w:rPr>
          <w:rFonts w:ascii="Arial" w:hAnsi="Arial" w:eastAsia="黑体"/>
          <w:b/>
          <w:color w:val="0F172A"/>
          <w:sz w:val="48"/>
        </w:rPr>
        <w:t>模型与算法说明</w:t>
        <w:br/>
      </w:r>
    </w:p>
    <w:p>
      <w:pPr>
        <w:spacing w:before="560"/>
        <w:jc w:val="center"/>
      </w:pPr>
      <w:r>
        <w:rPr>
          <w:rFonts w:ascii="Times New Roman" w:hAnsi="Times New Roman" w:eastAsia="宋体"/>
          <w:color w:val="374151"/>
          <w:sz w:val="28"/>
        </w:rPr>
        <w:t>模型范围：规划求解、方案评估、结果输出与任务并发</w:t>
        <w:br/>
      </w:r>
      <w:r>
        <w:rPr>
          <w:rFonts w:ascii="Times New Roman" w:hAnsi="Times New Roman" w:eastAsia="宋体"/>
          <w:color w:val="374151"/>
          <w:sz w:val="28"/>
        </w:rPr>
        <w:t>公式组织形式：LaTeX 公式块</w:t>
        <w:br/>
      </w:r>
      <w:r>
        <w:rPr>
          <w:rFonts w:ascii="Times New Roman" w:hAnsi="Times New Roman" w:eastAsia="宋体"/>
          <w:color w:val="374151"/>
          <w:sz w:val="24"/>
        </w:rPr>
        <w:t>生成日期：2026年5月25日</w:t>
        <w:br/>
      </w:r>
    </w:p>
    <w:p>
      <w:pPr>
        <w:spacing w:before="80" w:after="40"/>
      </w:pPr>
      <w:r>
        <w:rPr>
          <w:rFonts w:ascii="Times New Roman" w:hAnsi="Times New Roman" w:eastAsia="黑体"/>
          <w:b/>
          <w:color w:val="1F4E79"/>
          <w:sz w:val="21"/>
        </w:rPr>
        <w:t>核心问题概览</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\min \; C_{ann}+C_{diesel}+\lambda_{shed}\sum_{t\in\mathcal{T}}L^{shed}_t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目录</w:t>
      </w:r>
    </w:p>
    <w:p>
      <w:pPr>
        <w:spacing w:line="240" w:lineRule="auto" w:after="100"/>
        <w:ind w:firstLine="480"/>
        <w:jc w:val="both"/>
      </w:pPr>
      <w:r>
        <w:rPr>
          <w:rFonts w:ascii="Times New Roman" w:hAnsi="Times New Roman" w:eastAsia="宋体"/>
          <w:sz w:val="24"/>
        </w:rPr>
        <w:t>本文档面向系统维护人员、算法工程师和规划业务人员，说明后台规划求解与方案评估中使用的统一混合整数线性规划模型。目录按建模逻辑组织，从输入数据、变量、目标函数、约束条件，到求解器适配、结果输出和可扩展方向逐层展开。</w:t>
      </w:r>
    </w:p>
    <w:p>
      <w:pPr>
        <w:jc w:val="center"/>
      </w:pPr>
      <w:r>
        <w:rPr>
          <w:rFonts w:ascii="Times New Roman" w:hAnsi="Times New Roman" w:eastAsia="黑体"/>
          <w:b/>
          <w:color w:val="374151"/>
          <w:sz w:val="21"/>
        </w:rPr>
        <w:t>表1 文档结构与阅读路径</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章节</w:t>
            </w:r>
          </w:p>
        </w:tc>
        <w:tc>
          <w:tcPr>
            <w:tcW w:type="dxa" w:w="3099"/>
            <w:vAlign w:val="center"/>
            <w:shd w:fill="E8EEF7"/>
          </w:tcPr>
          <w:p>
            <w:pPr>
              <w:jc w:val="center"/>
            </w:pPr>
            <w:r/>
            <w:r>
              <w:rPr>
                <w:rFonts w:ascii="Times New Roman" w:hAnsi="Times New Roman" w:eastAsia="宋体"/>
                <w:b/>
                <w:sz w:val="21"/>
              </w:rPr>
              <w:t>主题</w:t>
            </w:r>
          </w:p>
        </w:tc>
        <w:tc>
          <w:tcPr>
            <w:tcW w:type="dxa" w:w="3099"/>
            <w:vAlign w:val="center"/>
            <w:shd w:fill="E8EEF7"/>
          </w:tcPr>
          <w:p>
            <w:pPr>
              <w:jc w:val="center"/>
            </w:pPr>
            <w:r/>
            <w:r>
              <w:rPr>
                <w:rFonts w:ascii="Times New Roman" w:hAnsi="Times New Roman" w:eastAsia="宋体"/>
                <w:b/>
                <w:sz w:val="21"/>
              </w:rPr>
              <w:t>说明</w:t>
            </w:r>
          </w:p>
        </w:tc>
      </w:tr>
      <w:tr>
        <w:tc>
          <w:tcPr>
            <w:tcW w:type="dxa" w:w="3099"/>
            <w:vAlign w:val="center"/>
          </w:tcPr>
          <w:p>
            <w:pPr>
              <w:jc w:val="center"/>
            </w:pPr>
            <w:r/>
            <w:r>
              <w:rPr>
                <w:rFonts w:ascii="Times New Roman" w:hAnsi="Times New Roman" w:eastAsia="宋体"/>
                <w:b w:val="0"/>
                <w:sz w:val="21"/>
              </w:rPr>
              <w:t>1-4</w:t>
            </w:r>
          </w:p>
        </w:tc>
        <w:tc>
          <w:tcPr>
            <w:tcW w:type="dxa" w:w="3099"/>
            <w:vAlign w:val="center"/>
          </w:tcPr>
          <w:p>
            <w:pPr>
              <w:jc w:val="left"/>
            </w:pPr>
            <w:r/>
            <w:r>
              <w:rPr>
                <w:rFonts w:ascii="Times New Roman" w:hAnsi="Times New Roman" w:eastAsia="宋体"/>
                <w:b w:val="0"/>
                <w:sz w:val="21"/>
              </w:rPr>
              <w:t>范围、集合、输入</w:t>
            </w:r>
          </w:p>
        </w:tc>
        <w:tc>
          <w:tcPr>
            <w:tcW w:type="dxa" w:w="3099"/>
            <w:vAlign w:val="center"/>
          </w:tcPr>
          <w:p>
            <w:pPr>
              <w:jc w:val="left"/>
            </w:pPr>
            <w:r/>
            <w:r>
              <w:rPr>
                <w:rFonts w:ascii="Times New Roman" w:hAnsi="Times New Roman" w:eastAsia="宋体"/>
                <w:b w:val="0"/>
                <w:sz w:val="21"/>
              </w:rPr>
              <w:t>定义模型边界、时间下标、设备集合和数据预处理方式。</w:t>
            </w:r>
          </w:p>
        </w:tc>
      </w:tr>
      <w:tr>
        <w:tc>
          <w:tcPr>
            <w:tcW w:type="dxa" w:w="3099"/>
            <w:vAlign w:val="center"/>
          </w:tcPr>
          <w:p>
            <w:pPr>
              <w:jc w:val="center"/>
            </w:pPr>
            <w:r/>
            <w:r>
              <w:rPr>
                <w:rFonts w:ascii="Times New Roman" w:hAnsi="Times New Roman" w:eastAsia="宋体"/>
                <w:b w:val="0"/>
                <w:sz w:val="21"/>
              </w:rPr>
              <w:t>5-10</w:t>
            </w:r>
          </w:p>
        </w:tc>
        <w:tc>
          <w:tcPr>
            <w:tcW w:type="dxa" w:w="3099"/>
            <w:vAlign w:val="center"/>
          </w:tcPr>
          <w:p>
            <w:pPr>
              <w:jc w:val="left"/>
            </w:pPr>
            <w:r/>
            <w:r>
              <w:rPr>
                <w:rFonts w:ascii="Times New Roman" w:hAnsi="Times New Roman" w:eastAsia="宋体"/>
                <w:b w:val="0"/>
                <w:sz w:val="21"/>
              </w:rPr>
              <w:t>变量与目标</w:t>
            </w:r>
          </w:p>
        </w:tc>
        <w:tc>
          <w:tcPr>
            <w:tcW w:type="dxa" w:w="3099"/>
            <w:vAlign w:val="center"/>
          </w:tcPr>
          <w:p>
            <w:pPr>
              <w:jc w:val="left"/>
            </w:pPr>
            <w:r/>
            <w:r>
              <w:rPr>
                <w:rFonts w:ascii="Times New Roman" w:hAnsi="Times New Roman" w:eastAsia="宋体"/>
                <w:b w:val="0"/>
                <w:sz w:val="21"/>
              </w:rPr>
              <w:t>说明建设变量、运行变量、目标函数和成本统计口径。</w:t>
            </w:r>
          </w:p>
        </w:tc>
      </w:tr>
      <w:tr>
        <w:tc>
          <w:tcPr>
            <w:tcW w:type="dxa" w:w="3099"/>
            <w:vAlign w:val="center"/>
          </w:tcPr>
          <w:p>
            <w:pPr>
              <w:jc w:val="center"/>
            </w:pPr>
            <w:r/>
            <w:r>
              <w:rPr>
                <w:rFonts w:ascii="Times New Roman" w:hAnsi="Times New Roman" w:eastAsia="宋体"/>
                <w:b w:val="0"/>
                <w:sz w:val="21"/>
              </w:rPr>
              <w:t>11-18</w:t>
            </w:r>
          </w:p>
        </w:tc>
        <w:tc>
          <w:tcPr>
            <w:tcW w:type="dxa" w:w="3099"/>
            <w:vAlign w:val="center"/>
          </w:tcPr>
          <w:p>
            <w:pPr>
              <w:jc w:val="left"/>
            </w:pPr>
            <w:r/>
            <w:r>
              <w:rPr>
                <w:rFonts w:ascii="Times New Roman" w:hAnsi="Times New Roman" w:eastAsia="宋体"/>
                <w:b w:val="0"/>
                <w:sz w:val="21"/>
              </w:rPr>
              <w:t>运行约束</w:t>
            </w:r>
          </w:p>
        </w:tc>
        <w:tc>
          <w:tcPr>
            <w:tcW w:type="dxa" w:w="3099"/>
            <w:vAlign w:val="center"/>
          </w:tcPr>
          <w:p>
            <w:pPr>
              <w:jc w:val="left"/>
            </w:pPr>
            <w:r/>
            <w:r>
              <w:rPr>
                <w:rFonts w:ascii="Times New Roman" w:hAnsi="Times New Roman" w:eastAsia="宋体"/>
                <w:b w:val="0"/>
                <w:sz w:val="21"/>
              </w:rPr>
              <w:t>覆盖功率平衡、风光出力、弃电、柴发、储能、氢能和绿色电量占比约束。</w:t>
            </w:r>
          </w:p>
        </w:tc>
      </w:tr>
      <w:tr>
        <w:tc>
          <w:tcPr>
            <w:tcW w:type="dxa" w:w="3099"/>
            <w:vAlign w:val="center"/>
          </w:tcPr>
          <w:p>
            <w:pPr>
              <w:jc w:val="center"/>
            </w:pPr>
            <w:r/>
            <w:r>
              <w:rPr>
                <w:rFonts w:ascii="Times New Roman" w:hAnsi="Times New Roman" w:eastAsia="宋体"/>
                <w:b w:val="0"/>
                <w:sz w:val="21"/>
              </w:rPr>
              <w:t>19-24</w:t>
            </w:r>
          </w:p>
        </w:tc>
        <w:tc>
          <w:tcPr>
            <w:tcW w:type="dxa" w:w="3099"/>
            <w:vAlign w:val="center"/>
          </w:tcPr>
          <w:p>
            <w:pPr>
              <w:jc w:val="left"/>
            </w:pPr>
            <w:r/>
            <w:r>
              <w:rPr>
                <w:rFonts w:ascii="Times New Roman" w:hAnsi="Times New Roman" w:eastAsia="宋体"/>
                <w:b w:val="0"/>
                <w:sz w:val="21"/>
              </w:rPr>
              <w:t>安全与求解</w:t>
            </w:r>
          </w:p>
        </w:tc>
        <w:tc>
          <w:tcPr>
            <w:tcW w:type="dxa" w:w="3099"/>
            <w:vAlign w:val="center"/>
          </w:tcPr>
          <w:p>
            <w:pPr>
              <w:jc w:val="left"/>
            </w:pPr>
            <w:r/>
            <w:r>
              <w:rPr>
                <w:rFonts w:ascii="Times New Roman" w:hAnsi="Times New Roman" w:eastAsia="宋体"/>
                <w:b w:val="0"/>
                <w:sz w:val="21"/>
              </w:rPr>
              <w:t>覆盖扰动后平衡、预检查、求解器适配、日志和任务状态。</w:t>
            </w:r>
          </w:p>
        </w:tc>
      </w:tr>
      <w:tr>
        <w:tc>
          <w:tcPr>
            <w:tcW w:type="dxa" w:w="3099"/>
            <w:vAlign w:val="center"/>
          </w:tcPr>
          <w:p>
            <w:pPr>
              <w:jc w:val="center"/>
            </w:pPr>
            <w:r/>
            <w:r>
              <w:rPr>
                <w:rFonts w:ascii="Times New Roman" w:hAnsi="Times New Roman" w:eastAsia="宋体"/>
                <w:b w:val="0"/>
                <w:sz w:val="21"/>
              </w:rPr>
              <w:t>25-29</w:t>
            </w:r>
          </w:p>
        </w:tc>
        <w:tc>
          <w:tcPr>
            <w:tcW w:type="dxa" w:w="3099"/>
            <w:vAlign w:val="center"/>
          </w:tcPr>
          <w:p>
            <w:pPr>
              <w:jc w:val="left"/>
            </w:pPr>
            <w:r/>
            <w:r>
              <w:rPr>
                <w:rFonts w:ascii="Times New Roman" w:hAnsi="Times New Roman" w:eastAsia="宋体"/>
                <w:b w:val="0"/>
                <w:sz w:val="21"/>
              </w:rPr>
              <w:t>输出与扩展</w:t>
            </w:r>
          </w:p>
        </w:tc>
        <w:tc>
          <w:tcPr>
            <w:tcW w:type="dxa" w:w="3099"/>
            <w:vAlign w:val="center"/>
          </w:tcPr>
          <w:p>
            <w:pPr>
              <w:jc w:val="left"/>
            </w:pPr>
            <w:r/>
            <w:r>
              <w:rPr>
                <w:rFonts w:ascii="Times New Roman" w:hAnsi="Times New Roman" w:eastAsia="宋体"/>
                <w:b w:val="0"/>
                <w:sz w:val="21"/>
              </w:rPr>
              <w:t>说明输出曲线、统计指标、结果文件、性能优化和后续扩展。</w:t>
            </w:r>
          </w:p>
        </w:tc>
      </w:tr>
    </w:tbl>
    <w:p/>
    <w:p>
      <w:r>
        <w:br w:type="page"/>
      </w:r>
    </w:p>
    <w:p>
      <w:pPr>
        <w:pStyle w:val="Heading1"/>
      </w:pPr>
      <w:r>
        <w:rPr>
          <w:rFonts w:ascii="Arial" w:hAnsi="Arial" w:eastAsia="黑体"/>
          <w:b/>
          <w:color w:val="0F172A"/>
          <w:sz w:val="36"/>
        </w:rPr>
        <w:t>1 系统模型边界</w:t>
      </w:r>
    </w:p>
    <w:p>
      <w:pPr>
        <w:spacing w:line="240" w:lineRule="auto" w:after="100"/>
        <w:ind w:firstLine="480"/>
        <w:jc w:val="both"/>
      </w:pPr>
      <w:r>
        <w:rPr>
          <w:rFonts w:ascii="Times New Roman" w:hAnsi="Times New Roman" w:eastAsia="宋体"/>
          <w:sz w:val="24"/>
        </w:rPr>
        <w:t>系统面向离网或弱联网考察站电力系统规划，统一考虑柴油发电机、风机、光伏、储能PCS、储能电池组、电制氢、储氢罐和燃料电池。模型同时覆盖建设台数选择和8760小时运行调度，因此属于年尺度容量规划与运行优化一体化模型。</w:t>
      </w:r>
    </w:p>
    <w:p>
      <w:pPr>
        <w:spacing w:line="240" w:lineRule="auto" w:after="100"/>
        <w:ind w:firstLine="480"/>
        <w:jc w:val="both"/>
      </w:pPr>
      <w:r>
        <w:rPr>
          <w:rFonts w:ascii="Times New Roman" w:hAnsi="Times New Roman" w:eastAsia="宋体"/>
          <w:sz w:val="24"/>
        </w:rPr>
        <w:t>规划求解和方案评估采用同一套建模内核。规划求解允许设备台数在上下限范围内优化；方案评估则把结果文件中的设计台数固定为上下限相等的常数，再复用相同的调度、储能、氢能、弃电和扰动后平衡约束。</w:t>
      </w:r>
    </w:p>
    <w:p>
      <w:pPr>
        <w:spacing w:line="240" w:lineRule="auto" w:after="100"/>
        <w:ind w:firstLine="480"/>
        <w:jc w:val="both"/>
      </w:pPr>
      <w:r>
        <w:rPr>
          <w:rFonts w:ascii="Times New Roman" w:hAnsi="Times New Roman" w:eastAsia="宋体"/>
          <w:sz w:val="24"/>
        </w:rPr>
        <w:t>模型以小时为基本时间步长，默认一年8760个时段。所有能量统计均由小时功率积分得到，在1小时步长下，kW的逐小时求和可直接解释为kWh。</w:t>
      </w:r>
    </w:p>
    <w:p>
      <w:pPr>
        <w:pStyle w:val="ListBullet"/>
        <w:spacing w:line="240" w:lineRule="auto" w:after="60"/>
      </w:pPr>
      <w:r>
        <w:rPr>
          <w:rFonts w:ascii="Times New Roman" w:hAnsi="Times New Roman" w:eastAsia="宋体"/>
          <w:sz w:val="24"/>
        </w:rPr>
        <w:t>后台主要入口：plan_optimizer.run_optimization() 与 estimate.run_estimation()。</w:t>
      </w:r>
    </w:p>
    <w:p>
      <w:pPr>
        <w:pStyle w:val="ListBullet"/>
        <w:spacing w:line="240" w:lineRule="auto" w:after="60"/>
      </w:pPr>
      <w:r>
        <w:rPr>
          <w:rFonts w:ascii="Times New Roman" w:hAnsi="Times New Roman" w:eastAsia="宋体"/>
          <w:sz w:val="24"/>
        </w:rPr>
        <w:t>公共建模工具：dispatch_milp.MilpModelBuilder 负责变量、目标、上下界和稀疏约束矩阵。</w:t>
      </w:r>
    </w:p>
    <w:p>
      <w:pPr>
        <w:pStyle w:val="ListBullet"/>
        <w:spacing w:line="240" w:lineRule="auto" w:after="60"/>
      </w:pPr>
      <w:r>
        <w:rPr>
          <w:rFonts w:ascii="Times New Roman" w:hAnsi="Times New Roman" w:eastAsia="宋体"/>
          <w:sz w:val="24"/>
        </w:rPr>
        <w:t>求解器适配：milp_solver.solve_milp() 支持 Gurobi、CPLEX、MOSEK 和 SciPy。</w:t>
      </w:r>
    </w:p>
    <w:p>
      <w:pPr>
        <w:spacing w:before="80" w:after="40"/>
      </w:pPr>
      <w:r>
        <w:rPr>
          <w:rFonts w:ascii="Times New Roman" w:hAnsi="Times New Roman" w:eastAsia="黑体"/>
          <w:b/>
          <w:color w:val="1F4E79"/>
          <w:sz w:val="21"/>
        </w:rPr>
        <w:t>统一优化问题</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\begin{aligned}</w:t>
      </w:r>
    </w:p>
    <w:p>
      <w:pPr>
        <w:spacing w:before="20" w:after="20"/>
        <w:jc w:val="center"/>
        <w:shd w:fill="F5F7FA"/>
      </w:pPr>
      <w:r>
        <w:rPr>
          <w:rFonts w:ascii="Consolas" w:hAnsi="Consolas" w:eastAsia="Cambria Math"/>
          <w:color w:val="14253F"/>
          <w:sz w:val="21"/>
        </w:rPr>
        <w:t>\min_{q,x,u} \quad &amp; f(q,x,u) \\</w:t>
      </w:r>
    </w:p>
    <w:p>
      <w:pPr>
        <w:spacing w:before="20" w:after="20"/>
        <w:jc w:val="center"/>
        <w:shd w:fill="F5F7FA"/>
      </w:pPr>
      <w:r>
        <w:rPr>
          <w:rFonts w:ascii="Consolas" w:hAnsi="Consolas" w:eastAsia="Cambria Math"/>
          <w:color w:val="14253F"/>
          <w:sz w:val="21"/>
        </w:rPr>
        <w:t>\text{s.t.}\quad &amp; A x + B q + D u \le b, \\</w:t>
      </w:r>
    </w:p>
    <w:p>
      <w:pPr>
        <w:spacing w:before="20" w:after="20"/>
        <w:jc w:val="center"/>
        <w:shd w:fill="F5F7FA"/>
      </w:pPr>
      <w:r>
        <w:rPr>
          <w:rFonts w:ascii="Consolas" w:hAnsi="Consolas" w:eastAsia="Cambria Math"/>
          <w:color w:val="14253F"/>
          <w:sz w:val="21"/>
        </w:rPr>
        <w:t>&amp; A_{eq}x + B_{eq}q + D_{eq}u = b_{eq}, \\</w:t>
      </w:r>
    </w:p>
    <w:p>
      <w:pPr>
        <w:spacing w:before="20" w:after="20"/>
        <w:jc w:val="center"/>
        <w:shd w:fill="F5F7FA"/>
      </w:pPr>
      <w:r>
        <w:rPr>
          <w:rFonts w:ascii="Consolas" w:hAnsi="Consolas" w:eastAsia="Cambria Math"/>
          <w:color w:val="14253F"/>
          <w:sz w:val="21"/>
        </w:rPr>
        <w:t>&amp; q\in\mathbb{Z}_{+},\; u\in\mathbb{Z}_{+},\; x\in\mathbb{R}_{+}.</w:t>
      </w:r>
    </w:p>
    <w:p>
      <w:pPr>
        <w:spacing w:before="20" w:after="20"/>
        <w:jc w:val="center"/>
        <w:shd w:fill="F5F7FA"/>
      </w:pPr>
      <w:r>
        <w:rPr>
          <w:rFonts w:ascii="Consolas" w:hAnsi="Consolas" w:eastAsia="Cambria Math"/>
          <w:color w:val="14253F"/>
          <w:sz w:val="21"/>
        </w:rPr>
        <w:t>\end{aligned}</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 集合、下标与时间尺度</w:t>
      </w:r>
    </w:p>
    <w:p>
      <w:pPr>
        <w:spacing w:line="240" w:lineRule="auto" w:after="100"/>
        <w:ind w:firstLine="480"/>
        <w:jc w:val="both"/>
      </w:pPr>
      <w:r>
        <w:rPr>
          <w:rFonts w:ascii="Times New Roman" w:hAnsi="Times New Roman" w:eastAsia="宋体"/>
          <w:sz w:val="24"/>
        </w:rPr>
        <w:t>令时间集合为 T={1,2,...,8760}。设备集合按设备表拆分，包括柴油发电机集合D、风机集合W、光伏集合P、储能PCS集合S、储能电池集合B、电制氢集合E、储氢罐集合H和燃料电池集合F。每个集合中的元素对应参数维护页面的一行设备。</w:t>
      </w:r>
    </w:p>
    <w:p>
      <w:pPr>
        <w:spacing w:line="240" w:lineRule="auto" w:after="100"/>
        <w:ind w:firstLine="480"/>
        <w:jc w:val="both"/>
      </w:pPr>
      <w:r>
        <w:rPr>
          <w:rFonts w:ascii="Times New Roman" w:hAnsi="Times New Roman" w:eastAsia="宋体"/>
          <w:sz w:val="24"/>
        </w:rPr>
        <w:t>系统采用行级建模而非候选单台完全展开。对柴发、电制氢、构网储能等需要开停机描述的设备，模型使用开机台数整数变量，而不是为每台候选设备引入独立0/1变量，从而降低变量数量。</w:t>
      </w:r>
    </w:p>
    <w:p>
      <w:pPr>
        <w:spacing w:line="240" w:lineRule="auto" w:after="100"/>
        <w:ind w:firstLine="480"/>
        <w:jc w:val="both"/>
      </w:pPr>
      <w:r>
        <w:rPr>
          <w:rFonts w:ascii="Times New Roman" w:hAnsi="Times New Roman" w:eastAsia="宋体"/>
          <w:sz w:val="24"/>
        </w:rPr>
        <w:t>风机和光伏的弃电采用统一弃电率和线性化乘积变量表达，既保持风光弃电比例的一致性，又避免对每台风光设备建立单台级二进制变量。</w:t>
      </w:r>
    </w:p>
    <w:p>
      <w:pPr>
        <w:jc w:val="center"/>
      </w:pPr>
      <w:r>
        <w:rPr>
          <w:rFonts w:ascii="Times New Roman" w:hAnsi="Times New Roman" w:eastAsia="黑体"/>
          <w:b/>
          <w:color w:val="374151"/>
          <w:sz w:val="21"/>
        </w:rPr>
        <w:t>表2 集合与主要下标</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符号</w:t>
            </w:r>
          </w:p>
        </w:tc>
        <w:tc>
          <w:tcPr>
            <w:tcW w:type="dxa" w:w="3099"/>
            <w:vAlign w:val="center"/>
            <w:shd w:fill="E8EEF7"/>
          </w:tcPr>
          <w:p>
            <w:pPr>
              <w:jc w:val="center"/>
            </w:pPr>
            <w:r/>
            <w:r>
              <w:rPr>
                <w:rFonts w:ascii="Times New Roman" w:hAnsi="Times New Roman" w:eastAsia="宋体"/>
                <w:b/>
                <w:sz w:val="21"/>
              </w:rPr>
              <w:t>含义</w:t>
            </w:r>
          </w:p>
        </w:tc>
        <w:tc>
          <w:tcPr>
            <w:tcW w:type="dxa" w:w="3099"/>
            <w:vAlign w:val="center"/>
            <w:shd w:fill="E8EEF7"/>
          </w:tcPr>
          <w:p>
            <w:pPr>
              <w:jc w:val="center"/>
            </w:pPr>
            <w:r/>
            <w:r>
              <w:rPr>
                <w:rFonts w:ascii="Times New Roman" w:hAnsi="Times New Roman" w:eastAsia="宋体"/>
                <w:b/>
                <w:sz w:val="21"/>
              </w:rPr>
              <w:t>说明</w:t>
            </w:r>
          </w:p>
        </w:tc>
      </w:tr>
      <w:tr>
        <w:tc>
          <w:tcPr>
            <w:tcW w:type="dxa" w:w="3099"/>
            <w:vAlign w:val="center"/>
          </w:tcPr>
          <w:p>
            <w:pPr>
              <w:jc w:val="center"/>
            </w:pPr>
            <w:r/>
            <w:r>
              <w:rPr>
                <w:rFonts w:ascii="Times New Roman" w:hAnsi="Times New Roman" w:eastAsia="宋体"/>
                <w:b w:val="0"/>
                <w:sz w:val="21"/>
              </w:rPr>
              <w:t>t</w:t>
            </w:r>
          </w:p>
        </w:tc>
        <w:tc>
          <w:tcPr>
            <w:tcW w:type="dxa" w:w="3099"/>
            <w:vAlign w:val="center"/>
          </w:tcPr>
          <w:p>
            <w:pPr>
              <w:jc w:val="left"/>
            </w:pPr>
            <w:r/>
            <w:r>
              <w:rPr>
                <w:rFonts w:ascii="Times New Roman" w:hAnsi="Times New Roman" w:eastAsia="宋体"/>
                <w:b w:val="0"/>
                <w:sz w:val="21"/>
              </w:rPr>
              <w:t>小时序号</w:t>
            </w:r>
          </w:p>
        </w:tc>
        <w:tc>
          <w:tcPr>
            <w:tcW w:type="dxa" w:w="3099"/>
            <w:vAlign w:val="center"/>
          </w:tcPr>
          <w:p>
            <w:pPr>
              <w:jc w:val="left"/>
            </w:pPr>
            <w:r/>
            <w:r>
              <w:rPr>
                <w:rFonts w:ascii="Times New Roman" w:hAnsi="Times New Roman" w:eastAsia="宋体"/>
                <w:b w:val="0"/>
                <w:sz w:val="21"/>
              </w:rPr>
              <w:t>1到8760，步长1小时</w:t>
            </w:r>
          </w:p>
        </w:tc>
      </w:tr>
      <w:tr>
        <w:tc>
          <w:tcPr>
            <w:tcW w:type="dxa" w:w="3099"/>
            <w:vAlign w:val="center"/>
          </w:tcPr>
          <w:p>
            <w:pPr>
              <w:jc w:val="center"/>
            </w:pPr>
            <w:r/>
            <w:r>
              <w:rPr>
                <w:rFonts w:ascii="Times New Roman" w:hAnsi="Times New Roman" w:eastAsia="宋体"/>
                <w:b w:val="0"/>
                <w:sz w:val="21"/>
              </w:rPr>
              <w:t>i</w:t>
            </w:r>
          </w:p>
        </w:tc>
        <w:tc>
          <w:tcPr>
            <w:tcW w:type="dxa" w:w="3099"/>
            <w:vAlign w:val="center"/>
          </w:tcPr>
          <w:p>
            <w:pPr>
              <w:jc w:val="left"/>
            </w:pPr>
            <w:r/>
            <w:r>
              <w:rPr>
                <w:rFonts w:ascii="Times New Roman" w:hAnsi="Times New Roman" w:eastAsia="宋体"/>
                <w:b w:val="0"/>
                <w:sz w:val="21"/>
              </w:rPr>
              <w:t>设备行</w:t>
            </w:r>
          </w:p>
        </w:tc>
        <w:tc>
          <w:tcPr>
            <w:tcW w:type="dxa" w:w="3099"/>
            <w:vAlign w:val="center"/>
          </w:tcPr>
          <w:p>
            <w:pPr>
              <w:jc w:val="left"/>
            </w:pPr>
            <w:r/>
            <w:r>
              <w:rPr>
                <w:rFonts w:ascii="Times New Roman" w:hAnsi="Times New Roman" w:eastAsia="宋体"/>
                <w:b w:val="0"/>
                <w:sz w:val="21"/>
              </w:rPr>
              <w:t>参数维护中的一行设备</w:t>
            </w:r>
          </w:p>
        </w:tc>
      </w:tr>
      <w:tr>
        <w:tc>
          <w:tcPr>
            <w:tcW w:type="dxa" w:w="3099"/>
            <w:vAlign w:val="center"/>
          </w:tcPr>
          <w:p>
            <w:pPr>
              <w:jc w:val="center"/>
            </w:pPr>
            <w:r/>
            <w:r>
              <w:rPr>
                <w:rFonts w:ascii="Times New Roman" w:hAnsi="Times New Roman" w:eastAsia="宋体"/>
                <w:b w:val="0"/>
                <w:sz w:val="21"/>
              </w:rPr>
              <w:t>q_i</w:t>
            </w:r>
          </w:p>
        </w:tc>
        <w:tc>
          <w:tcPr>
            <w:tcW w:type="dxa" w:w="3099"/>
            <w:vAlign w:val="center"/>
          </w:tcPr>
          <w:p>
            <w:pPr>
              <w:jc w:val="left"/>
            </w:pPr>
            <w:r/>
            <w:r>
              <w:rPr>
                <w:rFonts w:ascii="Times New Roman" w:hAnsi="Times New Roman" w:eastAsia="宋体"/>
                <w:b w:val="0"/>
                <w:sz w:val="21"/>
              </w:rPr>
              <w:t>建设台数</w:t>
            </w:r>
          </w:p>
        </w:tc>
        <w:tc>
          <w:tcPr>
            <w:tcW w:type="dxa" w:w="3099"/>
            <w:vAlign w:val="center"/>
          </w:tcPr>
          <w:p>
            <w:pPr>
              <w:jc w:val="left"/>
            </w:pPr>
            <w:r/>
            <w:r>
              <w:rPr>
                <w:rFonts w:ascii="Times New Roman" w:hAnsi="Times New Roman" w:eastAsia="宋体"/>
                <w:b w:val="0"/>
                <w:sz w:val="21"/>
              </w:rPr>
              <w:t>规划中为整数变量，评估中固定</w:t>
            </w:r>
          </w:p>
        </w:tc>
      </w:tr>
      <w:tr>
        <w:tc>
          <w:tcPr>
            <w:tcW w:type="dxa" w:w="3099"/>
            <w:vAlign w:val="center"/>
          </w:tcPr>
          <w:p>
            <w:pPr>
              <w:jc w:val="center"/>
            </w:pPr>
            <w:r/>
            <w:r>
              <w:rPr>
                <w:rFonts w:ascii="Times New Roman" w:hAnsi="Times New Roman" w:eastAsia="宋体"/>
                <w:b w:val="0"/>
                <w:sz w:val="21"/>
              </w:rPr>
              <w:t>x_t</w:t>
            </w:r>
          </w:p>
        </w:tc>
        <w:tc>
          <w:tcPr>
            <w:tcW w:type="dxa" w:w="3099"/>
            <w:vAlign w:val="center"/>
          </w:tcPr>
          <w:p>
            <w:pPr>
              <w:jc w:val="left"/>
            </w:pPr>
            <w:r/>
            <w:r>
              <w:rPr>
                <w:rFonts w:ascii="Times New Roman" w:hAnsi="Times New Roman" w:eastAsia="宋体"/>
                <w:b w:val="0"/>
                <w:sz w:val="21"/>
              </w:rPr>
              <w:t>连续运行变量</w:t>
            </w:r>
          </w:p>
        </w:tc>
        <w:tc>
          <w:tcPr>
            <w:tcW w:type="dxa" w:w="3099"/>
            <w:vAlign w:val="center"/>
          </w:tcPr>
          <w:p>
            <w:pPr>
              <w:jc w:val="left"/>
            </w:pPr>
            <w:r/>
            <w:r>
              <w:rPr>
                <w:rFonts w:ascii="Times New Roman" w:hAnsi="Times New Roman" w:eastAsia="宋体"/>
                <w:b w:val="0"/>
                <w:sz w:val="21"/>
              </w:rPr>
              <w:t>功率、SOC、氢储量等</w:t>
            </w:r>
          </w:p>
        </w:tc>
      </w:tr>
      <w:tr>
        <w:tc>
          <w:tcPr>
            <w:tcW w:type="dxa" w:w="3099"/>
            <w:vAlign w:val="center"/>
          </w:tcPr>
          <w:p>
            <w:pPr>
              <w:jc w:val="center"/>
            </w:pPr>
            <w:r/>
            <w:r>
              <w:rPr>
                <w:rFonts w:ascii="Times New Roman" w:hAnsi="Times New Roman" w:eastAsia="宋体"/>
                <w:b w:val="0"/>
                <w:sz w:val="21"/>
              </w:rPr>
              <w:t>u_t</w:t>
            </w:r>
          </w:p>
        </w:tc>
        <w:tc>
          <w:tcPr>
            <w:tcW w:type="dxa" w:w="3099"/>
            <w:vAlign w:val="center"/>
          </w:tcPr>
          <w:p>
            <w:pPr>
              <w:jc w:val="left"/>
            </w:pPr>
            <w:r/>
            <w:r>
              <w:rPr>
                <w:rFonts w:ascii="Times New Roman" w:hAnsi="Times New Roman" w:eastAsia="宋体"/>
                <w:b w:val="0"/>
                <w:sz w:val="21"/>
              </w:rPr>
              <w:t>整数/二进制运行变量</w:t>
            </w:r>
          </w:p>
        </w:tc>
        <w:tc>
          <w:tcPr>
            <w:tcW w:type="dxa" w:w="3099"/>
            <w:vAlign w:val="center"/>
          </w:tcPr>
          <w:p>
            <w:pPr>
              <w:jc w:val="left"/>
            </w:pPr>
            <w:r/>
            <w:r>
              <w:rPr>
                <w:rFonts w:ascii="Times New Roman" w:hAnsi="Times New Roman" w:eastAsia="宋体"/>
                <w:b w:val="0"/>
                <w:sz w:val="21"/>
              </w:rPr>
              <w:t>开机台数、充放电状态等</w:t>
            </w:r>
          </w:p>
        </w:tc>
      </w:tr>
    </w:tbl>
    <w:p/>
    <w:p>
      <w:pPr>
        <w:spacing w:before="80" w:after="40"/>
      </w:pPr>
      <w:r>
        <w:rPr>
          <w:rFonts w:ascii="Times New Roman" w:hAnsi="Times New Roman" w:eastAsia="黑体"/>
          <w:b/>
          <w:color w:val="1F4E79"/>
          <w:sz w:val="21"/>
        </w:rPr>
        <w:t>时间与设备集合</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\mathcal{T}=\{1,2,\ldots,8760\},\quad i\in\mathcal{D}\cup\mathcal{W}\cup\mathcal{P}\cup\mathcal{S}\cup\mathcal{B}\cup\mathcal{E}\cup\mathcal{H}\cup\mathcal{F}</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3 输入数据与预处理</w:t>
      </w:r>
    </w:p>
    <w:p>
      <w:pPr>
        <w:spacing w:line="240" w:lineRule="auto" w:after="100"/>
        <w:ind w:firstLine="480"/>
        <w:jc w:val="both"/>
      </w:pPr>
      <w:r>
        <w:rPr>
          <w:rFonts w:ascii="Times New Roman" w:hAnsi="Times New Roman" w:eastAsia="宋体"/>
          <w:sz w:val="24"/>
        </w:rPr>
        <w:t>时序数据包括风速、太阳辐照、环境温度和负荷。风速与太阳辐照用于计算风机和光伏的逐小时最大可发功率，环境温度目前主要随结果曲线输出，负荷直接进入功率平衡约束。</w:t>
      </w:r>
    </w:p>
    <w:p>
      <w:pPr>
        <w:spacing w:line="240" w:lineRule="auto" w:after="100"/>
        <w:ind w:firstLine="480"/>
        <w:jc w:val="both"/>
      </w:pPr>
      <w:r>
        <w:rPr>
          <w:rFonts w:ascii="Times New Roman" w:hAnsi="Times New Roman" w:eastAsia="宋体"/>
          <w:sz w:val="24"/>
        </w:rPr>
        <w:t>参数维护页面支持文件导入、气象获取和负荷生成。后台在导入时对列名进行模糊匹配，对不足8760行的数据进行补齐，对非有效数值按相邻点替代，保证后续优化输入保持完整。</w:t>
      </w:r>
    </w:p>
    <w:p>
      <w:pPr>
        <w:spacing w:line="240" w:lineRule="auto" w:after="100"/>
        <w:ind w:firstLine="480"/>
        <w:jc w:val="both"/>
      </w:pPr>
      <w:r>
        <w:rPr>
          <w:rFonts w:ascii="Times New Roman" w:hAnsi="Times New Roman" w:eastAsia="宋体"/>
          <w:sz w:val="24"/>
        </w:rPr>
        <w:t>设备参数在进入模型前会统一做数值化、上下限修正和默认值填充。例如建设台数下限不得小于0，上限不得小于下限，设计年限至少为1年，成本取非负值。</w:t>
      </w:r>
    </w:p>
    <w:p>
      <w:pPr>
        <w:pStyle w:val="ListBullet"/>
        <w:spacing w:line="240" w:lineRule="auto" w:after="60"/>
      </w:pPr>
      <w:r>
        <w:rPr>
          <w:rFonts w:ascii="Times New Roman" w:hAnsi="Times New Roman" w:eastAsia="宋体"/>
          <w:sz w:val="24"/>
        </w:rPr>
        <w:t>规划参数提供柴油价格、绿色电量占比下限、求解时间上限、初始电储SOC、初始氢储SOC和扰动系数。</w:t>
      </w:r>
    </w:p>
    <w:p>
      <w:pPr>
        <w:pStyle w:val="ListBullet"/>
        <w:spacing w:line="240" w:lineRule="auto" w:after="60"/>
      </w:pPr>
      <w:r>
        <w:rPr>
          <w:rFonts w:ascii="Times New Roman" w:hAnsi="Times New Roman" w:eastAsia="宋体"/>
          <w:sz w:val="24"/>
        </w:rPr>
        <w:t>储能PCS提供充电效率、放电效率和是否构网；储能电池提供SOC上下限和自损耗率；储氢罐提供自损耗率。</w:t>
      </w:r>
    </w:p>
    <w:p>
      <w:pPr>
        <w:pStyle w:val="ListBullet"/>
        <w:spacing w:line="240" w:lineRule="auto" w:after="60"/>
      </w:pPr>
      <w:r>
        <w:rPr>
          <w:rFonts w:ascii="Times New Roman" w:hAnsi="Times New Roman" w:eastAsia="宋体"/>
          <w:sz w:val="24"/>
        </w:rPr>
        <w:t>方案评估读取结果文件中的设计台数，并将对应设备的数量上下限固定为该台数。</w:t>
      </w:r>
    </w:p>
    <w:p>
      <w:pPr>
        <w:spacing w:before="80" w:after="40"/>
      </w:pPr>
      <w:r>
        <w:rPr>
          <w:rFonts w:ascii="Times New Roman" w:hAnsi="Times New Roman" w:eastAsia="黑体"/>
          <w:b/>
          <w:color w:val="1F4E79"/>
          <w:sz w:val="21"/>
        </w:rPr>
        <w:t>负荷与气象输入</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L_t=\max(0,load_t),\quad v_t=wind\_speed_t,\quad G_t=solar\_irradiance_t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4 规划求解与方案评估的统一建模</w:t>
      </w:r>
    </w:p>
    <w:p>
      <w:pPr>
        <w:spacing w:line="240" w:lineRule="auto" w:after="100"/>
        <w:ind w:firstLine="480"/>
        <w:jc w:val="both"/>
      </w:pPr>
      <w:r>
        <w:rPr>
          <w:rFonts w:ascii="Times New Roman" w:hAnsi="Times New Roman" w:eastAsia="宋体"/>
          <w:sz w:val="24"/>
        </w:rPr>
        <w:t>规划求解和方案评估的差异只在建设台数变量的上下界。规划求解中，q_i 在数量下限与数量上限之间取整数；方案评估中，q_i 的上下界均等于结果文件中的设计台数，因此优化器只调整运行调度。</w:t>
      </w:r>
    </w:p>
    <w:p>
      <w:pPr>
        <w:spacing w:line="240" w:lineRule="auto" w:after="100"/>
        <w:ind w:firstLine="480"/>
        <w:jc w:val="both"/>
      </w:pPr>
      <w:r>
        <w:rPr>
          <w:rFonts w:ascii="Times New Roman" w:hAnsi="Times New Roman" w:eastAsia="宋体"/>
          <w:sz w:val="24"/>
        </w:rPr>
        <w:t>这种处理方式让评估成为特殊规划问题，避免维护两套不同约束，降低冗余代码和模型不一致风险。后续若新增储能约束、氢能约束或安全约束，只需在公共建模模块中增加一次，即可同时作用于规划求解和方案评估。</w:t>
      </w:r>
    </w:p>
    <w:p>
      <w:pPr>
        <w:spacing w:before="80" w:after="40"/>
      </w:pPr>
      <w:r>
        <w:rPr>
          <w:rFonts w:ascii="Times New Roman" w:hAnsi="Times New Roman" w:eastAsia="黑体"/>
          <w:b/>
          <w:color w:val="1F4E79"/>
          <w:sz w:val="21"/>
        </w:rPr>
        <w:t>规划与评估差异</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\begin{cases}</w:t>
      </w:r>
    </w:p>
    <w:p>
      <w:pPr>
        <w:spacing w:before="20" w:after="20"/>
        <w:jc w:val="center"/>
        <w:shd w:fill="F5F7FA"/>
      </w:pPr>
      <w:r>
        <w:rPr>
          <w:rFonts w:ascii="Consolas" w:hAnsi="Consolas" w:eastAsia="Cambria Math"/>
          <w:color w:val="14253F"/>
          <w:sz w:val="21"/>
        </w:rPr>
        <w:t>q_i^{min}\le q_i\le q_i^{max},\quad q_i\in\mathbb{Z}_{+}, &amp; \text{规划求解} \\</w:t>
      </w:r>
    </w:p>
    <w:p>
      <w:pPr>
        <w:spacing w:before="20" w:after="20"/>
        <w:jc w:val="center"/>
        <w:shd w:fill="F5F7FA"/>
      </w:pPr>
      <w:r>
        <w:rPr>
          <w:rFonts w:ascii="Consolas" w:hAnsi="Consolas" w:eastAsia="Cambria Math"/>
          <w:color w:val="14253F"/>
          <w:sz w:val="21"/>
        </w:rPr>
        <w:t>q_i=q_i^{result}, &amp; \text{方案评估}</w:t>
      </w:r>
    </w:p>
    <w:p>
      <w:pPr>
        <w:spacing w:before="20" w:after="20"/>
        <w:jc w:val="center"/>
        <w:shd w:fill="F5F7FA"/>
      </w:pPr>
      <w:r>
        <w:rPr>
          <w:rFonts w:ascii="Consolas" w:hAnsi="Consolas" w:eastAsia="Cambria Math"/>
          <w:color w:val="14253F"/>
          <w:sz w:val="21"/>
        </w:rPr>
        <w:t>\end{cases}</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5 建设变量</w:t>
      </w:r>
    </w:p>
    <w:p>
      <w:pPr>
        <w:spacing w:line="240" w:lineRule="auto" w:after="100"/>
        <w:ind w:firstLine="480"/>
        <w:jc w:val="both"/>
      </w:pPr>
      <w:r>
        <w:rPr>
          <w:rFonts w:ascii="Times New Roman" w:hAnsi="Times New Roman" w:eastAsia="宋体"/>
          <w:sz w:val="24"/>
        </w:rPr>
        <w:t>每个设备行设置一个建设台数变量 q_i。该变量既影响年均建设成本，也影响该设备在所有小时中的可用容量。例如柴发建设台数决定柴发最大开机台数和出力上限，光伏建设台数决定光伏最大可发功率，储能电池建设台数决定电储SOC容量上限。</w:t>
      </w:r>
    </w:p>
    <w:p>
      <w:pPr>
        <w:spacing w:line="240" w:lineRule="auto" w:after="100"/>
        <w:ind w:firstLine="480"/>
        <w:jc w:val="both"/>
      </w:pPr>
      <w:r>
        <w:rPr>
          <w:rFonts w:ascii="Times New Roman" w:hAnsi="Times New Roman" w:eastAsia="宋体"/>
          <w:sz w:val="24"/>
        </w:rPr>
        <w:t>模型采用整数变量而非连续容量变量，是为了保持与前端设计台数的业务语义一致。结果文件中的规划结果表也直接输出各设备行的设计台数，便于人工修改和重新评估。</w:t>
      </w:r>
    </w:p>
    <w:p>
      <w:pPr>
        <w:jc w:val="center"/>
      </w:pPr>
      <w:r>
        <w:rPr>
          <w:rFonts w:ascii="Times New Roman" w:hAnsi="Times New Roman" w:eastAsia="黑体"/>
          <w:b/>
          <w:color w:val="374151"/>
          <w:sz w:val="21"/>
        </w:rPr>
        <w:t>表3 建设变量与容量关联</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设备</w:t>
            </w:r>
          </w:p>
        </w:tc>
        <w:tc>
          <w:tcPr>
            <w:tcW w:type="dxa" w:w="3099"/>
            <w:vAlign w:val="center"/>
            <w:shd w:fill="E8EEF7"/>
          </w:tcPr>
          <w:p>
            <w:pPr>
              <w:jc w:val="center"/>
            </w:pPr>
            <w:r/>
            <w:r>
              <w:rPr>
                <w:rFonts w:ascii="Times New Roman" w:hAnsi="Times New Roman" w:eastAsia="宋体"/>
                <w:b/>
                <w:sz w:val="21"/>
              </w:rPr>
              <w:t>建设变量</w:t>
            </w:r>
          </w:p>
        </w:tc>
        <w:tc>
          <w:tcPr>
            <w:tcW w:type="dxa" w:w="3099"/>
            <w:vAlign w:val="center"/>
            <w:shd w:fill="E8EEF7"/>
          </w:tcPr>
          <w:p>
            <w:pPr>
              <w:jc w:val="center"/>
            </w:pPr>
            <w:r/>
            <w:r>
              <w:rPr>
                <w:rFonts w:ascii="Times New Roman" w:hAnsi="Times New Roman" w:eastAsia="宋体"/>
                <w:b/>
                <w:sz w:val="21"/>
              </w:rPr>
              <w:t>容量关联</w:t>
            </w:r>
          </w:p>
        </w:tc>
      </w:tr>
      <w:tr>
        <w:tc>
          <w:tcPr>
            <w:tcW w:type="dxa" w:w="3099"/>
            <w:vAlign w:val="center"/>
          </w:tcPr>
          <w:p>
            <w:pPr>
              <w:jc w:val="center"/>
            </w:pPr>
            <w:r/>
            <w:r>
              <w:rPr>
                <w:rFonts w:ascii="Times New Roman" w:hAnsi="Times New Roman" w:eastAsia="宋体"/>
                <w:b w:val="0"/>
                <w:sz w:val="21"/>
              </w:rPr>
              <w:t>柴发</w:t>
            </w:r>
          </w:p>
        </w:tc>
        <w:tc>
          <w:tcPr>
            <w:tcW w:type="dxa" w:w="3099"/>
            <w:vAlign w:val="center"/>
          </w:tcPr>
          <w:p>
            <w:pPr>
              <w:jc w:val="left"/>
            </w:pPr>
            <w:r/>
            <w:r>
              <w:rPr>
                <w:rFonts w:ascii="Times New Roman" w:hAnsi="Times New Roman" w:eastAsia="宋体"/>
                <w:b w:val="0"/>
                <w:sz w:val="21"/>
              </w:rPr>
              <w:t>q_dg,i</w:t>
            </w:r>
          </w:p>
        </w:tc>
        <w:tc>
          <w:tcPr>
            <w:tcW w:type="dxa" w:w="3099"/>
            <w:vAlign w:val="center"/>
          </w:tcPr>
          <w:p>
            <w:pPr>
              <w:jc w:val="left"/>
            </w:pPr>
            <w:r/>
            <w:r>
              <w:rPr>
                <w:rFonts w:ascii="Times New Roman" w:hAnsi="Times New Roman" w:eastAsia="宋体"/>
                <w:b w:val="0"/>
                <w:sz w:val="21"/>
              </w:rPr>
              <w:t>q_dg,i * 柴发单台容量或功率上限</w:t>
            </w:r>
          </w:p>
        </w:tc>
      </w:tr>
      <w:tr>
        <w:tc>
          <w:tcPr>
            <w:tcW w:type="dxa" w:w="3099"/>
            <w:vAlign w:val="center"/>
          </w:tcPr>
          <w:p>
            <w:pPr>
              <w:jc w:val="center"/>
            </w:pPr>
            <w:r/>
            <w:r>
              <w:rPr>
                <w:rFonts w:ascii="Times New Roman" w:hAnsi="Times New Roman" w:eastAsia="宋体"/>
                <w:b w:val="0"/>
                <w:sz w:val="21"/>
              </w:rPr>
              <w:t>风机</w:t>
            </w:r>
          </w:p>
        </w:tc>
        <w:tc>
          <w:tcPr>
            <w:tcW w:type="dxa" w:w="3099"/>
            <w:vAlign w:val="center"/>
          </w:tcPr>
          <w:p>
            <w:pPr>
              <w:jc w:val="left"/>
            </w:pPr>
            <w:r/>
            <w:r>
              <w:rPr>
                <w:rFonts w:ascii="Times New Roman" w:hAnsi="Times New Roman" w:eastAsia="宋体"/>
                <w:b w:val="0"/>
                <w:sz w:val="21"/>
              </w:rPr>
              <w:t>q_w,i</w:t>
            </w:r>
          </w:p>
        </w:tc>
        <w:tc>
          <w:tcPr>
            <w:tcW w:type="dxa" w:w="3099"/>
            <w:vAlign w:val="center"/>
          </w:tcPr>
          <w:p>
            <w:pPr>
              <w:jc w:val="left"/>
            </w:pPr>
            <w:r/>
            <w:r>
              <w:rPr>
                <w:rFonts w:ascii="Times New Roman" w:hAnsi="Times New Roman" w:eastAsia="宋体"/>
                <w:b w:val="0"/>
                <w:sz w:val="21"/>
              </w:rPr>
              <w:t>q_w,i * 风机逐小时最大可发</w:t>
            </w:r>
          </w:p>
        </w:tc>
      </w:tr>
      <w:tr>
        <w:tc>
          <w:tcPr>
            <w:tcW w:type="dxa" w:w="3099"/>
            <w:vAlign w:val="center"/>
          </w:tcPr>
          <w:p>
            <w:pPr>
              <w:jc w:val="center"/>
            </w:pPr>
            <w:r/>
            <w:r>
              <w:rPr>
                <w:rFonts w:ascii="Times New Roman" w:hAnsi="Times New Roman" w:eastAsia="宋体"/>
                <w:b w:val="0"/>
                <w:sz w:val="21"/>
              </w:rPr>
              <w:t>光伏</w:t>
            </w:r>
          </w:p>
        </w:tc>
        <w:tc>
          <w:tcPr>
            <w:tcW w:type="dxa" w:w="3099"/>
            <w:vAlign w:val="center"/>
          </w:tcPr>
          <w:p>
            <w:pPr>
              <w:jc w:val="left"/>
            </w:pPr>
            <w:r/>
            <w:r>
              <w:rPr>
                <w:rFonts w:ascii="Times New Roman" w:hAnsi="Times New Roman" w:eastAsia="宋体"/>
                <w:b w:val="0"/>
                <w:sz w:val="21"/>
              </w:rPr>
              <w:t>q_pv,i</w:t>
            </w:r>
          </w:p>
        </w:tc>
        <w:tc>
          <w:tcPr>
            <w:tcW w:type="dxa" w:w="3099"/>
            <w:vAlign w:val="center"/>
          </w:tcPr>
          <w:p>
            <w:pPr>
              <w:jc w:val="left"/>
            </w:pPr>
            <w:r/>
            <w:r>
              <w:rPr>
                <w:rFonts w:ascii="Times New Roman" w:hAnsi="Times New Roman" w:eastAsia="宋体"/>
                <w:b w:val="0"/>
                <w:sz w:val="21"/>
              </w:rPr>
              <w:t>q_pv,i * 光伏逐小时最大可发</w:t>
            </w:r>
          </w:p>
        </w:tc>
      </w:tr>
      <w:tr>
        <w:tc>
          <w:tcPr>
            <w:tcW w:type="dxa" w:w="3099"/>
            <w:vAlign w:val="center"/>
          </w:tcPr>
          <w:p>
            <w:pPr>
              <w:jc w:val="center"/>
            </w:pPr>
            <w:r/>
            <w:r>
              <w:rPr>
                <w:rFonts w:ascii="Times New Roman" w:hAnsi="Times New Roman" w:eastAsia="宋体"/>
                <w:b w:val="0"/>
                <w:sz w:val="21"/>
              </w:rPr>
              <w:t>储能PCS</w:t>
            </w:r>
          </w:p>
        </w:tc>
        <w:tc>
          <w:tcPr>
            <w:tcW w:type="dxa" w:w="3099"/>
            <w:vAlign w:val="center"/>
          </w:tcPr>
          <w:p>
            <w:pPr>
              <w:jc w:val="left"/>
            </w:pPr>
            <w:r/>
            <w:r>
              <w:rPr>
                <w:rFonts w:ascii="Times New Roman" w:hAnsi="Times New Roman" w:eastAsia="宋体"/>
                <w:b w:val="0"/>
                <w:sz w:val="21"/>
              </w:rPr>
              <w:t>q_pcs,i</w:t>
            </w:r>
          </w:p>
        </w:tc>
        <w:tc>
          <w:tcPr>
            <w:tcW w:type="dxa" w:w="3099"/>
            <w:vAlign w:val="center"/>
          </w:tcPr>
          <w:p>
            <w:pPr>
              <w:jc w:val="left"/>
            </w:pPr>
            <w:r/>
            <w:r>
              <w:rPr>
                <w:rFonts w:ascii="Times New Roman" w:hAnsi="Times New Roman" w:eastAsia="宋体"/>
                <w:b w:val="0"/>
                <w:sz w:val="21"/>
              </w:rPr>
              <w:t>q_pcs,i * PCS功率容量</w:t>
            </w:r>
          </w:p>
        </w:tc>
      </w:tr>
      <w:tr>
        <w:tc>
          <w:tcPr>
            <w:tcW w:type="dxa" w:w="3099"/>
            <w:vAlign w:val="center"/>
          </w:tcPr>
          <w:p>
            <w:pPr>
              <w:jc w:val="center"/>
            </w:pPr>
            <w:r/>
            <w:r>
              <w:rPr>
                <w:rFonts w:ascii="Times New Roman" w:hAnsi="Times New Roman" w:eastAsia="宋体"/>
                <w:b w:val="0"/>
                <w:sz w:val="21"/>
              </w:rPr>
              <w:t>储能电池</w:t>
            </w:r>
          </w:p>
        </w:tc>
        <w:tc>
          <w:tcPr>
            <w:tcW w:type="dxa" w:w="3099"/>
            <w:vAlign w:val="center"/>
          </w:tcPr>
          <w:p>
            <w:pPr>
              <w:jc w:val="left"/>
            </w:pPr>
            <w:r/>
            <w:r>
              <w:rPr>
                <w:rFonts w:ascii="Times New Roman" w:hAnsi="Times New Roman" w:eastAsia="宋体"/>
                <w:b w:val="0"/>
                <w:sz w:val="21"/>
              </w:rPr>
              <w:t>q_bat,i</w:t>
            </w:r>
          </w:p>
        </w:tc>
        <w:tc>
          <w:tcPr>
            <w:tcW w:type="dxa" w:w="3099"/>
            <w:vAlign w:val="center"/>
          </w:tcPr>
          <w:p>
            <w:pPr>
              <w:jc w:val="left"/>
            </w:pPr>
            <w:r/>
            <w:r>
              <w:rPr>
                <w:rFonts w:ascii="Times New Roman" w:hAnsi="Times New Roman" w:eastAsia="宋体"/>
                <w:b w:val="0"/>
                <w:sz w:val="21"/>
              </w:rPr>
              <w:t>q_bat,i * 电池容量</w:t>
            </w:r>
          </w:p>
        </w:tc>
      </w:tr>
      <w:tr>
        <w:tc>
          <w:tcPr>
            <w:tcW w:type="dxa" w:w="3099"/>
            <w:vAlign w:val="center"/>
          </w:tcPr>
          <w:p>
            <w:pPr>
              <w:jc w:val="center"/>
            </w:pPr>
            <w:r/>
            <w:r>
              <w:rPr>
                <w:rFonts w:ascii="Times New Roman" w:hAnsi="Times New Roman" w:eastAsia="宋体"/>
                <w:b w:val="0"/>
                <w:sz w:val="21"/>
              </w:rPr>
              <w:t>电制氢</w:t>
            </w:r>
          </w:p>
        </w:tc>
        <w:tc>
          <w:tcPr>
            <w:tcW w:type="dxa" w:w="3099"/>
            <w:vAlign w:val="center"/>
          </w:tcPr>
          <w:p>
            <w:pPr>
              <w:jc w:val="left"/>
            </w:pPr>
            <w:r/>
            <w:r>
              <w:rPr>
                <w:rFonts w:ascii="Times New Roman" w:hAnsi="Times New Roman" w:eastAsia="宋体"/>
                <w:b w:val="0"/>
                <w:sz w:val="21"/>
              </w:rPr>
              <w:t>q_el,i</w:t>
            </w:r>
          </w:p>
        </w:tc>
        <w:tc>
          <w:tcPr>
            <w:tcW w:type="dxa" w:w="3099"/>
            <w:vAlign w:val="center"/>
          </w:tcPr>
          <w:p>
            <w:pPr>
              <w:jc w:val="left"/>
            </w:pPr>
            <w:r/>
            <w:r>
              <w:rPr>
                <w:rFonts w:ascii="Times New Roman" w:hAnsi="Times New Roman" w:eastAsia="宋体"/>
                <w:b w:val="0"/>
                <w:sz w:val="21"/>
              </w:rPr>
              <w:t>q_el,i * 制氢功率容量</w:t>
            </w:r>
          </w:p>
        </w:tc>
      </w:tr>
      <w:tr>
        <w:tc>
          <w:tcPr>
            <w:tcW w:type="dxa" w:w="3099"/>
            <w:vAlign w:val="center"/>
          </w:tcPr>
          <w:p>
            <w:pPr>
              <w:jc w:val="center"/>
            </w:pPr>
            <w:r/>
            <w:r>
              <w:rPr>
                <w:rFonts w:ascii="Times New Roman" w:hAnsi="Times New Roman" w:eastAsia="宋体"/>
                <w:b w:val="0"/>
                <w:sz w:val="21"/>
              </w:rPr>
              <w:t>储氢罐</w:t>
            </w:r>
          </w:p>
        </w:tc>
        <w:tc>
          <w:tcPr>
            <w:tcW w:type="dxa" w:w="3099"/>
            <w:vAlign w:val="center"/>
          </w:tcPr>
          <w:p>
            <w:pPr>
              <w:jc w:val="left"/>
            </w:pPr>
            <w:r/>
            <w:r>
              <w:rPr>
                <w:rFonts w:ascii="Times New Roman" w:hAnsi="Times New Roman" w:eastAsia="宋体"/>
                <w:b w:val="0"/>
                <w:sz w:val="21"/>
              </w:rPr>
              <w:t>q_ht,i</w:t>
            </w:r>
          </w:p>
        </w:tc>
        <w:tc>
          <w:tcPr>
            <w:tcW w:type="dxa" w:w="3099"/>
            <w:vAlign w:val="center"/>
          </w:tcPr>
          <w:p>
            <w:pPr>
              <w:jc w:val="left"/>
            </w:pPr>
            <w:r/>
            <w:r>
              <w:rPr>
                <w:rFonts w:ascii="Times New Roman" w:hAnsi="Times New Roman" w:eastAsia="宋体"/>
                <w:b w:val="0"/>
                <w:sz w:val="21"/>
              </w:rPr>
              <w:t>q_ht,i * 储氢容量</w:t>
            </w:r>
          </w:p>
        </w:tc>
      </w:tr>
      <w:tr>
        <w:tc>
          <w:tcPr>
            <w:tcW w:type="dxa" w:w="3099"/>
            <w:vAlign w:val="center"/>
          </w:tcPr>
          <w:p>
            <w:pPr>
              <w:jc w:val="center"/>
            </w:pPr>
            <w:r/>
            <w:r>
              <w:rPr>
                <w:rFonts w:ascii="Times New Roman" w:hAnsi="Times New Roman" w:eastAsia="宋体"/>
                <w:b w:val="0"/>
                <w:sz w:val="21"/>
              </w:rPr>
              <w:t>燃料电池</w:t>
            </w:r>
          </w:p>
        </w:tc>
        <w:tc>
          <w:tcPr>
            <w:tcW w:type="dxa" w:w="3099"/>
            <w:vAlign w:val="center"/>
          </w:tcPr>
          <w:p>
            <w:pPr>
              <w:jc w:val="left"/>
            </w:pPr>
            <w:r/>
            <w:r>
              <w:rPr>
                <w:rFonts w:ascii="Times New Roman" w:hAnsi="Times New Roman" w:eastAsia="宋体"/>
                <w:b w:val="0"/>
                <w:sz w:val="21"/>
              </w:rPr>
              <w:t>q_fc,i</w:t>
            </w:r>
          </w:p>
        </w:tc>
        <w:tc>
          <w:tcPr>
            <w:tcW w:type="dxa" w:w="3099"/>
            <w:vAlign w:val="center"/>
          </w:tcPr>
          <w:p>
            <w:pPr>
              <w:jc w:val="left"/>
            </w:pPr>
            <w:r/>
            <w:r>
              <w:rPr>
                <w:rFonts w:ascii="Times New Roman" w:hAnsi="Times New Roman" w:eastAsia="宋体"/>
                <w:b w:val="0"/>
                <w:sz w:val="21"/>
              </w:rPr>
              <w:t>q_fc,i * 燃料电池功率容量</w:t>
            </w:r>
          </w:p>
        </w:tc>
      </w:tr>
    </w:tbl>
    <w:p/>
    <w:p>
      <w:pPr>
        <w:spacing w:before="80" w:after="40"/>
      </w:pPr>
      <w:r>
        <w:rPr>
          <w:rFonts w:ascii="Times New Roman" w:hAnsi="Times New Roman" w:eastAsia="黑体"/>
          <w:b/>
          <w:color w:val="1F4E79"/>
          <w:sz w:val="21"/>
        </w:rPr>
        <w:t>建设台数上下界</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q_i^{min}\le q_i\le q_i^{max},\qquad q_i\in\mathbb{Z}_{+}</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6 运行变量</w:t>
      </w:r>
    </w:p>
    <w:p>
      <w:pPr>
        <w:spacing w:line="240" w:lineRule="auto" w:after="100"/>
        <w:ind w:firstLine="480"/>
        <w:jc w:val="both"/>
      </w:pPr>
      <w:r>
        <w:rPr>
          <w:rFonts w:ascii="Times New Roman" w:hAnsi="Times New Roman" w:eastAsia="宋体"/>
          <w:sz w:val="24"/>
        </w:rPr>
        <w:t>每个小时设置连续运行变量，包括柴发出力、风机实际出力、光伏实际出力、弃风功率、弃光功率、储能充放电功率、电储SOC、电制氢功率、储氢量、燃料电池出力和切负荷功率。</w:t>
      </w:r>
    </w:p>
    <w:p>
      <w:pPr>
        <w:spacing w:line="240" w:lineRule="auto" w:after="100"/>
        <w:ind w:firstLine="480"/>
        <w:jc w:val="both"/>
      </w:pPr>
      <w:r>
        <w:rPr>
          <w:rFonts w:ascii="Times New Roman" w:hAnsi="Times New Roman" w:eastAsia="宋体"/>
          <w:sz w:val="24"/>
        </w:rPr>
        <w:t>每个小时还设置必要的整数或二进制变量。储能充电状态和放电状态使用二进制变量互斥；柴发、电制氢和构网储能使用台数级整数变量描述开机数量或在线数量。</w:t>
      </w:r>
    </w:p>
    <w:p>
      <w:pPr>
        <w:spacing w:before="80" w:after="40"/>
      </w:pPr>
      <w:r>
        <w:rPr>
          <w:rFonts w:ascii="Times New Roman" w:hAnsi="Times New Roman" w:eastAsia="黑体"/>
          <w:b/>
          <w:color w:val="1F4E79"/>
          <w:sz w:val="21"/>
        </w:rPr>
        <w:t>运行变量向量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x_t=\{P^{dg}_{t,i},P^{w}_t,P^{pv}_t,P^{ch}_t,P^{dis}_t,SOC_t,H_t,P^{el}_{t,i},P^{fc}_{t,i},L^{shed}_t\}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整数运行变量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u_t=\{N^{dg,on}_{t,i},N^{el,on}_{t,i},N^{gf,on}_{t,i},I^{ch}_t,I^{dis}_t\}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7 目标函数</w:t>
      </w:r>
    </w:p>
    <w:p>
      <w:pPr>
        <w:spacing w:line="240" w:lineRule="auto" w:after="100"/>
        <w:ind w:firstLine="480"/>
        <w:jc w:val="both"/>
      </w:pPr>
      <w:r>
        <w:rPr>
          <w:rFonts w:ascii="Times New Roman" w:hAnsi="Times New Roman" w:eastAsia="宋体"/>
          <w:sz w:val="24"/>
        </w:rPr>
        <w:t>主目标函数由年均建设成本和年柴油成本构成，并叠加切负荷大惩罚与极小启停惩罚。输出报表中的年总成本只统计年均建设成本和年柴油成本，辅助惩罚项只参与求解择优，不计入经济性结果。</w:t>
      </w:r>
    </w:p>
    <w:p>
      <w:pPr>
        <w:spacing w:line="240" w:lineRule="auto" w:after="100"/>
        <w:ind w:firstLine="480"/>
        <w:jc w:val="both"/>
      </w:pPr>
      <w:r>
        <w:rPr>
          <w:rFonts w:ascii="Times New Roman" w:hAnsi="Times New Roman" w:eastAsia="宋体"/>
          <w:sz w:val="24"/>
        </w:rPr>
        <w:t>年均建设成本按设备成本除以对应设计年限折算。柴油成本按逐小时柴发出力乘以油耗率得到柴油消耗量，再乘以规划参数中的柴油价格。切负荷惩罚权重设置得足够大，使求解器优先满足负荷。</w:t>
      </w:r>
    </w:p>
    <w:p>
      <w:pPr>
        <w:spacing w:before="80" w:after="40"/>
      </w:pPr>
      <w:r>
        <w:rPr>
          <w:rFonts w:ascii="Times New Roman" w:hAnsi="Times New Roman" w:eastAsia="黑体"/>
          <w:b/>
          <w:color w:val="1F4E79"/>
          <w:sz w:val="21"/>
        </w:rPr>
        <w:t>总目标函数</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\begin{aligned}</w:t>
      </w:r>
    </w:p>
    <w:p>
      <w:pPr>
        <w:spacing w:before="20" w:after="20"/>
        <w:jc w:val="center"/>
        <w:shd w:fill="F5F7FA"/>
      </w:pPr>
      <w:r>
        <w:rPr>
          <w:rFonts w:ascii="Consolas" w:hAnsi="Consolas" w:eastAsia="Cambria Math"/>
          <w:color w:val="14253F"/>
          <w:sz w:val="21"/>
        </w:rPr>
        <w:t>\min \; Z=&amp;\sum_{i\in\mathcal{I}}\frac{c_i q_i}{life_i}+\pi_{diesel}\sum_{t\in\mathcal{T}}\sum_{i\in\mathcal{D}}\frac{r_iP^{dg}_{t,i}}{1000} \\</w:t>
      </w:r>
    </w:p>
    <w:p>
      <w:pPr>
        <w:spacing w:before="20" w:after="20"/>
        <w:jc w:val="center"/>
        <w:shd w:fill="F5F7FA"/>
      </w:pPr>
      <w:r>
        <w:rPr>
          <w:rFonts w:ascii="Consolas" w:hAnsi="Consolas" w:eastAsia="Cambria Math"/>
          <w:color w:val="14253F"/>
          <w:sz w:val="21"/>
        </w:rPr>
        <w:t>&amp;+\lambda_{shed}\sum_{t\in\mathcal{T}}L^{shed}_t+\epsilon_{dg}\sum_{t,i}N^{dg,on}_{t,i}+\epsilon_{el}\sum_{t,i}N^{el,on}_{t,i}</w:t>
      </w:r>
    </w:p>
    <w:p>
      <w:pPr>
        <w:spacing w:before="20" w:after="20"/>
        <w:jc w:val="center"/>
        <w:shd w:fill="F5F7FA"/>
      </w:pPr>
      <w:r>
        <w:rPr>
          <w:rFonts w:ascii="Consolas" w:hAnsi="Consolas" w:eastAsia="Cambria Math"/>
          <w:color w:val="14253F"/>
          <w:sz w:val="21"/>
        </w:rPr>
        <w:t>\end{aligned}</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输出成本口径</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C_{year}=C_{ann}+C_{diesel},\quad C_{ann}=\sum_i\frac{c_iq_i}{life_i},\quad C_{diesel}=\pi_{diesel}\sum_{t,i}\frac{r_iP^{dg}_{t,i}}{1000}</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8 功率平衡约束</w:t>
      </w:r>
    </w:p>
    <w:p>
      <w:pPr>
        <w:spacing w:line="240" w:lineRule="auto" w:after="100"/>
        <w:ind w:firstLine="480"/>
        <w:jc w:val="both"/>
      </w:pPr>
      <w:r>
        <w:rPr>
          <w:rFonts w:ascii="Times New Roman" w:hAnsi="Times New Roman" w:eastAsia="宋体"/>
          <w:sz w:val="24"/>
        </w:rPr>
        <w:t>功率平衡是每个小时的核心等式约束。供给侧包括柴发、风电、光伏、储能放电和燃料电池；需求侧包括负荷、储能充电和电制氢。若所有资源仍无法满足负荷，则通过切负荷变量保持模型可行，但会受到目标函数的大惩罚。</w:t>
      </w:r>
    </w:p>
    <w:p>
      <w:pPr>
        <w:spacing w:line="240" w:lineRule="auto" w:after="100"/>
        <w:ind w:firstLine="480"/>
        <w:jc w:val="both"/>
      </w:pPr>
      <w:r>
        <w:rPr>
          <w:rFonts w:ascii="Times New Roman" w:hAnsi="Times New Roman" w:eastAsia="宋体"/>
          <w:sz w:val="24"/>
        </w:rPr>
        <w:t>电储能充电和电制氢都作为用电负荷进入平衡方程；储能放电和燃料电池发电作为供电资源进入方程。这样模型能够在新能源富余时选择制氢或充电，在负荷高峰时选择放电或燃料电池出力。</w:t>
      </w:r>
    </w:p>
    <w:p>
      <w:pPr>
        <w:spacing w:before="80" w:after="40"/>
      </w:pPr>
      <w:r>
        <w:rPr>
          <w:rFonts w:ascii="Times New Roman" w:hAnsi="Times New Roman" w:eastAsia="黑体"/>
          <w:b/>
          <w:color w:val="1F4E79"/>
          <w:sz w:val="21"/>
        </w:rPr>
        <w:t>小时级功率平衡</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\sum_{i\in\mathcal{D}}P^{dg}_{t,i}+P^w_t+P^{pv}_t+P^{dis}_t+\sum_{i\in\mathcal{F}}P^{fc}_{t,i}+L^{shed}_t-P^{ch}_t-\sum_{i\in\mathcal{E}}P^{el}_{t,i}=L_t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9 风机最大可发模型</w:t>
      </w:r>
    </w:p>
    <w:p>
      <w:pPr>
        <w:spacing w:line="240" w:lineRule="auto" w:after="100"/>
        <w:ind w:firstLine="480"/>
        <w:jc w:val="both"/>
      </w:pPr>
      <w:r>
        <w:rPr>
          <w:rFonts w:ascii="Times New Roman" w:hAnsi="Times New Roman" w:eastAsia="宋体"/>
          <w:sz w:val="24"/>
        </w:rPr>
        <w:t>风机最大可发按风速分段计算。低于切入风速或高于切出风速时出力为0；达到额定风速后出力为单台容量；切入风速到额定风速之间采用三次方近似。该公式既用于优化约束，也用于快速可行性预检查。</w:t>
      </w:r>
    </w:p>
    <w:p>
      <w:pPr>
        <w:spacing w:line="240" w:lineRule="auto" w:after="100"/>
        <w:ind w:firstLine="480"/>
        <w:jc w:val="both"/>
      </w:pPr>
      <w:r>
        <w:rPr>
          <w:rFonts w:ascii="Times New Roman" w:hAnsi="Times New Roman" w:eastAsia="宋体"/>
          <w:sz w:val="24"/>
        </w:rPr>
        <w:t>额定风速参数来自风机参数表。若数据异常导致额定风速不大于切入风速，程序会使用切入风速加0.1的最小安全间隔，避免分母为0。</w:t>
      </w:r>
    </w:p>
    <w:p>
      <w:pPr>
        <w:spacing w:before="80" w:after="40"/>
      </w:pPr>
      <w:r>
        <w:rPr>
          <w:rFonts w:ascii="Times New Roman" w:hAnsi="Times New Roman" w:eastAsia="黑体"/>
          <w:b/>
          <w:color w:val="1F4E79"/>
          <w:sz w:val="21"/>
        </w:rPr>
        <w:t>风机单台最大可发</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\bar P^w_{t,i}=\begin{cases}</w:t>
      </w:r>
    </w:p>
    <w:p>
      <w:pPr>
        <w:spacing w:before="20" w:after="20"/>
        <w:jc w:val="center"/>
        <w:shd w:fill="F5F7FA"/>
      </w:pPr>
      <w:r>
        <w:rPr>
          <w:rFonts w:ascii="Consolas" w:hAnsi="Consolas" w:eastAsia="Cambria Math"/>
          <w:color w:val="14253F"/>
          <w:sz w:val="21"/>
        </w:rPr>
        <w:t>0, &amp; v_t&lt;v^{in}_i\;\text{or}\;v_t\ge v^{out}_i,\\</w:t>
      </w:r>
    </w:p>
    <w:p>
      <w:pPr>
        <w:spacing w:before="20" w:after="20"/>
        <w:jc w:val="center"/>
        <w:shd w:fill="F5F7FA"/>
      </w:pPr>
      <w:r>
        <w:rPr>
          <w:rFonts w:ascii="Consolas" w:hAnsi="Consolas" w:eastAsia="Cambria Math"/>
          <w:color w:val="14253F"/>
          <w:sz w:val="21"/>
        </w:rPr>
        <w:t>C^w_i, &amp; v_t\ge v^{rated}_i,\\</w:t>
      </w:r>
    </w:p>
    <w:p>
      <w:pPr>
        <w:spacing w:before="20" w:after="20"/>
        <w:jc w:val="center"/>
        <w:shd w:fill="F5F7FA"/>
      </w:pPr>
      <w:r>
        <w:rPr>
          <w:rFonts w:ascii="Consolas" w:hAnsi="Consolas" w:eastAsia="Cambria Math"/>
          <w:color w:val="14253F"/>
          <w:sz w:val="21"/>
        </w:rPr>
        <w:t>C^w_i\left(\frac{v_t-v^{in}_i}{v^{rated}_i-v^{in}_i}\right)^3, &amp; \text{otherwise.}</w:t>
      </w:r>
    </w:p>
    <w:p>
      <w:pPr>
        <w:spacing w:before="20" w:after="20"/>
        <w:jc w:val="center"/>
        <w:shd w:fill="F5F7FA"/>
      </w:pPr>
      <w:r>
        <w:rPr>
          <w:rFonts w:ascii="Consolas" w:hAnsi="Consolas" w:eastAsia="Cambria Math"/>
          <w:color w:val="14253F"/>
          <w:sz w:val="21"/>
        </w:rPr>
        <w:t>\end{cases}</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风电最大可发</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\bar P^w_t=\sum_{i\in\mathcal{W}}q^w_i\bar P^w_{t,i}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10 光伏最大可发模型</w:t>
      </w:r>
    </w:p>
    <w:p>
      <w:pPr>
        <w:spacing w:line="240" w:lineRule="auto" w:after="100"/>
        <w:ind w:firstLine="480"/>
        <w:jc w:val="both"/>
      </w:pPr>
      <w:r>
        <w:rPr>
          <w:rFonts w:ascii="Times New Roman" w:hAnsi="Times New Roman" w:eastAsia="宋体"/>
          <w:sz w:val="24"/>
        </w:rPr>
        <w:t>光伏最大可发采用辐照度线性模型。太阳辐照为1000 W/m2时，单台光伏按容量满发；辐照为0时出力为0。程序实现中还会用容量进行截断，避免异常辐照数据造成超过装机容量的可发功率。</w:t>
      </w:r>
    </w:p>
    <w:p>
      <w:pPr>
        <w:spacing w:line="240" w:lineRule="auto" w:after="100"/>
        <w:ind w:firstLine="480"/>
        <w:jc w:val="both"/>
      </w:pPr>
      <w:r>
        <w:rPr>
          <w:rFonts w:ascii="Times New Roman" w:hAnsi="Times New Roman" w:eastAsia="宋体"/>
          <w:sz w:val="24"/>
        </w:rPr>
        <w:t>光伏参数中的发电效率已从参数表删除，因此当前公式只使用容量和太阳辐照。该处理减少输入参数数量，也使预检查、规划求解和评估调度保持一致。</w:t>
      </w:r>
    </w:p>
    <w:p>
      <w:pPr>
        <w:spacing w:before="80" w:after="40"/>
      </w:pPr>
      <w:r>
        <w:rPr>
          <w:rFonts w:ascii="Times New Roman" w:hAnsi="Times New Roman" w:eastAsia="黑体"/>
          <w:b/>
          <w:color w:val="1F4E79"/>
          <w:sz w:val="21"/>
        </w:rPr>
        <w:t>光伏单台最大可发</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\bar P^{pv}_{t,i}=\min\left(C^{pv}_i,\; C^{pv}_i\frac{\max(0,G_t)}{1000}\right)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光伏最大可发</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\bar P^{pv}_t=\sum_{i\in\mathcal{P}}q^{pv}_i\bar P^{pv}_{t,i}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11 风光统一弃电率与线性化</w:t>
      </w:r>
    </w:p>
    <w:p>
      <w:pPr>
        <w:spacing w:line="240" w:lineRule="auto" w:after="100"/>
        <w:ind w:firstLine="480"/>
        <w:jc w:val="both"/>
      </w:pPr>
      <w:r>
        <w:rPr>
          <w:rFonts w:ascii="Times New Roman" w:hAnsi="Times New Roman" w:eastAsia="宋体"/>
          <w:sz w:val="24"/>
        </w:rPr>
        <w:t>为避免多个等价解导致弃风、弃光分配不稳定，模型在同一小时使用统一新能源弃电率。由于建设台数 q_i 与弃电率 alpha_t 相乘会形成双线性项，程序引入辅助变量 z_t,i，并使用 McCormick 线性包络在整数台数上限范围内线性化。</w:t>
      </w:r>
    </w:p>
    <w:p>
      <w:pPr>
        <w:spacing w:line="240" w:lineRule="auto" w:after="100"/>
        <w:ind w:firstLine="480"/>
        <w:jc w:val="both"/>
      </w:pPr>
      <w:r>
        <w:rPr>
          <w:rFonts w:ascii="Times New Roman" w:hAnsi="Times New Roman" w:eastAsia="宋体"/>
          <w:sz w:val="24"/>
        </w:rPr>
        <w:t>该建模方式比为每台风机和每台光伏单独建模更轻，但仍能保持同一小时风光弃电比例一致。弃风功率和弃光功率由各设备行最大可发功率乘以对应 z_t,i 汇总得到。</w:t>
      </w:r>
    </w:p>
    <w:p>
      <w:pPr>
        <w:spacing w:before="80" w:after="40"/>
      </w:pPr>
      <w:r>
        <w:rPr>
          <w:rFonts w:ascii="Times New Roman" w:hAnsi="Times New Roman" w:eastAsia="黑体"/>
          <w:b/>
          <w:color w:val="1F4E79"/>
          <w:sz w:val="21"/>
        </w:rPr>
        <w:t>统一弃电率</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\alpha_t\le 1,\qquad z_{t,i}=q_i\alpha_t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线性化约束</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\begin{aligned}</w:t>
      </w:r>
    </w:p>
    <w:p>
      <w:pPr>
        <w:spacing w:before="20" w:after="20"/>
        <w:jc w:val="center"/>
        <w:shd w:fill="F5F7FA"/>
      </w:pPr>
      <w:r>
        <w:rPr>
          <w:rFonts w:ascii="Consolas" w:hAnsi="Consolas" w:eastAsia="Cambria Math"/>
          <w:color w:val="14253F"/>
          <w:sz w:val="21"/>
        </w:rPr>
        <w:t>z_{t,i}&amp;\le q_i,\\ z_{t,i}&amp;\le q^{max}_i\alpha_t,\\ z_{t,i}&amp;\ge q_i+q^{max}_i\alpha_t-q^{max}_i,\\ 0&amp;\le z_{t,i}\le q^{max}_i.</w:t>
      </w:r>
    </w:p>
    <w:p>
      <w:pPr>
        <w:spacing w:before="20" w:after="20"/>
        <w:jc w:val="center"/>
        <w:shd w:fill="F5F7FA"/>
      </w:pPr>
      <w:r>
        <w:rPr>
          <w:rFonts w:ascii="Consolas" w:hAnsi="Consolas" w:eastAsia="Cambria Math"/>
          <w:color w:val="14253F"/>
          <w:sz w:val="21"/>
        </w:rPr>
        <w:t>\end{aligned}</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实际出力与弃电</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P^w_t=\sum_i\bar P^w_{t,i}(q_i-z_{t,i}),\quad P^{cur,w}_t=\sum_i\bar P^w_{t,i}z_{t,i}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12 柴油发电机启停与出力约束</w:t>
      </w:r>
    </w:p>
    <w:p>
      <w:pPr>
        <w:spacing w:line="240" w:lineRule="auto" w:after="100"/>
        <w:ind w:firstLine="480"/>
        <w:jc w:val="both"/>
      </w:pPr>
      <w:r>
        <w:rPr>
          <w:rFonts w:ascii="Times New Roman" w:hAnsi="Times New Roman" w:eastAsia="宋体"/>
          <w:sz w:val="24"/>
        </w:rPr>
        <w:t>柴油发电机按设备行使用开机台数变量。开机台数不得超过建设台数；出力不得超过开机台数乘以单台功率上限，也不得低于开机台数乘以单台功率下限。</w:t>
      </w:r>
    </w:p>
    <w:p>
      <w:pPr>
        <w:spacing w:line="240" w:lineRule="auto" w:after="100"/>
        <w:ind w:firstLine="480"/>
        <w:jc w:val="both"/>
      </w:pPr>
      <w:r>
        <w:rPr>
          <w:rFonts w:ascii="Times New Roman" w:hAnsi="Times New Roman" w:eastAsia="宋体"/>
          <w:sz w:val="24"/>
        </w:rPr>
        <w:t>这种台数级整数建模显著减少了二进制变量数量。若某设备行上限为10台，模型只需要一个0到10的整数变量，而不需要10个独立0/1变量。</w:t>
      </w:r>
    </w:p>
    <w:p>
      <w:pPr>
        <w:spacing w:before="80" w:after="40"/>
      </w:pPr>
      <w:r>
        <w:rPr>
          <w:rFonts w:ascii="Times New Roman" w:hAnsi="Times New Roman" w:eastAsia="黑体"/>
          <w:b/>
          <w:color w:val="1F4E79"/>
          <w:sz w:val="21"/>
        </w:rPr>
        <w:t>柴发开机约束</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N^{dg,on}_{t,i}\le q^{dg}_i,\quad N^{dg,on}_{t,i}\in\mathbb{Z}_{+}</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柴发出力上下限</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P^{min,dg}_iN^{dg,on}_{t,i}\le P^{dg}_{t,i}\le P^{max,dg}_iN^{dg,on}_{t,i}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13 电制氢启停与功率约束</w:t>
      </w:r>
    </w:p>
    <w:p>
      <w:pPr>
        <w:spacing w:line="240" w:lineRule="auto" w:after="100"/>
        <w:ind w:firstLine="480"/>
        <w:jc w:val="both"/>
      </w:pPr>
      <w:r>
        <w:rPr>
          <w:rFonts w:ascii="Times New Roman" w:hAnsi="Times New Roman" w:eastAsia="宋体"/>
          <w:sz w:val="24"/>
        </w:rPr>
        <w:t>电制氢设备同样采用台数级开机变量，考虑功率上限和功率下限。当电制氢处于开机状态时，其用电功率不得低于单台下限乘以开机台数；未开机时功率被约束为0。</w:t>
      </w:r>
    </w:p>
    <w:p>
      <w:pPr>
        <w:spacing w:line="240" w:lineRule="auto" w:after="100"/>
        <w:ind w:firstLine="480"/>
        <w:jc w:val="both"/>
      </w:pPr>
      <w:r>
        <w:rPr>
          <w:rFonts w:ascii="Times New Roman" w:hAnsi="Times New Roman" w:eastAsia="宋体"/>
          <w:sz w:val="24"/>
        </w:rPr>
        <w:t>制氢功率作为负荷进入电功率平衡，同时通过电-氢效率转换为储氢罐的氢气增加量。模型因此能够在新能源富余或柴油经济性较差时安排制氢。</w:t>
      </w:r>
    </w:p>
    <w:p>
      <w:pPr>
        <w:spacing w:before="80" w:after="40"/>
      </w:pPr>
      <w:r>
        <w:rPr>
          <w:rFonts w:ascii="Times New Roman" w:hAnsi="Times New Roman" w:eastAsia="黑体"/>
          <w:b/>
          <w:color w:val="1F4E79"/>
          <w:sz w:val="21"/>
        </w:rPr>
        <w:t>电制氢开机与功率</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N^{el,on}_{t,i}\le q^{el}_i,\quad P^{min,el}_iN^{el,on}_{t,i}\le P^{el}_{t,i}\le C^{el}_iN^{el,on}_{t,i}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14 储能PCS与充放电互斥</w:t>
      </w:r>
    </w:p>
    <w:p>
      <w:pPr>
        <w:spacing w:line="240" w:lineRule="auto" w:after="100"/>
        <w:ind w:firstLine="480"/>
        <w:jc w:val="both"/>
      </w:pPr>
      <w:r>
        <w:rPr>
          <w:rFonts w:ascii="Times New Roman" w:hAnsi="Times New Roman" w:eastAsia="宋体"/>
          <w:sz w:val="24"/>
        </w:rPr>
        <w:t>储能PCS提供充电和放电功率边界。模型使用充电状态二进制变量和放电状态二进制变量，要求二者之和不超过1，从而避免同一小时同时充电和放电。</w:t>
      </w:r>
    </w:p>
    <w:p>
      <w:pPr>
        <w:spacing w:line="240" w:lineRule="auto" w:after="100"/>
        <w:ind w:firstLine="480"/>
        <w:jc w:val="both"/>
      </w:pPr>
      <w:r>
        <w:rPr>
          <w:rFonts w:ascii="Times New Roman" w:hAnsi="Times New Roman" w:eastAsia="宋体"/>
          <w:sz w:val="24"/>
        </w:rPr>
        <w:t>储能PCS分为构网型和跟网型。构网型PCS除参与充放电能力外，还能参与系统在线支撑和扰动后调节能力计算；跟网型PCS不计入电网向上或向下调节能力。</w:t>
      </w:r>
    </w:p>
    <w:p>
      <w:pPr>
        <w:spacing w:before="80" w:after="40"/>
      </w:pPr>
      <w:r>
        <w:rPr>
          <w:rFonts w:ascii="Times New Roman" w:hAnsi="Times New Roman" w:eastAsia="黑体"/>
          <w:b/>
          <w:color w:val="1F4E79"/>
          <w:sz w:val="21"/>
        </w:rPr>
        <w:t>充放电功率上限</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P^{ch}_t\le \sum_{i\in\mathcal{S}}q^{pcs}_iC^{pcs}_i,\quad 0\le P^{dis}_t\le \sum_{i\in\mathcal{S}}q^{pcs}_iC^{pcs}_i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充放电互斥</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P^{ch}_t\le M^{pcs}I^{ch}_t,\quad P^{dis}_t\le M^{pcs}I^{dis}_t,\quad I^{ch}_t+I^{dis}_t\le 1</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15 电储能SOC动态与每日循环</w:t>
      </w:r>
    </w:p>
    <w:p>
      <w:pPr>
        <w:spacing w:line="240" w:lineRule="auto" w:after="100"/>
        <w:ind w:firstLine="480"/>
        <w:jc w:val="both"/>
      </w:pPr>
      <w:r>
        <w:rPr>
          <w:rFonts w:ascii="Times New Roman" w:hAnsi="Times New Roman" w:eastAsia="宋体"/>
          <w:sz w:val="24"/>
        </w:rPr>
        <w:t>储能电池组通过统一SOC变量描述系统级电量。充电按充电效率增加SOC，放电按放电效率折算减少SOC，自损耗按小时保留系数进入动态方程。</w:t>
      </w:r>
    </w:p>
    <w:p>
      <w:pPr>
        <w:spacing w:line="240" w:lineRule="auto" w:after="100"/>
        <w:ind w:firstLine="480"/>
        <w:jc w:val="both"/>
      </w:pPr>
      <w:r>
        <w:rPr>
          <w:rFonts w:ascii="Times New Roman" w:hAnsi="Times New Roman" w:eastAsia="宋体"/>
          <w:sz w:val="24"/>
        </w:rPr>
        <w:t>初始电储SOC来自规划参数，默认0.5。模型在每天结束时增加循环约束，使日末SOC回到初始SOC对应的容量水平，避免模型利用年末或日末剩余电量虚增收益。</w:t>
      </w:r>
    </w:p>
    <w:p>
      <w:pPr>
        <w:spacing w:line="240" w:lineRule="auto" w:after="100"/>
        <w:ind w:firstLine="480"/>
        <w:jc w:val="both"/>
      </w:pPr>
      <w:r>
        <w:rPr>
          <w:rFonts w:ascii="Times New Roman" w:hAnsi="Times New Roman" w:eastAsia="宋体"/>
          <w:sz w:val="24"/>
        </w:rPr>
        <w:t>SOC上下限由储能电池参数给出。模型还使用阈值指示变量近似低于下限不能放电、高于上限不能充电的逻辑。</w:t>
      </w:r>
    </w:p>
    <w:p>
      <w:pPr>
        <w:spacing w:before="80" w:after="40"/>
      </w:pPr>
      <w:r>
        <w:rPr>
          <w:rFonts w:ascii="Times New Roman" w:hAnsi="Times New Roman" w:eastAsia="黑体"/>
          <w:b/>
          <w:color w:val="1F4E79"/>
          <w:sz w:val="21"/>
        </w:rPr>
        <w:t>SOC动态</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SOC_t=\rho_bSOC_{t-1}+\eta^{ch}P^{ch}_t-\frac{P^{dis}_t}{\eta^{dis}}</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SOC容量边界</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SOC^{min}\sum_iq^{bat}_iC^{bat}_i\le SOC_t\le SOC^{max}\sum_iq^{bat}_iC^{bat}_i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日循环约束</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SOC_{24d}=SOC_0\sum_iq^{bat}_iC^{bat}_i,\qquad d=1,2,\ldots,365</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16 储氢动态与全年循环</w:t>
      </w:r>
    </w:p>
    <w:p>
      <w:pPr>
        <w:spacing w:line="240" w:lineRule="auto" w:after="100"/>
        <w:ind w:firstLine="480"/>
        <w:jc w:val="both"/>
      </w:pPr>
      <w:r>
        <w:rPr>
          <w:rFonts w:ascii="Times New Roman" w:hAnsi="Times New Roman" w:eastAsia="宋体"/>
          <w:sz w:val="24"/>
        </w:rPr>
        <w:t>储氢罐通过氢储量变量描述。电制氢按电-氢效率增加储氢量，燃料电池按氢-电效率消耗氢气，自损耗按小时保留系数进入动态方程。</w:t>
      </w:r>
    </w:p>
    <w:p>
      <w:pPr>
        <w:spacing w:line="240" w:lineRule="auto" w:after="100"/>
        <w:ind w:firstLine="480"/>
        <w:jc w:val="both"/>
      </w:pPr>
      <w:r>
        <w:rPr>
          <w:rFonts w:ascii="Times New Roman" w:hAnsi="Times New Roman" w:eastAsia="宋体"/>
          <w:sz w:val="24"/>
        </w:rPr>
        <w:t>初始氢储SOC来自规划参数，默认0.5。模型要求8760点结束时的氢储容量等于初始氢储容量，避免将初始氢气无成本消耗后不恢复。</w:t>
      </w:r>
    </w:p>
    <w:p>
      <w:pPr>
        <w:spacing w:line="240" w:lineRule="auto" w:after="100"/>
        <w:ind w:firstLine="480"/>
        <w:jc w:val="both"/>
      </w:pPr>
      <w:r>
        <w:rPr>
          <w:rFonts w:ascii="Times New Roman" w:hAnsi="Times New Roman" w:eastAsia="宋体"/>
          <w:sz w:val="24"/>
        </w:rPr>
        <w:t>若储氢罐存在自损耗且没有电制氢设备，快速预检查会提前报错，因为期末等于初始的约束在此情况下必然不可行。</w:t>
      </w:r>
    </w:p>
    <w:p>
      <w:pPr>
        <w:spacing w:before="80" w:after="40"/>
      </w:pPr>
      <w:r>
        <w:rPr>
          <w:rFonts w:ascii="Times New Roman" w:hAnsi="Times New Roman" w:eastAsia="黑体"/>
          <w:b/>
          <w:color w:val="1F4E79"/>
          <w:sz w:val="21"/>
        </w:rPr>
        <w:t>储氢动态</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H_t=\rho_hH_{t-1}+\sum_{i\in\mathcal{E}}\eta^{e2h}_iP^{el}_{t,i}-\sum_{i\in\mathcal{F}}\frac{P^{fc}_{t,i}}{\eta^{h2e}_i}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储氢容量与年循环</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H_t\le \sum_{i\in\mathcal{H}}q^{ht}_iC^{ht}_i,\quad H_{8760}=SOC^h_0\sum_iq^{ht}_iC^{ht}_i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17 燃料电池出力约束</w:t>
      </w:r>
    </w:p>
    <w:p>
      <w:pPr>
        <w:spacing w:line="240" w:lineRule="auto" w:after="100"/>
        <w:ind w:firstLine="480"/>
        <w:jc w:val="both"/>
      </w:pPr>
      <w:r>
        <w:rPr>
          <w:rFonts w:ascii="Times New Roman" w:hAnsi="Times New Roman" w:eastAsia="宋体"/>
          <w:sz w:val="24"/>
        </w:rPr>
        <w:t>燃料电池作为氢能向电能转换的发电资源。其出力上限由燃料电池建设台数和单台功率容量决定。燃料电池的氢气消耗进入储氢动态方程，因此不能凭空发电。</w:t>
      </w:r>
    </w:p>
    <w:p>
      <w:pPr>
        <w:spacing w:line="240" w:lineRule="auto" w:after="100"/>
        <w:ind w:firstLine="480"/>
        <w:jc w:val="both"/>
      </w:pPr>
      <w:r>
        <w:rPr>
          <w:rFonts w:ascii="Times New Roman" w:hAnsi="Times New Roman" w:eastAsia="宋体"/>
          <w:sz w:val="24"/>
        </w:rPr>
        <w:t>当前模型不为燃料电池设置单独启停变量，主要通过出力连续变量和容量上限约束表达运行能力。若后续需要考虑燃料电池最小出力、启停成本或寿命衰减，可在公共建模模块中增加对应约束。</w:t>
      </w:r>
    </w:p>
    <w:p>
      <w:pPr>
        <w:spacing w:before="80" w:after="40"/>
      </w:pPr>
      <w:r>
        <w:rPr>
          <w:rFonts w:ascii="Times New Roman" w:hAnsi="Times New Roman" w:eastAsia="黑体"/>
          <w:b/>
          <w:color w:val="1F4E79"/>
          <w:sz w:val="21"/>
        </w:rPr>
        <w:t>燃料电池容量上限</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P^{fc}_{t,i}\le q^{fc}_iC^{fc}_i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氢电转换</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\Delta H^{use}_{t,i}=\frac{P^{fc}_{t,i}}{\eta^{h2e}_i}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18 绿色电量占比约束</w:t>
      </w:r>
    </w:p>
    <w:p>
      <w:pPr>
        <w:spacing w:line="240" w:lineRule="auto" w:after="100"/>
        <w:ind w:firstLine="480"/>
        <w:jc w:val="both"/>
      </w:pPr>
      <w:r>
        <w:rPr>
          <w:rFonts w:ascii="Times New Roman" w:hAnsi="Times New Roman" w:eastAsia="宋体"/>
          <w:sz w:val="24"/>
        </w:rPr>
        <w:t>绿色电量占比约束从规划参数中读取下限。程序中绿色电量由风电实际出力、光伏实际出力、储能放电和燃料电池发电构成；柴油电量由柴发出力构成。</w:t>
      </w:r>
    </w:p>
    <w:p>
      <w:pPr>
        <w:spacing w:line="240" w:lineRule="auto" w:after="100"/>
        <w:ind w:firstLine="480"/>
        <w:jc w:val="both"/>
      </w:pPr>
      <w:r>
        <w:rPr>
          <w:rFonts w:ascii="Times New Roman" w:hAnsi="Times New Roman" w:eastAsia="宋体"/>
          <w:sz w:val="24"/>
        </w:rPr>
        <w:t>约束形式经过线性整理，避免出现绿色电量除以总电量的分式。这样可以直接放入MILP线性约束矩阵。</w:t>
      </w:r>
    </w:p>
    <w:p>
      <w:pPr>
        <w:spacing w:before="80" w:after="40"/>
      </w:pPr>
      <w:r>
        <w:rPr>
          <w:rFonts w:ascii="Times New Roman" w:hAnsi="Times New Roman" w:eastAsia="黑体"/>
          <w:b/>
          <w:color w:val="1F4E79"/>
          <w:sz w:val="21"/>
        </w:rPr>
        <w:t>绿色电量定义</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E^{green}=\sum_t(P^w_t+P^{pv}_t+P^{dis}_t+\sum_iP^{fc}_{t,i}),\quad E^{diesel}=\sum_t\sum_iP^{dg}_{t,i}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绿色电量占比</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\frac{E^{green}}{E^{green}+E^{diesel}}\ge R^{green}_{min}</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线性形式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(1-R^{green}_{min})E^{green}-R^{green}_{min}E^{diesel}\ge 0</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19 构网储能与在线支撑约束</w:t>
      </w:r>
    </w:p>
    <w:p>
      <w:pPr>
        <w:spacing w:line="240" w:lineRule="auto" w:after="100"/>
        <w:ind w:firstLine="480"/>
        <w:jc w:val="both"/>
      </w:pPr>
      <w:r>
        <w:rPr>
          <w:rFonts w:ascii="Times New Roman" w:hAnsi="Times New Roman" w:eastAsia="宋体"/>
          <w:sz w:val="24"/>
        </w:rPr>
        <w:t>每个小时至少需要一类可控支撑资源在线。模型把柴发开机台数和构网储能在线台数相加，要求其和大于等于1。这样能够避免系统完全由不可控风光和跟网设备供电而缺乏电压/频率支撑。</w:t>
      </w:r>
    </w:p>
    <w:p>
      <w:pPr>
        <w:spacing w:line="240" w:lineRule="auto" w:after="100"/>
        <w:ind w:firstLine="480"/>
        <w:jc w:val="both"/>
      </w:pPr>
      <w:r>
        <w:rPr>
          <w:rFonts w:ascii="Times New Roman" w:hAnsi="Times New Roman" w:eastAsia="宋体"/>
          <w:sz w:val="24"/>
        </w:rPr>
        <w:t>构网储能在线台数不得超过对应储能PCS建设台数。若储能PCS是跟网模式，则该设备不参与在线支撑和后续扰动后调节能力计算。</w:t>
      </w:r>
    </w:p>
    <w:p>
      <w:pPr>
        <w:spacing w:before="80" w:after="40"/>
      </w:pPr>
      <w:r>
        <w:rPr>
          <w:rFonts w:ascii="Times New Roman" w:hAnsi="Times New Roman" w:eastAsia="黑体"/>
          <w:b/>
          <w:color w:val="1F4E79"/>
          <w:sz w:val="21"/>
        </w:rPr>
        <w:t>在线支撑</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\sum_{i\in\mathcal{D}}N^{dg,on}_{t,i}+\sum_{i\in\mathcal{S}_{gf}}N^{gf,on}_{t,i}\ge 1</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构网储能在线上限</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0\le N^{gf,on}_{t,i}\le q^{pcs}_i,\qquad i\in\mathcal{S}_{gf}</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20 扰动后平衡约束</w:t>
      </w:r>
    </w:p>
    <w:p>
      <w:pPr>
        <w:spacing w:line="240" w:lineRule="auto" w:after="100"/>
        <w:ind w:firstLine="480"/>
        <w:jc w:val="both"/>
      </w:pPr>
      <w:r>
        <w:rPr>
          <w:rFonts w:ascii="Times New Roman" w:hAnsi="Times New Roman" w:eastAsia="宋体"/>
          <w:sz w:val="24"/>
        </w:rPr>
        <w:t>当规划参数是否考虑扰动后平衡约束为1时，模型按小时增加向上和向下调节能力约束。向上调节能力来自开机柴发剩余上调空间和构网储能可放电空间；向下调节能力来自柴发当前出力、构网储能当前出力和构网储能可吸收空间。</w:t>
      </w:r>
    </w:p>
    <w:p>
      <w:pPr>
        <w:spacing w:line="240" w:lineRule="auto" w:after="100"/>
        <w:ind w:firstLine="480"/>
        <w:jc w:val="both"/>
      </w:pPr>
      <w:r>
        <w:rPr>
          <w:rFonts w:ascii="Times New Roman" w:hAnsi="Times New Roman" w:eastAsia="宋体"/>
          <w:sz w:val="24"/>
        </w:rPr>
        <w:t>负荷向上扰动和新能源向下扰动共同形成向上调节需求；负荷向下扰动形成向下调节需求。若该开关为0，这两类扰动后安全约束不加入模型。</w:t>
      </w:r>
    </w:p>
    <w:p>
      <w:pPr>
        <w:spacing w:before="80" w:after="40"/>
      </w:pPr>
      <w:r>
        <w:rPr>
          <w:rFonts w:ascii="Times New Roman" w:hAnsi="Times New Roman" w:eastAsia="黑体"/>
          <w:b/>
          <w:color w:val="1F4E79"/>
          <w:sz w:val="21"/>
        </w:rPr>
        <w:t>向上调节能力</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R^{up}_t=\sum_iP^{max,dg}_iN^{dg,on}_{t,i}-\sum_iP^{dg}_{t,i}+\sum_{i\in\mathcal{S}_{gf}}C^{pcs}_iN^{gf,up}_{t,i}-P^{gf,dis}_t+P^{gf,ch}_t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向下调节能力</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R^{down}_t=\sum_iP^{dg}_{t,i}+\sum_{i\in\mathcal{S}_{gf}}C^{pcs}_iN^{gf,down}_{t,i}+P^{gf,dis}_t-P^{gf,ch}_t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扰动需求</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D^{up}_t=L_tk^{load,up}+(P^w_t+P^{pv}_t)k^{ren,down},\quad D^{down}_t=L_tk^{load,down}</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扰动后平衡</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R^{up}_t\ge D^{up}_t,\qquad R^{down}_t\ge D^{down}_t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21 频率安全参数与当前实现边界</w:t>
      </w:r>
    </w:p>
    <w:p>
      <w:pPr>
        <w:spacing w:line="240" w:lineRule="auto" w:after="100"/>
        <w:ind w:firstLine="480"/>
        <w:jc w:val="both"/>
      </w:pPr>
      <w:r>
        <w:rPr>
          <w:rFonts w:ascii="Times New Roman" w:hAnsi="Times New Roman" w:eastAsia="宋体"/>
          <w:sz w:val="24"/>
        </w:rPr>
        <w:t>前端规划参数已经维护频率安全相关字段，包括频率上下限、Nadir评估时长、RoCoF上限、网络同步系数等。当前后台规划求解中，严格频率动态约束尚未作为完整MILP约束加入；结果中的安全性指标主要基于未供负荷、基础安全摘要和扰动后平衡约束。</w:t>
      </w:r>
    </w:p>
    <w:p>
      <w:pPr>
        <w:spacing w:line="240" w:lineRule="auto" w:after="100"/>
        <w:ind w:firstLine="480"/>
        <w:jc w:val="both"/>
      </w:pPr>
      <w:r>
        <w:rPr>
          <w:rFonts w:ascii="Times New Roman" w:hAnsi="Times New Roman" w:eastAsia="宋体"/>
          <w:sz w:val="24"/>
        </w:rPr>
        <w:t>因此，在阅读结果时应区分已进入优化模型的扰动后平衡约束和作为参数预留或摘要展示的频率安全字段。若后续需要精确频率安全优化，可将惯量、阻尼、一次调频、RoCoF和Nadir线性化约束加入公共MILP模块。</w:t>
      </w:r>
    </w:p>
    <w:p>
      <w:pPr>
        <w:spacing w:before="80" w:after="40"/>
      </w:pPr>
      <w:r>
        <w:rPr>
          <w:rFonts w:ascii="Times New Roman" w:hAnsi="Times New Roman" w:eastAsia="黑体"/>
          <w:b/>
          <w:color w:val="1F4E79"/>
          <w:sz w:val="21"/>
        </w:rPr>
        <w:t>频率安全扩展的一般形式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\begin{aligned}</w:t>
      </w:r>
    </w:p>
    <w:p>
      <w:pPr>
        <w:spacing w:before="20" w:after="20"/>
        <w:jc w:val="center"/>
        <w:shd w:fill="F5F7FA"/>
      </w:pPr>
      <w:r>
        <w:rPr>
          <w:rFonts w:ascii="Consolas" w:hAnsi="Consolas" w:eastAsia="Cambria Math"/>
          <w:color w:val="14253F"/>
          <w:sz w:val="21"/>
        </w:rPr>
        <w:t>H^{sys}_t &amp;= \sum_i H^{dg}_iN^{dg,on}_{t,i}+\sum_{i\in\mathcal{S}_{gf}}H^{pcs}_iN^{gf,on}_{t,i},\\</w:t>
      </w:r>
    </w:p>
    <w:p>
      <w:pPr>
        <w:spacing w:before="20" w:after="20"/>
        <w:jc w:val="center"/>
        <w:shd w:fill="F5F7FA"/>
      </w:pPr>
      <w:r>
        <w:rPr>
          <w:rFonts w:ascii="Consolas" w:hAnsi="Consolas" w:eastAsia="Cambria Math"/>
          <w:color w:val="14253F"/>
          <w:sz w:val="21"/>
        </w:rPr>
        <w:t>K^{sys}_t &amp;= \sum_i K^{dg}_iN^{dg,on}_{t,i}+\sum_{i\in\mathcal{S}_{gf}}K^{pcs}_iN^{gf,on}_{t,i},\\</w:t>
      </w:r>
    </w:p>
    <w:p>
      <w:pPr>
        <w:spacing w:before="20" w:after="20"/>
        <w:jc w:val="center"/>
        <w:shd w:fill="F5F7FA"/>
      </w:pPr>
      <w:r>
        <w:rPr>
          <w:rFonts w:ascii="Consolas" w:hAnsi="Consolas" w:eastAsia="Cambria Math"/>
          <w:color w:val="14253F"/>
          <w:sz w:val="21"/>
        </w:rPr>
        <w:t>|RoCoF_t|&amp;\le RoCoF^{max},\quad f^{min}\le f_t\le f^{max}.</w:t>
      </w:r>
    </w:p>
    <w:p>
      <w:pPr>
        <w:spacing w:before="20" w:after="20"/>
        <w:jc w:val="center"/>
        <w:shd w:fill="F5F7FA"/>
      </w:pPr>
      <w:r>
        <w:rPr>
          <w:rFonts w:ascii="Consolas" w:hAnsi="Consolas" w:eastAsia="Cambria Math"/>
          <w:color w:val="14253F"/>
          <w:sz w:val="21"/>
        </w:rPr>
        <w:t>\end{aligned}</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22 快速可行性预检查</w:t>
      </w:r>
    </w:p>
    <w:p>
      <w:pPr>
        <w:spacing w:line="240" w:lineRule="auto" w:after="100"/>
        <w:ind w:firstLine="480"/>
        <w:jc w:val="both"/>
      </w:pPr>
      <w:r>
        <w:rPr>
          <w:rFonts w:ascii="Times New Roman" w:hAnsi="Times New Roman" w:eastAsia="宋体"/>
          <w:sz w:val="24"/>
        </w:rPr>
        <w:t>预检查在正式启动求解器前执行，用于提前捕获必然不可行的简单场景。它不是完整可行性证明，通过预检查后仍需由MILP求解器判断完整约束是否可行。</w:t>
      </w:r>
    </w:p>
    <w:p>
      <w:pPr>
        <w:spacing w:line="240" w:lineRule="auto" w:after="100"/>
        <w:ind w:firstLine="480"/>
        <w:jc w:val="both"/>
      </w:pPr>
      <w:r>
        <w:rPr>
          <w:rFonts w:ascii="Times New Roman" w:hAnsi="Times New Roman" w:eastAsia="宋体"/>
          <w:sz w:val="24"/>
        </w:rPr>
        <w:t>预检查覆盖风光能力、绿电比例、单小时最大供电能力、储氢自损耗和电储自损耗等场景。对于方案评估，程序先把设计台数固定到设备参数中，再复用同一套预检查函数。</w:t>
      </w:r>
    </w:p>
    <w:p>
      <w:pPr>
        <w:jc w:val="center"/>
      </w:pPr>
      <w:r>
        <w:rPr>
          <w:rFonts w:ascii="Times New Roman" w:hAnsi="Times New Roman" w:eastAsia="黑体"/>
          <w:b/>
          <w:color w:val="374151"/>
          <w:sz w:val="21"/>
        </w:rPr>
        <w:t>表4 快速可行性预检查</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检查项</w:t>
            </w:r>
          </w:p>
        </w:tc>
        <w:tc>
          <w:tcPr>
            <w:tcW w:type="dxa" w:w="3099"/>
            <w:vAlign w:val="center"/>
            <w:shd w:fill="E8EEF7"/>
          </w:tcPr>
          <w:p>
            <w:pPr>
              <w:jc w:val="center"/>
            </w:pPr>
            <w:r/>
            <w:r>
              <w:rPr>
                <w:rFonts w:ascii="Times New Roman" w:hAnsi="Times New Roman" w:eastAsia="宋体"/>
                <w:b/>
                <w:sz w:val="21"/>
              </w:rPr>
              <w:t>触发条件</w:t>
            </w:r>
          </w:p>
        </w:tc>
        <w:tc>
          <w:tcPr>
            <w:tcW w:type="dxa" w:w="3099"/>
            <w:vAlign w:val="center"/>
            <w:shd w:fill="E8EEF7"/>
          </w:tcPr>
          <w:p>
            <w:pPr>
              <w:jc w:val="center"/>
            </w:pPr>
            <w:r/>
            <w:r>
              <w:rPr>
                <w:rFonts w:ascii="Times New Roman" w:hAnsi="Times New Roman" w:eastAsia="宋体"/>
                <w:b/>
                <w:sz w:val="21"/>
              </w:rPr>
              <w:t>结果</w:t>
            </w:r>
          </w:p>
        </w:tc>
      </w:tr>
      <w:tr>
        <w:tc>
          <w:tcPr>
            <w:tcW w:type="dxa" w:w="3099"/>
            <w:vAlign w:val="center"/>
          </w:tcPr>
          <w:p>
            <w:pPr>
              <w:jc w:val="center"/>
            </w:pPr>
            <w:r/>
            <w:r>
              <w:rPr>
                <w:rFonts w:ascii="Times New Roman" w:hAnsi="Times New Roman" w:eastAsia="宋体"/>
                <w:b w:val="0"/>
                <w:sz w:val="21"/>
              </w:rPr>
              <w:t>无风光能力</w:t>
            </w:r>
          </w:p>
        </w:tc>
        <w:tc>
          <w:tcPr>
            <w:tcW w:type="dxa" w:w="3099"/>
            <w:vAlign w:val="center"/>
          </w:tcPr>
          <w:p>
            <w:pPr>
              <w:jc w:val="left"/>
            </w:pPr>
            <w:r/>
            <w:r>
              <w:rPr>
                <w:rFonts w:ascii="Times New Roman" w:hAnsi="Times New Roman" w:eastAsia="宋体"/>
                <w:b w:val="0"/>
                <w:sz w:val="21"/>
              </w:rPr>
              <w:t>绿电占比下限大于0且风机、光伏可建设容量为0</w:t>
            </w:r>
          </w:p>
        </w:tc>
        <w:tc>
          <w:tcPr>
            <w:tcW w:type="dxa" w:w="3099"/>
            <w:vAlign w:val="center"/>
          </w:tcPr>
          <w:p>
            <w:pPr>
              <w:jc w:val="left"/>
            </w:pPr>
            <w:r/>
            <w:r>
              <w:rPr>
                <w:rFonts w:ascii="Times New Roman" w:hAnsi="Times New Roman" w:eastAsia="宋体"/>
                <w:b w:val="0"/>
                <w:sz w:val="21"/>
              </w:rPr>
              <w:t>直接中文报错</w:t>
            </w:r>
          </w:p>
        </w:tc>
      </w:tr>
      <w:tr>
        <w:tc>
          <w:tcPr>
            <w:tcW w:type="dxa" w:w="3099"/>
            <w:vAlign w:val="center"/>
          </w:tcPr>
          <w:p>
            <w:pPr>
              <w:jc w:val="center"/>
            </w:pPr>
            <w:r/>
            <w:r>
              <w:rPr>
                <w:rFonts w:ascii="Times New Roman" w:hAnsi="Times New Roman" w:eastAsia="宋体"/>
                <w:b w:val="0"/>
                <w:sz w:val="21"/>
              </w:rPr>
              <w:t>年度风光不足</w:t>
            </w:r>
          </w:p>
        </w:tc>
        <w:tc>
          <w:tcPr>
            <w:tcW w:type="dxa" w:w="3099"/>
            <w:vAlign w:val="center"/>
          </w:tcPr>
          <w:p>
            <w:pPr>
              <w:jc w:val="left"/>
            </w:pPr>
            <w:r/>
            <w:r>
              <w:rPr>
                <w:rFonts w:ascii="Times New Roman" w:hAnsi="Times New Roman" w:eastAsia="宋体"/>
                <w:b w:val="0"/>
                <w:sz w:val="21"/>
              </w:rPr>
              <w:t>风光最大可发电量低于绿电占比所需电量</w:t>
            </w:r>
          </w:p>
        </w:tc>
        <w:tc>
          <w:tcPr>
            <w:tcW w:type="dxa" w:w="3099"/>
            <w:vAlign w:val="center"/>
          </w:tcPr>
          <w:p>
            <w:pPr>
              <w:jc w:val="left"/>
            </w:pPr>
            <w:r/>
            <w:r>
              <w:rPr>
                <w:rFonts w:ascii="Times New Roman" w:hAnsi="Times New Roman" w:eastAsia="宋体"/>
                <w:b w:val="0"/>
                <w:sz w:val="21"/>
              </w:rPr>
              <w:t>直接中文报错</w:t>
            </w:r>
          </w:p>
        </w:tc>
      </w:tr>
      <w:tr>
        <w:tc>
          <w:tcPr>
            <w:tcW w:type="dxa" w:w="3099"/>
            <w:vAlign w:val="center"/>
          </w:tcPr>
          <w:p>
            <w:pPr>
              <w:jc w:val="center"/>
            </w:pPr>
            <w:r/>
            <w:r>
              <w:rPr>
                <w:rFonts w:ascii="Times New Roman" w:hAnsi="Times New Roman" w:eastAsia="宋体"/>
                <w:b w:val="0"/>
                <w:sz w:val="21"/>
              </w:rPr>
              <w:t>单小时供电不足</w:t>
            </w:r>
          </w:p>
        </w:tc>
        <w:tc>
          <w:tcPr>
            <w:tcW w:type="dxa" w:w="3099"/>
            <w:vAlign w:val="center"/>
          </w:tcPr>
          <w:p>
            <w:pPr>
              <w:jc w:val="left"/>
            </w:pPr>
            <w:r/>
            <w:r>
              <w:rPr>
                <w:rFonts w:ascii="Times New Roman" w:hAnsi="Times New Roman" w:eastAsia="宋体"/>
                <w:b w:val="0"/>
                <w:sz w:val="21"/>
              </w:rPr>
              <w:t>风光柴最大供电功率小于负荷</w:t>
            </w:r>
          </w:p>
        </w:tc>
        <w:tc>
          <w:tcPr>
            <w:tcW w:type="dxa" w:w="3099"/>
            <w:vAlign w:val="center"/>
          </w:tcPr>
          <w:p>
            <w:pPr>
              <w:jc w:val="left"/>
            </w:pPr>
            <w:r/>
            <w:r>
              <w:rPr>
                <w:rFonts w:ascii="Times New Roman" w:hAnsi="Times New Roman" w:eastAsia="宋体"/>
                <w:b w:val="0"/>
                <w:sz w:val="21"/>
              </w:rPr>
              <w:t>指出小时和功率差额</w:t>
            </w:r>
          </w:p>
        </w:tc>
      </w:tr>
      <w:tr>
        <w:tc>
          <w:tcPr>
            <w:tcW w:type="dxa" w:w="3099"/>
            <w:vAlign w:val="center"/>
          </w:tcPr>
          <w:p>
            <w:pPr>
              <w:jc w:val="center"/>
            </w:pPr>
            <w:r/>
            <w:r>
              <w:rPr>
                <w:rFonts w:ascii="Times New Roman" w:hAnsi="Times New Roman" w:eastAsia="宋体"/>
                <w:b w:val="0"/>
                <w:sz w:val="21"/>
              </w:rPr>
              <w:t>储氢自损耗</w:t>
            </w:r>
          </w:p>
        </w:tc>
        <w:tc>
          <w:tcPr>
            <w:tcW w:type="dxa" w:w="3099"/>
            <w:vAlign w:val="center"/>
          </w:tcPr>
          <w:p>
            <w:pPr>
              <w:jc w:val="left"/>
            </w:pPr>
            <w:r/>
            <w:r>
              <w:rPr>
                <w:rFonts w:ascii="Times New Roman" w:hAnsi="Times New Roman" w:eastAsia="宋体"/>
                <w:b w:val="0"/>
                <w:sz w:val="21"/>
              </w:rPr>
              <w:t>有储氢自损耗但无电制氢补偿</w:t>
            </w:r>
          </w:p>
        </w:tc>
        <w:tc>
          <w:tcPr>
            <w:tcW w:type="dxa" w:w="3099"/>
            <w:vAlign w:val="center"/>
          </w:tcPr>
          <w:p>
            <w:pPr>
              <w:jc w:val="left"/>
            </w:pPr>
            <w:r/>
            <w:r>
              <w:rPr>
                <w:rFonts w:ascii="Times New Roman" w:hAnsi="Times New Roman" w:eastAsia="宋体"/>
                <w:b w:val="0"/>
                <w:sz w:val="21"/>
              </w:rPr>
              <w:t>提前退出</w:t>
            </w:r>
          </w:p>
        </w:tc>
      </w:tr>
      <w:tr>
        <w:tc>
          <w:tcPr>
            <w:tcW w:type="dxa" w:w="3099"/>
            <w:vAlign w:val="center"/>
          </w:tcPr>
          <w:p>
            <w:pPr>
              <w:jc w:val="center"/>
            </w:pPr>
            <w:r/>
            <w:r>
              <w:rPr>
                <w:rFonts w:ascii="Times New Roman" w:hAnsi="Times New Roman" w:eastAsia="宋体"/>
                <w:b w:val="0"/>
                <w:sz w:val="21"/>
              </w:rPr>
              <w:t>电储自损耗</w:t>
            </w:r>
          </w:p>
        </w:tc>
        <w:tc>
          <w:tcPr>
            <w:tcW w:type="dxa" w:w="3099"/>
            <w:vAlign w:val="center"/>
          </w:tcPr>
          <w:p>
            <w:pPr>
              <w:jc w:val="left"/>
            </w:pPr>
            <w:r/>
            <w:r>
              <w:rPr>
                <w:rFonts w:ascii="Times New Roman" w:hAnsi="Times New Roman" w:eastAsia="宋体"/>
                <w:b w:val="0"/>
                <w:sz w:val="21"/>
              </w:rPr>
              <w:t>有电池自损耗但无PCS补偿</w:t>
            </w:r>
          </w:p>
        </w:tc>
        <w:tc>
          <w:tcPr>
            <w:tcW w:type="dxa" w:w="3099"/>
            <w:vAlign w:val="center"/>
          </w:tcPr>
          <w:p>
            <w:pPr>
              <w:jc w:val="left"/>
            </w:pPr>
            <w:r/>
            <w:r>
              <w:rPr>
                <w:rFonts w:ascii="Times New Roman" w:hAnsi="Times New Roman" w:eastAsia="宋体"/>
                <w:b w:val="0"/>
                <w:sz w:val="21"/>
              </w:rPr>
              <w:t>提前退出</w:t>
            </w:r>
          </w:p>
        </w:tc>
      </w:tr>
    </w:tbl>
    <w:p/>
    <w:p>
      <w:pPr>
        <w:spacing w:before="80" w:after="40"/>
      </w:pPr>
      <w:r>
        <w:rPr>
          <w:rFonts w:ascii="Times New Roman" w:hAnsi="Times New Roman" w:eastAsia="黑体"/>
          <w:b/>
          <w:color w:val="1F4E79"/>
          <w:sz w:val="21"/>
        </w:rPr>
        <w:t>年度绿电能力预检查</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\sum_t(\bar P^w_t+\bar P^{pv}_t)\ge R^{green}_{min}\sum_tL_t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单小时最大供电预检查</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\bar P^w_t+\bar P^{pv}_t+\sum_iq^{max,dg}_iP^{max,dg}_i\ge L_t,\quad \forall t</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23 求解器适配与求解流程</w:t>
      </w:r>
    </w:p>
    <w:p>
      <w:pPr>
        <w:spacing w:line="240" w:lineRule="auto" w:after="100"/>
        <w:ind w:firstLine="480"/>
        <w:jc w:val="both"/>
      </w:pPr>
      <w:r>
        <w:rPr>
          <w:rFonts w:ascii="Times New Roman" w:hAnsi="Times New Roman" w:eastAsia="宋体"/>
          <w:sz w:val="24"/>
        </w:rPr>
        <w:t>求解器统一入口为 solve_milp。自动模式下按照 Gurobi、CPLEX、MOSEK、SciPy 的顺序尝试。商业求解器通常更适合大规模年度MILP；若不可用，程序自动降级到SciPy HiGHS接口。</w:t>
      </w:r>
    </w:p>
    <w:p>
      <w:pPr>
        <w:spacing w:line="240" w:lineRule="auto" w:after="100"/>
        <w:ind w:firstLine="480"/>
        <w:jc w:val="both"/>
      </w:pPr>
      <w:r>
        <w:rPr>
          <w:rFonts w:ascii="Times New Roman" w:hAnsi="Times New Roman" w:eastAsia="宋体"/>
          <w:sz w:val="24"/>
        </w:rPr>
        <w:t>模型构建完成后，程序输出变量数量、整数变量数量、约束数量、非零系数数量、矩阵密度和求解参数。求解器日志会实时转发到前端运行日志，便于观察求解进展和诊断性能问题。</w:t>
      </w:r>
    </w:p>
    <w:p>
      <w:pPr>
        <w:spacing w:line="240" w:lineRule="auto" w:after="100"/>
        <w:ind w:firstLine="480"/>
        <w:jc w:val="both"/>
      </w:pPr>
      <w:r>
        <w:rPr>
          <w:rFonts w:ascii="Times New Roman" w:hAnsi="Times New Roman" w:eastAsia="宋体"/>
          <w:sz w:val="24"/>
        </w:rPr>
        <w:t>若求解器达到时间上限，任务状态会标记为计算超时；若预检查失败或求解失败，任务状态会标记为计算失败；人工停止则标记为计算中止。</w:t>
      </w:r>
    </w:p>
    <w:p>
      <w:pPr>
        <w:spacing w:before="80" w:after="40"/>
      </w:pPr>
      <w:r>
        <w:rPr>
          <w:rFonts w:ascii="Times New Roman" w:hAnsi="Times New Roman" w:eastAsia="黑体"/>
          <w:b/>
          <w:color w:val="1F4E79"/>
          <w:sz w:val="21"/>
        </w:rPr>
        <w:t>标准MILP矩阵形式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\min c^Tx\quad \text{s.t.}\quad l\le Ax\le u,\quad lb\le x\le ub,\quad x_j\in\mathbb{Z}\; (j\in\mathcal{J})</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求解器优先级</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Solver=\{Gurobi\rightarrow CPLEX\rightarrow MOSEK\rightarrow SciPy/HiGHS\}</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24 算法流程</w:t>
      </w:r>
    </w:p>
    <w:p>
      <w:pPr>
        <w:spacing w:line="240" w:lineRule="auto" w:after="100"/>
        <w:ind w:firstLine="480"/>
        <w:jc w:val="both"/>
      </w:pPr>
      <w:r>
        <w:rPr>
          <w:rFonts w:ascii="Times New Roman" w:hAnsi="Times New Roman" w:eastAsia="宋体"/>
          <w:sz w:val="24"/>
        </w:rPr>
        <w:t>后台算法流程可分为读取输入、快速预检查、归一化参数、构造MILP、调用求解器、解析解向量、汇总统计和写结果文件八个阶段。规划求解和方案评估共享大部分阶段，区别仅在是否固定建设台数。</w:t>
      </w:r>
    </w:p>
    <w:p>
      <w:pPr>
        <w:spacing w:line="240" w:lineRule="auto" w:after="100"/>
        <w:ind w:firstLine="480"/>
        <w:jc w:val="both"/>
      </w:pPr>
      <w:r>
        <w:rPr>
          <w:rFonts w:ascii="Times New Roman" w:hAnsi="Times New Roman" w:eastAsia="宋体"/>
          <w:sz w:val="24"/>
        </w:rPr>
        <w:t>在解析解向量时，程序按照变量键从解向量中读取每个变量的值，生成规划结果、小时级曲线、日级统计、月度统计和年度统计。所有前端展示结果优先从生成好的结果文件读取。</w:t>
      </w:r>
    </w:p>
    <w:p>
      <w:pPr>
        <w:jc w:val="center"/>
      </w:pPr>
      <w:r>
        <w:rPr>
          <w:rFonts w:ascii="Times New Roman" w:hAnsi="Times New Roman" w:eastAsia="黑体"/>
          <w:b/>
          <w:color w:val="374151"/>
          <w:sz w:val="21"/>
        </w:rPr>
        <w:t>表5 后台算法流程</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步骤</w:t>
            </w:r>
          </w:p>
        </w:tc>
        <w:tc>
          <w:tcPr>
            <w:tcW w:type="dxa" w:w="3099"/>
            <w:vAlign w:val="center"/>
            <w:shd w:fill="E8EEF7"/>
          </w:tcPr>
          <w:p>
            <w:pPr>
              <w:jc w:val="center"/>
            </w:pPr>
            <w:r/>
            <w:r>
              <w:rPr>
                <w:rFonts w:ascii="Times New Roman" w:hAnsi="Times New Roman" w:eastAsia="宋体"/>
                <w:b/>
                <w:sz w:val="21"/>
              </w:rPr>
              <w:t>处理内容</w:t>
            </w:r>
          </w:p>
        </w:tc>
        <w:tc>
          <w:tcPr>
            <w:tcW w:type="dxa" w:w="3099"/>
            <w:vAlign w:val="center"/>
            <w:shd w:fill="E8EEF7"/>
          </w:tcPr>
          <w:p>
            <w:pPr>
              <w:jc w:val="center"/>
            </w:pPr>
            <w:r/>
            <w:r>
              <w:rPr>
                <w:rFonts w:ascii="Times New Roman" w:hAnsi="Times New Roman" w:eastAsia="宋体"/>
                <w:b/>
                <w:sz w:val="21"/>
              </w:rPr>
              <w:t>主要输出</w:t>
            </w:r>
          </w:p>
        </w:tc>
      </w:tr>
      <w:tr>
        <w:tc>
          <w:tcPr>
            <w:tcW w:type="dxa" w:w="3099"/>
            <w:vAlign w:val="center"/>
          </w:tcPr>
          <w:p>
            <w:pPr>
              <w:jc w:val="center"/>
            </w:pPr>
            <w:r/>
            <w:r>
              <w:rPr>
                <w:rFonts w:ascii="Times New Roman" w:hAnsi="Times New Roman" w:eastAsia="宋体"/>
                <w:b w:val="0"/>
                <w:sz w:val="21"/>
              </w:rPr>
              <w:t>1</w:t>
            </w:r>
          </w:p>
        </w:tc>
        <w:tc>
          <w:tcPr>
            <w:tcW w:type="dxa" w:w="3099"/>
            <w:vAlign w:val="center"/>
          </w:tcPr>
          <w:p>
            <w:pPr>
              <w:jc w:val="left"/>
            </w:pPr>
            <w:r/>
            <w:r>
              <w:rPr>
                <w:rFonts w:ascii="Times New Roman" w:hAnsi="Times New Roman" w:eastAsia="宋体"/>
                <w:b w:val="0"/>
                <w:sz w:val="21"/>
              </w:rPr>
              <w:t>读取方案参数和8760时序</w:t>
            </w:r>
          </w:p>
        </w:tc>
        <w:tc>
          <w:tcPr>
            <w:tcW w:type="dxa" w:w="3099"/>
            <w:vAlign w:val="center"/>
          </w:tcPr>
          <w:p>
            <w:pPr>
              <w:jc w:val="left"/>
            </w:pPr>
            <w:r/>
            <w:r>
              <w:rPr>
                <w:rFonts w:ascii="Times New Roman" w:hAnsi="Times New Roman" w:eastAsia="宋体"/>
                <w:b w:val="0"/>
                <w:sz w:val="21"/>
              </w:rPr>
              <w:t>scheme_payload</w:t>
            </w:r>
          </w:p>
        </w:tc>
      </w:tr>
      <w:tr>
        <w:tc>
          <w:tcPr>
            <w:tcW w:type="dxa" w:w="3099"/>
            <w:vAlign w:val="center"/>
          </w:tcPr>
          <w:p>
            <w:pPr>
              <w:jc w:val="center"/>
            </w:pPr>
            <w:r/>
            <w:r>
              <w:rPr>
                <w:rFonts w:ascii="Times New Roman" w:hAnsi="Times New Roman" w:eastAsia="宋体"/>
                <w:b w:val="0"/>
                <w:sz w:val="21"/>
              </w:rPr>
              <w:t>2</w:t>
            </w:r>
          </w:p>
        </w:tc>
        <w:tc>
          <w:tcPr>
            <w:tcW w:type="dxa" w:w="3099"/>
            <w:vAlign w:val="center"/>
          </w:tcPr>
          <w:p>
            <w:pPr>
              <w:jc w:val="left"/>
            </w:pPr>
            <w:r/>
            <w:r>
              <w:rPr>
                <w:rFonts w:ascii="Times New Roman" w:hAnsi="Times New Roman" w:eastAsia="宋体"/>
                <w:b w:val="0"/>
                <w:sz w:val="21"/>
              </w:rPr>
              <w:t>快速可行性预检查</w:t>
            </w:r>
          </w:p>
        </w:tc>
        <w:tc>
          <w:tcPr>
            <w:tcW w:type="dxa" w:w="3099"/>
            <w:vAlign w:val="center"/>
          </w:tcPr>
          <w:p>
            <w:pPr>
              <w:jc w:val="left"/>
            </w:pPr>
            <w:r/>
            <w:r>
              <w:rPr>
                <w:rFonts w:ascii="Times New Roman" w:hAnsi="Times New Roman" w:eastAsia="宋体"/>
                <w:b w:val="0"/>
                <w:sz w:val="21"/>
              </w:rPr>
              <w:t>中文错误或继续</w:t>
            </w:r>
          </w:p>
        </w:tc>
      </w:tr>
      <w:tr>
        <w:tc>
          <w:tcPr>
            <w:tcW w:type="dxa" w:w="3099"/>
            <w:vAlign w:val="center"/>
          </w:tcPr>
          <w:p>
            <w:pPr>
              <w:jc w:val="center"/>
            </w:pPr>
            <w:r/>
            <w:r>
              <w:rPr>
                <w:rFonts w:ascii="Times New Roman" w:hAnsi="Times New Roman" w:eastAsia="宋体"/>
                <w:b w:val="0"/>
                <w:sz w:val="21"/>
              </w:rPr>
              <w:t>3</w:t>
            </w:r>
          </w:p>
        </w:tc>
        <w:tc>
          <w:tcPr>
            <w:tcW w:type="dxa" w:w="3099"/>
            <w:vAlign w:val="center"/>
          </w:tcPr>
          <w:p>
            <w:pPr>
              <w:jc w:val="left"/>
            </w:pPr>
            <w:r/>
            <w:r>
              <w:rPr>
                <w:rFonts w:ascii="Times New Roman" w:hAnsi="Times New Roman" w:eastAsia="宋体"/>
                <w:b w:val="0"/>
                <w:sz w:val="21"/>
              </w:rPr>
              <w:t>设备参数归一化</w:t>
            </w:r>
          </w:p>
        </w:tc>
        <w:tc>
          <w:tcPr>
            <w:tcW w:type="dxa" w:w="3099"/>
            <w:vAlign w:val="center"/>
          </w:tcPr>
          <w:p>
            <w:pPr>
              <w:jc w:val="left"/>
            </w:pPr>
            <w:r/>
            <w:r>
              <w:rPr>
                <w:rFonts w:ascii="Times New Roman" w:hAnsi="Times New Roman" w:eastAsia="宋体"/>
                <w:b w:val="0"/>
                <w:sz w:val="21"/>
              </w:rPr>
              <w:t>device_rows</w:t>
            </w:r>
          </w:p>
        </w:tc>
      </w:tr>
      <w:tr>
        <w:tc>
          <w:tcPr>
            <w:tcW w:type="dxa" w:w="3099"/>
            <w:vAlign w:val="center"/>
          </w:tcPr>
          <w:p>
            <w:pPr>
              <w:jc w:val="center"/>
            </w:pPr>
            <w:r/>
            <w:r>
              <w:rPr>
                <w:rFonts w:ascii="Times New Roman" w:hAnsi="Times New Roman" w:eastAsia="宋体"/>
                <w:b w:val="0"/>
                <w:sz w:val="21"/>
              </w:rPr>
              <w:t>4</w:t>
            </w:r>
          </w:p>
        </w:tc>
        <w:tc>
          <w:tcPr>
            <w:tcW w:type="dxa" w:w="3099"/>
            <w:vAlign w:val="center"/>
          </w:tcPr>
          <w:p>
            <w:pPr>
              <w:jc w:val="left"/>
            </w:pPr>
            <w:r/>
            <w:r>
              <w:rPr>
                <w:rFonts w:ascii="Times New Roman" w:hAnsi="Times New Roman" w:eastAsia="宋体"/>
                <w:b w:val="0"/>
                <w:sz w:val="21"/>
              </w:rPr>
              <w:t>构造变量和约束</w:t>
            </w:r>
          </w:p>
        </w:tc>
        <w:tc>
          <w:tcPr>
            <w:tcW w:type="dxa" w:w="3099"/>
            <w:vAlign w:val="center"/>
          </w:tcPr>
          <w:p>
            <w:pPr>
              <w:jc w:val="left"/>
            </w:pPr>
            <w:r/>
            <w:r>
              <w:rPr>
                <w:rFonts w:ascii="Times New Roman" w:hAnsi="Times New Roman" w:eastAsia="宋体"/>
                <w:b w:val="0"/>
                <w:sz w:val="21"/>
              </w:rPr>
              <w:t>MILP矩阵</w:t>
            </w:r>
          </w:p>
        </w:tc>
      </w:tr>
      <w:tr>
        <w:tc>
          <w:tcPr>
            <w:tcW w:type="dxa" w:w="3099"/>
            <w:vAlign w:val="center"/>
          </w:tcPr>
          <w:p>
            <w:pPr>
              <w:jc w:val="center"/>
            </w:pPr>
            <w:r/>
            <w:r>
              <w:rPr>
                <w:rFonts w:ascii="Times New Roman" w:hAnsi="Times New Roman" w:eastAsia="宋体"/>
                <w:b w:val="0"/>
                <w:sz w:val="21"/>
              </w:rPr>
              <w:t>5</w:t>
            </w:r>
          </w:p>
        </w:tc>
        <w:tc>
          <w:tcPr>
            <w:tcW w:type="dxa" w:w="3099"/>
            <w:vAlign w:val="center"/>
          </w:tcPr>
          <w:p>
            <w:pPr>
              <w:jc w:val="left"/>
            </w:pPr>
            <w:r/>
            <w:r>
              <w:rPr>
                <w:rFonts w:ascii="Times New Roman" w:hAnsi="Times New Roman" w:eastAsia="宋体"/>
                <w:b w:val="0"/>
                <w:sz w:val="21"/>
              </w:rPr>
              <w:t>调用求解器</w:t>
            </w:r>
          </w:p>
        </w:tc>
        <w:tc>
          <w:tcPr>
            <w:tcW w:type="dxa" w:w="3099"/>
            <w:vAlign w:val="center"/>
          </w:tcPr>
          <w:p>
            <w:pPr>
              <w:jc w:val="left"/>
            </w:pPr>
            <w:r/>
            <w:r>
              <w:rPr>
                <w:rFonts w:ascii="Times New Roman" w:hAnsi="Times New Roman" w:eastAsia="宋体"/>
                <w:b w:val="0"/>
                <w:sz w:val="21"/>
              </w:rPr>
              <w:t>解向量x</w:t>
            </w:r>
          </w:p>
        </w:tc>
      </w:tr>
      <w:tr>
        <w:tc>
          <w:tcPr>
            <w:tcW w:type="dxa" w:w="3099"/>
            <w:vAlign w:val="center"/>
          </w:tcPr>
          <w:p>
            <w:pPr>
              <w:jc w:val="center"/>
            </w:pPr>
            <w:r/>
            <w:r>
              <w:rPr>
                <w:rFonts w:ascii="Times New Roman" w:hAnsi="Times New Roman" w:eastAsia="宋体"/>
                <w:b w:val="0"/>
                <w:sz w:val="21"/>
              </w:rPr>
              <w:t>6</w:t>
            </w:r>
          </w:p>
        </w:tc>
        <w:tc>
          <w:tcPr>
            <w:tcW w:type="dxa" w:w="3099"/>
            <w:vAlign w:val="center"/>
          </w:tcPr>
          <w:p>
            <w:pPr>
              <w:jc w:val="left"/>
            </w:pPr>
            <w:r/>
            <w:r>
              <w:rPr>
                <w:rFonts w:ascii="Times New Roman" w:hAnsi="Times New Roman" w:eastAsia="宋体"/>
                <w:b w:val="0"/>
                <w:sz w:val="21"/>
              </w:rPr>
              <w:t>解析规划和调度结果</w:t>
            </w:r>
          </w:p>
        </w:tc>
        <w:tc>
          <w:tcPr>
            <w:tcW w:type="dxa" w:w="3099"/>
            <w:vAlign w:val="center"/>
          </w:tcPr>
          <w:p>
            <w:pPr>
              <w:jc w:val="left"/>
            </w:pPr>
            <w:r/>
            <w:r>
              <w:rPr>
                <w:rFonts w:ascii="Times New Roman" w:hAnsi="Times New Roman" w:eastAsia="宋体"/>
                <w:b w:val="0"/>
                <w:sz w:val="21"/>
              </w:rPr>
              <w:t>planning_rows, dispatch_rows</w:t>
            </w:r>
          </w:p>
        </w:tc>
      </w:tr>
      <w:tr>
        <w:tc>
          <w:tcPr>
            <w:tcW w:type="dxa" w:w="3099"/>
            <w:vAlign w:val="center"/>
          </w:tcPr>
          <w:p>
            <w:pPr>
              <w:jc w:val="center"/>
            </w:pPr>
            <w:r/>
            <w:r>
              <w:rPr>
                <w:rFonts w:ascii="Times New Roman" w:hAnsi="Times New Roman" w:eastAsia="宋体"/>
                <w:b w:val="0"/>
                <w:sz w:val="21"/>
              </w:rPr>
              <w:t>7</w:t>
            </w:r>
          </w:p>
        </w:tc>
        <w:tc>
          <w:tcPr>
            <w:tcW w:type="dxa" w:w="3099"/>
            <w:vAlign w:val="center"/>
          </w:tcPr>
          <w:p>
            <w:pPr>
              <w:jc w:val="left"/>
            </w:pPr>
            <w:r/>
            <w:r>
              <w:rPr>
                <w:rFonts w:ascii="Times New Roman" w:hAnsi="Times New Roman" w:eastAsia="宋体"/>
                <w:b w:val="0"/>
                <w:sz w:val="21"/>
              </w:rPr>
              <w:t>统计日/月/年指标</w:t>
            </w:r>
          </w:p>
        </w:tc>
        <w:tc>
          <w:tcPr>
            <w:tcW w:type="dxa" w:w="3099"/>
            <w:vAlign w:val="center"/>
          </w:tcPr>
          <w:p>
            <w:pPr>
              <w:jc w:val="left"/>
            </w:pPr>
            <w:r/>
            <w:r>
              <w:rPr>
                <w:rFonts w:ascii="Times New Roman" w:hAnsi="Times New Roman" w:eastAsia="宋体"/>
                <w:b w:val="0"/>
                <w:sz w:val="21"/>
              </w:rPr>
              <w:t>daily/monthly/annual</w:t>
            </w:r>
          </w:p>
        </w:tc>
      </w:tr>
      <w:tr>
        <w:tc>
          <w:tcPr>
            <w:tcW w:type="dxa" w:w="3099"/>
            <w:vAlign w:val="center"/>
          </w:tcPr>
          <w:p>
            <w:pPr>
              <w:jc w:val="center"/>
            </w:pPr>
            <w:r/>
            <w:r>
              <w:rPr>
                <w:rFonts w:ascii="Times New Roman" w:hAnsi="Times New Roman" w:eastAsia="宋体"/>
                <w:b w:val="0"/>
                <w:sz w:val="21"/>
              </w:rPr>
              <w:t>8</w:t>
            </w:r>
          </w:p>
        </w:tc>
        <w:tc>
          <w:tcPr>
            <w:tcW w:type="dxa" w:w="3099"/>
            <w:vAlign w:val="center"/>
          </w:tcPr>
          <w:p>
            <w:pPr>
              <w:jc w:val="left"/>
            </w:pPr>
            <w:r/>
            <w:r>
              <w:rPr>
                <w:rFonts w:ascii="Times New Roman" w:hAnsi="Times New Roman" w:eastAsia="宋体"/>
                <w:b w:val="0"/>
                <w:sz w:val="21"/>
              </w:rPr>
              <w:t>写入xlsx结果文件</w:t>
            </w:r>
          </w:p>
        </w:tc>
        <w:tc>
          <w:tcPr>
            <w:tcW w:type="dxa" w:w="3099"/>
            <w:vAlign w:val="center"/>
          </w:tcPr>
          <w:p>
            <w:pPr>
              <w:jc w:val="left"/>
            </w:pPr>
            <w:r/>
            <w:r>
              <w:rPr>
                <w:rFonts w:ascii="Times New Roman" w:hAnsi="Times New Roman" w:eastAsia="宋体"/>
                <w:b w:val="0"/>
                <w:sz w:val="21"/>
              </w:rPr>
              <w:t>xxx_results.xlsx</w:t>
            </w:r>
          </w:p>
        </w:tc>
      </w:tr>
    </w:tbl>
    <w:p/>
    <w:p>
      <w:r>
        <w:br w:type="page"/>
      </w:r>
    </w:p>
    <w:p>
      <w:pPr>
        <w:pStyle w:val="Heading1"/>
      </w:pPr>
      <w:r>
        <w:rPr>
          <w:rFonts w:ascii="Arial" w:hAnsi="Arial" w:eastAsia="黑体"/>
          <w:b/>
          <w:color w:val="0F172A"/>
          <w:sz w:val="36"/>
        </w:rPr>
        <w:t>25 结果输出曲线</w:t>
      </w:r>
    </w:p>
    <w:p>
      <w:pPr>
        <w:spacing w:line="240" w:lineRule="auto" w:after="100"/>
        <w:ind w:firstLine="480"/>
        <w:jc w:val="both"/>
      </w:pPr>
      <w:r>
        <w:rPr>
          <w:rFonts w:ascii="Times New Roman" w:hAnsi="Times New Roman" w:eastAsia="宋体"/>
          <w:sz w:val="24"/>
        </w:rPr>
        <w:t>输出结果包括小时级曲线、日级统计、月度统计和年度统计。小时级曲线覆盖原始气象、负荷、各类设备出力、储能状态、氢储状态、弃电、切负荷以及扰动后平衡相关能力和需求。</w:t>
      </w:r>
    </w:p>
    <w:p>
      <w:pPr>
        <w:spacing w:line="240" w:lineRule="auto" w:after="100"/>
        <w:ind w:firstLine="480"/>
        <w:jc w:val="both"/>
      </w:pPr>
      <w:r>
        <w:rPr>
          <w:rFonts w:ascii="Times New Roman" w:hAnsi="Times New Roman" w:eastAsia="宋体"/>
          <w:sz w:val="24"/>
        </w:rPr>
        <w:t>日级和月度统计由小时级结果聚合得到，年度统计由全年累计得到。前端显示时对浮点数做展示格式控制，但后端结果文件保留更完整的数值精度。</w:t>
      </w:r>
    </w:p>
    <w:p>
      <w:pPr>
        <w:pStyle w:val="ListBullet"/>
        <w:spacing w:line="240" w:lineRule="auto" w:after="60"/>
      </w:pPr>
      <w:r>
        <w:rPr>
          <w:rFonts w:ascii="Times New Roman" w:hAnsi="Times New Roman" w:eastAsia="宋体"/>
          <w:sz w:val="24"/>
        </w:rPr>
        <w:t>小时级：风速、太阳辐射、环境温度、负荷、柴发、风电、光伏、电储能、电制氢、储氢、燃料电池、弃电、切负荷、调节能力等。</w:t>
      </w:r>
    </w:p>
    <w:p>
      <w:pPr>
        <w:pStyle w:val="ListBullet"/>
        <w:spacing w:line="240" w:lineRule="auto" w:after="60"/>
      </w:pPr>
      <w:r>
        <w:rPr>
          <w:rFonts w:ascii="Times New Roman" w:hAnsi="Times New Roman" w:eastAsia="宋体"/>
          <w:sz w:val="24"/>
        </w:rPr>
        <w:t>日/月级：负荷电量、柴发电量、风光电量、储能充放电量、制氢用电量、氢储增减量、弃电量、切负荷量、新能源占比和弃电率。</w:t>
      </w:r>
    </w:p>
    <w:p>
      <w:pPr>
        <w:pStyle w:val="ListBullet"/>
        <w:spacing w:line="240" w:lineRule="auto" w:after="60"/>
      </w:pPr>
      <w:r>
        <w:rPr>
          <w:rFonts w:ascii="Times New Roman" w:hAnsi="Times New Roman" w:eastAsia="宋体"/>
          <w:sz w:val="24"/>
        </w:rPr>
        <w:t>年度：经济性指标、容量构成、电量构成、安全性指标和主要年统计指标。</w:t>
      </w:r>
    </w:p>
    <w:p>
      <w:pPr>
        <w:spacing w:before="80" w:after="40"/>
      </w:pPr>
      <w:r>
        <w:rPr>
          <w:rFonts w:ascii="Times New Roman" w:hAnsi="Times New Roman" w:eastAsia="黑体"/>
          <w:b/>
          <w:color w:val="1F4E79"/>
          <w:sz w:val="21"/>
        </w:rPr>
        <w:t>新能源占比与弃电率</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R^{ren}=\frac{E^{wind}+E^{pv}}{E^{load}},\qquad R^{cur}=\frac{E^{cur,wind}+E^{cur,pv}}{E^{available,wind}+E^{available,pv}}</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26 结果文件与前端读取</w:t>
      </w:r>
    </w:p>
    <w:p>
      <w:pPr>
        <w:spacing w:line="240" w:lineRule="auto" w:after="100"/>
        <w:ind w:firstLine="480"/>
        <w:jc w:val="both"/>
      </w:pPr>
      <w:r>
        <w:rPr>
          <w:rFonts w:ascii="Times New Roman" w:hAnsi="Times New Roman" w:eastAsia="宋体"/>
          <w:sz w:val="24"/>
        </w:rPr>
        <w:t>规划求解默认输出 opt_results.xlsx，复制或保存后的结果文件使用 xxx_results.xlsx 命名。方案评估和结果对比页面从结果文件读取概览、曲线和统计表，减少后台重复计算。</w:t>
      </w:r>
    </w:p>
    <w:p>
      <w:pPr>
        <w:spacing w:line="240" w:lineRule="auto" w:after="100"/>
        <w:ind w:firstLine="480"/>
        <w:jc w:val="both"/>
      </w:pPr>
      <w:r>
        <w:rPr>
          <w:rFonts w:ascii="Times New Roman" w:hAnsi="Times New Roman" w:eastAsia="宋体"/>
          <w:sz w:val="24"/>
        </w:rPr>
        <w:t>结果文件内部包含规划结果、小时级曲线、日级统计、月度统计、年度统计等分页。前端通过懒加载和缓存机制减少打开页面时的读取压力，小时级曲线会延迟预加载，避免影响概览表格的显示。</w:t>
      </w:r>
    </w:p>
    <w:p>
      <w:pPr>
        <w:spacing w:before="80" w:after="40"/>
      </w:pPr>
      <w:r>
        <w:rPr>
          <w:rFonts w:ascii="Times New Roman" w:hAnsi="Times New Roman" w:eastAsia="黑体"/>
          <w:b/>
          <w:color w:val="1F4E79"/>
          <w:sz w:val="21"/>
        </w:rPr>
        <w:t>文件命名</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filename = name\_results.xlsx,\qquad default = opt\_results.xlsx</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27 模型规模与性能优化</w:t>
      </w:r>
    </w:p>
    <w:p>
      <w:pPr>
        <w:spacing w:line="240" w:lineRule="auto" w:after="100"/>
        <w:ind w:firstLine="480"/>
        <w:jc w:val="both"/>
      </w:pPr>
      <w:r>
        <w:rPr>
          <w:rFonts w:ascii="Times New Roman" w:hAnsi="Times New Roman" w:eastAsia="宋体"/>
          <w:sz w:val="24"/>
        </w:rPr>
        <w:t>8760小时联合优化天然规模较大。为提高速度，程序避免对每台候选设备完全展开单台0/1变量，改用台数级整数变量。风光弃电采用统一弃电率加线性化变量，变量数量与设备行数相关，而不是与候选台数成倍增长。</w:t>
      </w:r>
    </w:p>
    <w:p>
      <w:pPr>
        <w:spacing w:line="240" w:lineRule="auto" w:after="100"/>
        <w:ind w:firstLine="480"/>
        <w:jc w:val="both"/>
      </w:pPr>
      <w:r>
        <w:rPr>
          <w:rFonts w:ascii="Times New Roman" w:hAnsi="Times New Roman" w:eastAsia="宋体"/>
          <w:sz w:val="24"/>
        </w:rPr>
        <w:t>后台还采用文件缓存机制避免重复读取不变的参数和结果文件；前端使用延迟加载、短时缓存、事件委托和跳过重复DOM重绘等手段提高页面响应速度。</w:t>
      </w:r>
    </w:p>
    <w:p>
      <w:pPr>
        <w:spacing w:before="80" w:after="40"/>
      </w:pPr>
      <w:r>
        <w:rPr>
          <w:rFonts w:ascii="Times New Roman" w:hAnsi="Times New Roman" w:eastAsia="黑体"/>
          <w:b/>
          <w:color w:val="1F4E79"/>
          <w:sz w:val="21"/>
        </w:rPr>
        <w:t>变量规模近似</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N_{var}\approx O(|\mathcal{T}|\cdot(|\mathcal{D}|+|\mathcal{E}|+|\mathcal{F}|+|\mathcal{W}|+|\mathcal{P}|))+O(|\mathcal{I}|)</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稀疏矩阵密度</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density=\frac{nnz(A)}{m\times n}</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28 模型限制与适用说明</w:t>
      </w:r>
    </w:p>
    <w:p>
      <w:pPr>
        <w:spacing w:line="240" w:lineRule="auto" w:after="100"/>
        <w:ind w:firstLine="480"/>
        <w:jc w:val="both"/>
      </w:pPr>
      <w:r>
        <w:rPr>
          <w:rFonts w:ascii="Times New Roman" w:hAnsi="Times New Roman" w:eastAsia="宋体"/>
          <w:sz w:val="24"/>
        </w:rPr>
        <w:t>当前模型主要适用于年尺度容量配置和小时级运行调度。由于时间分辨率为1小时，分钟级动态、电压稳定和真实机组爬坡过程没有完整展开。对于需要暂态稳定、低频减载或复杂保护逻辑的场景，需要在本模型结果基础上再做更高精度校核。</w:t>
      </w:r>
    </w:p>
    <w:p>
      <w:pPr>
        <w:spacing w:line="240" w:lineRule="auto" w:after="100"/>
        <w:ind w:firstLine="480"/>
        <w:jc w:val="both"/>
      </w:pPr>
      <w:r>
        <w:rPr>
          <w:rFonts w:ascii="Times New Roman" w:hAnsi="Times New Roman" w:eastAsia="宋体"/>
          <w:sz w:val="24"/>
        </w:rPr>
        <w:t>储能电池当前采用系统级聚合SOC，未强制每个PCS和每个电池型号一一绑定。风光弃电采用统一弃电率，便于减少多解和提高结果可解释性，但也意味着同一小时各风光设备行按同一比例弃电。</w:t>
      </w:r>
    </w:p>
    <w:p>
      <w:pPr>
        <w:spacing w:line="240" w:lineRule="auto" w:after="100"/>
        <w:ind w:firstLine="480"/>
        <w:jc w:val="both"/>
      </w:pPr>
      <w:r>
        <w:rPr>
          <w:rFonts w:ascii="Times New Roman" w:hAnsi="Times New Roman" w:eastAsia="宋体"/>
          <w:sz w:val="24"/>
        </w:rPr>
        <w:t>频率安全参数已经在前端维护，当前后端严格进入MILP的是扰动后平衡约束。若需完整频率安全优化，应继续增加惯量、阻尼、一次调频、RoCoF和Nadir线性化约束。</w:t>
      </w:r>
    </w:p>
    <w:p>
      <w:r>
        <w:br w:type="page"/>
      </w:r>
    </w:p>
    <w:p>
      <w:pPr>
        <w:pStyle w:val="Heading1"/>
      </w:pPr>
      <w:r>
        <w:rPr>
          <w:rFonts w:ascii="Arial" w:hAnsi="Arial" w:eastAsia="黑体"/>
          <w:b/>
          <w:color w:val="0F172A"/>
          <w:sz w:val="36"/>
        </w:rPr>
        <w:t>29 后续扩展建议</w:t>
      </w:r>
    </w:p>
    <w:p>
      <w:pPr>
        <w:spacing w:line="240" w:lineRule="auto" w:after="100"/>
        <w:ind w:firstLine="480"/>
        <w:jc w:val="both"/>
      </w:pPr>
      <w:r>
        <w:rPr>
          <w:rFonts w:ascii="Times New Roman" w:hAnsi="Times New Roman" w:eastAsia="宋体"/>
          <w:sz w:val="24"/>
        </w:rPr>
        <w:t>后续可从三个方向扩展：第一，增加更细粒度的频率动态线性化约束；第二，增加设备寿命衰减、维护成本、启停成本和爬坡约束；第三，增加多年份气象和负荷场景，形成随机规划或鲁棒规划模型。</w:t>
      </w:r>
    </w:p>
    <w:p>
      <w:pPr>
        <w:spacing w:line="240" w:lineRule="auto" w:after="100"/>
        <w:ind w:firstLine="480"/>
        <w:jc w:val="both"/>
      </w:pPr>
      <w:r>
        <w:rPr>
          <w:rFonts w:ascii="Times New Roman" w:hAnsi="Times New Roman" w:eastAsia="宋体"/>
          <w:sz w:val="24"/>
        </w:rPr>
        <w:t>在工程实现上，建议继续保持公共建模模块的集中管理。新增约束应优先放入 dispatch_milp.py，并通过规划求解和方案评估共同调用，避免前后两个流程出现不一致。</w:t>
      </w:r>
    </w:p>
    <w:p>
      <w:pPr>
        <w:spacing w:before="80" w:after="40"/>
      </w:pPr>
      <w:r>
        <w:rPr>
          <w:rFonts w:ascii="Times New Roman" w:hAnsi="Times New Roman" w:eastAsia="黑体"/>
          <w:b/>
          <w:color w:val="1F4E79"/>
          <w:sz w:val="21"/>
        </w:rPr>
        <w:t>鲁棒扩展形式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\min_q \; C(q)+\max_{\omega\in\Omega}Q(q,\omega)</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pPr>
        <w:spacing w:before="80" w:after="40"/>
      </w:pPr>
      <w:r>
        <w:rPr>
          <w:rFonts w:ascii="Times New Roman" w:hAnsi="Times New Roman" w:eastAsia="黑体"/>
          <w:b/>
          <w:color w:val="1F4E79"/>
          <w:sz w:val="21"/>
        </w:rPr>
        <w:t>多场景期望形式</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\min_q \; C(q)+\sum_{\omega\in\Omega}p_\omega Q(q,\omega)</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p>
      <w:r>
        <w:br w:type="page"/>
      </w:r>
    </w:p>
    <w:p>
      <w:pPr>
        <w:pStyle w:val="Heading1"/>
      </w:pPr>
      <w:r>
        <w:rPr>
          <w:rFonts w:ascii="Arial" w:hAnsi="Arial" w:eastAsia="黑体"/>
          <w:b/>
          <w:color w:val="0F172A"/>
          <w:sz w:val="36"/>
        </w:rPr>
        <w:t>附录A 主要符号汇总</w:t>
      </w:r>
    </w:p>
    <w:p>
      <w:pPr>
        <w:spacing w:line="240" w:lineRule="auto" w:after="100"/>
        <w:ind w:firstLine="480"/>
        <w:jc w:val="both"/>
      </w:pPr>
      <w:r>
        <w:rPr>
          <w:rFonts w:ascii="Times New Roman" w:hAnsi="Times New Roman" w:eastAsia="宋体"/>
          <w:sz w:val="24"/>
        </w:rPr>
        <w:t>本附录集中列出文档中频繁出现的主要符号，便于阅读公式时快速查询。实际程序变量名可能采用英文键值，例如 wind_power、pv_power、storage_soc、hydrogen_storage、unmet_load 等。</w:t>
      </w:r>
    </w:p>
    <w:p>
      <w:pPr>
        <w:jc w:val="center"/>
      </w:pPr>
      <w:r>
        <w:rPr>
          <w:rFonts w:ascii="Times New Roman" w:hAnsi="Times New Roman" w:eastAsia="黑体"/>
          <w:b/>
          <w:color w:val="374151"/>
          <w:sz w:val="21"/>
        </w:rPr>
        <w:t>表6 主要符号汇总</w:t>
      </w:r>
    </w:p>
    <w:tbl>
      <w:tblPr>
        <w:tblStyle w:val="TableGrid"/>
        <w:tblW w:type="auto" w:w="0"/>
        <w:jc w:val="center"/>
        <w:tblLook w:firstColumn="1" w:firstRow="1" w:lastColumn="0" w:lastRow="0" w:noHBand="0" w:noVBand="1" w:val="04A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99"/>
        <w:gridCol w:w="3099"/>
        <w:gridCol w:w="3099"/>
      </w:tblGrid>
      <w:tr>
        <w:tc>
          <w:tcPr>
            <w:tcW w:type="dxa" w:w="3099"/>
            <w:vAlign w:val="center"/>
            <w:shd w:fill="E8EEF7"/>
          </w:tcPr>
          <w:p>
            <w:pPr>
              <w:jc w:val="center"/>
            </w:pPr>
            <w:r/>
            <w:r>
              <w:rPr>
                <w:rFonts w:ascii="Times New Roman" w:hAnsi="Times New Roman" w:eastAsia="宋体"/>
                <w:b/>
                <w:sz w:val="21"/>
              </w:rPr>
              <w:t>符号</w:t>
            </w:r>
          </w:p>
        </w:tc>
        <w:tc>
          <w:tcPr>
            <w:tcW w:type="dxa" w:w="3099"/>
            <w:vAlign w:val="center"/>
            <w:shd w:fill="E8EEF7"/>
          </w:tcPr>
          <w:p>
            <w:pPr>
              <w:jc w:val="center"/>
            </w:pPr>
            <w:r/>
            <w:r>
              <w:rPr>
                <w:rFonts w:ascii="Times New Roman" w:hAnsi="Times New Roman" w:eastAsia="宋体"/>
                <w:b/>
                <w:sz w:val="21"/>
              </w:rPr>
              <w:t>中文含义</w:t>
            </w:r>
          </w:p>
        </w:tc>
        <w:tc>
          <w:tcPr>
            <w:tcW w:type="dxa" w:w="3099"/>
            <w:vAlign w:val="center"/>
            <w:shd w:fill="E8EEF7"/>
          </w:tcPr>
          <w:p>
            <w:pPr>
              <w:jc w:val="center"/>
            </w:pPr>
            <w:r/>
            <w:r>
              <w:rPr>
                <w:rFonts w:ascii="Times New Roman" w:hAnsi="Times New Roman" w:eastAsia="宋体"/>
                <w:b/>
                <w:sz w:val="21"/>
              </w:rPr>
              <w:t>单位或类型</w:t>
            </w:r>
          </w:p>
        </w:tc>
      </w:tr>
      <w:tr>
        <w:tc>
          <w:tcPr>
            <w:tcW w:type="dxa" w:w="3099"/>
            <w:vAlign w:val="center"/>
          </w:tcPr>
          <w:p>
            <w:pPr>
              <w:jc w:val="center"/>
            </w:pPr>
            <w:r/>
            <w:r>
              <w:rPr>
                <w:rFonts w:ascii="Times New Roman" w:hAnsi="Times New Roman" w:eastAsia="宋体"/>
                <w:b w:val="0"/>
                <w:sz w:val="21"/>
              </w:rPr>
              <w:t>L_t</w:t>
            </w:r>
          </w:p>
        </w:tc>
        <w:tc>
          <w:tcPr>
            <w:tcW w:type="dxa" w:w="3099"/>
            <w:vAlign w:val="center"/>
          </w:tcPr>
          <w:p>
            <w:pPr>
              <w:jc w:val="left"/>
            </w:pPr>
            <w:r/>
            <w:r>
              <w:rPr>
                <w:rFonts w:ascii="Times New Roman" w:hAnsi="Times New Roman" w:eastAsia="宋体"/>
                <w:b w:val="0"/>
                <w:sz w:val="21"/>
              </w:rPr>
              <w:t>第t小时负荷功率</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P^dg_t,i</w:t>
            </w:r>
          </w:p>
        </w:tc>
        <w:tc>
          <w:tcPr>
            <w:tcW w:type="dxa" w:w="3099"/>
            <w:vAlign w:val="center"/>
          </w:tcPr>
          <w:p>
            <w:pPr>
              <w:jc w:val="left"/>
            </w:pPr>
            <w:r/>
            <w:r>
              <w:rPr>
                <w:rFonts w:ascii="Times New Roman" w:hAnsi="Times New Roman" w:eastAsia="宋体"/>
                <w:b w:val="0"/>
                <w:sz w:val="21"/>
              </w:rPr>
              <w:t>第i类柴发第t小时出力</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P^w_t</w:t>
            </w:r>
          </w:p>
        </w:tc>
        <w:tc>
          <w:tcPr>
            <w:tcW w:type="dxa" w:w="3099"/>
            <w:vAlign w:val="center"/>
          </w:tcPr>
          <w:p>
            <w:pPr>
              <w:jc w:val="left"/>
            </w:pPr>
            <w:r/>
            <w:r>
              <w:rPr>
                <w:rFonts w:ascii="Times New Roman" w:hAnsi="Times New Roman" w:eastAsia="宋体"/>
                <w:b w:val="0"/>
                <w:sz w:val="21"/>
              </w:rPr>
              <w:t>风机总实际出力</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P^pv_t</w:t>
            </w:r>
          </w:p>
        </w:tc>
        <w:tc>
          <w:tcPr>
            <w:tcW w:type="dxa" w:w="3099"/>
            <w:vAlign w:val="center"/>
          </w:tcPr>
          <w:p>
            <w:pPr>
              <w:jc w:val="left"/>
            </w:pPr>
            <w:r/>
            <w:r>
              <w:rPr>
                <w:rFonts w:ascii="Times New Roman" w:hAnsi="Times New Roman" w:eastAsia="宋体"/>
                <w:b w:val="0"/>
                <w:sz w:val="21"/>
              </w:rPr>
              <w:t>光伏总实际出力</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P^ch_t</w:t>
            </w:r>
          </w:p>
        </w:tc>
        <w:tc>
          <w:tcPr>
            <w:tcW w:type="dxa" w:w="3099"/>
            <w:vAlign w:val="center"/>
          </w:tcPr>
          <w:p>
            <w:pPr>
              <w:jc w:val="left"/>
            </w:pPr>
            <w:r/>
            <w:r>
              <w:rPr>
                <w:rFonts w:ascii="Times New Roman" w:hAnsi="Times New Roman" w:eastAsia="宋体"/>
                <w:b w:val="0"/>
                <w:sz w:val="21"/>
              </w:rPr>
              <w:t>储能充电功率</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P^dis_t</w:t>
            </w:r>
          </w:p>
        </w:tc>
        <w:tc>
          <w:tcPr>
            <w:tcW w:type="dxa" w:w="3099"/>
            <w:vAlign w:val="center"/>
          </w:tcPr>
          <w:p>
            <w:pPr>
              <w:jc w:val="left"/>
            </w:pPr>
            <w:r/>
            <w:r>
              <w:rPr>
                <w:rFonts w:ascii="Times New Roman" w:hAnsi="Times New Roman" w:eastAsia="宋体"/>
                <w:b w:val="0"/>
                <w:sz w:val="21"/>
              </w:rPr>
              <w:t>储能放电功率</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SOC_t</w:t>
            </w:r>
          </w:p>
        </w:tc>
        <w:tc>
          <w:tcPr>
            <w:tcW w:type="dxa" w:w="3099"/>
            <w:vAlign w:val="center"/>
          </w:tcPr>
          <w:p>
            <w:pPr>
              <w:jc w:val="left"/>
            </w:pPr>
            <w:r/>
            <w:r>
              <w:rPr>
                <w:rFonts w:ascii="Times New Roman" w:hAnsi="Times New Roman" w:eastAsia="宋体"/>
                <w:b w:val="0"/>
                <w:sz w:val="21"/>
              </w:rPr>
              <w:t>电储能电量</w:t>
            </w:r>
          </w:p>
        </w:tc>
        <w:tc>
          <w:tcPr>
            <w:tcW w:type="dxa" w:w="3099"/>
            <w:vAlign w:val="center"/>
          </w:tcPr>
          <w:p>
            <w:pPr>
              <w:jc w:val="left"/>
            </w:pPr>
            <w:r/>
            <w:r>
              <w:rPr>
                <w:rFonts w:ascii="Times New Roman" w:hAnsi="Times New Roman" w:eastAsia="宋体"/>
                <w:b w:val="0"/>
                <w:sz w:val="21"/>
              </w:rPr>
              <w:t>kWh</w:t>
            </w:r>
          </w:p>
        </w:tc>
      </w:tr>
      <w:tr>
        <w:tc>
          <w:tcPr>
            <w:tcW w:type="dxa" w:w="3099"/>
            <w:vAlign w:val="center"/>
          </w:tcPr>
          <w:p>
            <w:pPr>
              <w:jc w:val="center"/>
            </w:pPr>
            <w:r/>
            <w:r>
              <w:rPr>
                <w:rFonts w:ascii="Times New Roman" w:hAnsi="Times New Roman" w:eastAsia="宋体"/>
                <w:b w:val="0"/>
                <w:sz w:val="21"/>
              </w:rPr>
              <w:t>H_t</w:t>
            </w:r>
          </w:p>
        </w:tc>
        <w:tc>
          <w:tcPr>
            <w:tcW w:type="dxa" w:w="3099"/>
            <w:vAlign w:val="center"/>
          </w:tcPr>
          <w:p>
            <w:pPr>
              <w:jc w:val="left"/>
            </w:pPr>
            <w:r/>
            <w:r>
              <w:rPr>
                <w:rFonts w:ascii="Times New Roman" w:hAnsi="Times New Roman" w:eastAsia="宋体"/>
                <w:b w:val="0"/>
                <w:sz w:val="21"/>
              </w:rPr>
              <w:t>储氢量</w:t>
            </w:r>
          </w:p>
        </w:tc>
        <w:tc>
          <w:tcPr>
            <w:tcW w:type="dxa" w:w="3099"/>
            <w:vAlign w:val="center"/>
          </w:tcPr>
          <w:p>
            <w:pPr>
              <w:jc w:val="left"/>
            </w:pPr>
            <w:r/>
            <w:r>
              <w:rPr>
                <w:rFonts w:ascii="Times New Roman" w:hAnsi="Times New Roman" w:eastAsia="宋体"/>
                <w:b w:val="0"/>
                <w:sz w:val="21"/>
              </w:rPr>
              <w:t>Nm3</w:t>
            </w:r>
          </w:p>
        </w:tc>
      </w:tr>
      <w:tr>
        <w:tc>
          <w:tcPr>
            <w:tcW w:type="dxa" w:w="3099"/>
            <w:vAlign w:val="center"/>
          </w:tcPr>
          <w:p>
            <w:pPr>
              <w:jc w:val="center"/>
            </w:pPr>
            <w:r/>
            <w:r>
              <w:rPr>
                <w:rFonts w:ascii="Times New Roman" w:hAnsi="Times New Roman" w:eastAsia="宋体"/>
                <w:b w:val="0"/>
                <w:sz w:val="21"/>
              </w:rPr>
              <w:t>P^el_t,i</w:t>
            </w:r>
          </w:p>
        </w:tc>
        <w:tc>
          <w:tcPr>
            <w:tcW w:type="dxa" w:w="3099"/>
            <w:vAlign w:val="center"/>
          </w:tcPr>
          <w:p>
            <w:pPr>
              <w:jc w:val="left"/>
            </w:pPr>
            <w:r/>
            <w:r>
              <w:rPr>
                <w:rFonts w:ascii="Times New Roman" w:hAnsi="Times New Roman" w:eastAsia="宋体"/>
                <w:b w:val="0"/>
                <w:sz w:val="21"/>
              </w:rPr>
              <w:t>电制氢功率</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P^fc_t,i</w:t>
            </w:r>
          </w:p>
        </w:tc>
        <w:tc>
          <w:tcPr>
            <w:tcW w:type="dxa" w:w="3099"/>
            <w:vAlign w:val="center"/>
          </w:tcPr>
          <w:p>
            <w:pPr>
              <w:jc w:val="left"/>
            </w:pPr>
            <w:r/>
            <w:r>
              <w:rPr>
                <w:rFonts w:ascii="Times New Roman" w:hAnsi="Times New Roman" w:eastAsia="宋体"/>
                <w:b w:val="0"/>
                <w:sz w:val="21"/>
              </w:rPr>
              <w:t>燃料电池出力</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L^shed_t</w:t>
            </w:r>
          </w:p>
        </w:tc>
        <w:tc>
          <w:tcPr>
            <w:tcW w:type="dxa" w:w="3099"/>
            <w:vAlign w:val="center"/>
          </w:tcPr>
          <w:p>
            <w:pPr>
              <w:jc w:val="left"/>
            </w:pPr>
            <w:r/>
            <w:r>
              <w:rPr>
                <w:rFonts w:ascii="Times New Roman" w:hAnsi="Times New Roman" w:eastAsia="宋体"/>
                <w:b w:val="0"/>
                <w:sz w:val="21"/>
              </w:rPr>
              <w:t>切负荷功率</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alpha_t</w:t>
            </w:r>
          </w:p>
        </w:tc>
        <w:tc>
          <w:tcPr>
            <w:tcW w:type="dxa" w:w="3099"/>
            <w:vAlign w:val="center"/>
          </w:tcPr>
          <w:p>
            <w:pPr>
              <w:jc w:val="left"/>
            </w:pPr>
            <w:r/>
            <w:r>
              <w:rPr>
                <w:rFonts w:ascii="Times New Roman" w:hAnsi="Times New Roman" w:eastAsia="宋体"/>
                <w:b w:val="0"/>
                <w:sz w:val="21"/>
              </w:rPr>
              <w:t>统一新能源弃电率</w:t>
            </w:r>
          </w:p>
        </w:tc>
        <w:tc>
          <w:tcPr>
            <w:tcW w:type="dxa" w:w="3099"/>
            <w:vAlign w:val="center"/>
          </w:tcPr>
          <w:p>
            <w:pPr>
              <w:jc w:val="left"/>
            </w:pPr>
            <w:r/>
            <w:r>
              <w:rPr>
                <w:rFonts w:ascii="Times New Roman" w:hAnsi="Times New Roman" w:eastAsia="宋体"/>
                <w:b w:val="0"/>
                <w:sz w:val="21"/>
              </w:rPr>
              <w:t>0到1</w:t>
            </w:r>
          </w:p>
        </w:tc>
      </w:tr>
      <w:tr>
        <w:tc>
          <w:tcPr>
            <w:tcW w:type="dxa" w:w="3099"/>
            <w:vAlign w:val="center"/>
          </w:tcPr>
          <w:p>
            <w:pPr>
              <w:jc w:val="center"/>
            </w:pPr>
            <w:r/>
            <w:r>
              <w:rPr>
                <w:rFonts w:ascii="Times New Roman" w:hAnsi="Times New Roman" w:eastAsia="宋体"/>
                <w:b w:val="0"/>
                <w:sz w:val="21"/>
              </w:rPr>
              <w:t>R^up_t</w:t>
            </w:r>
          </w:p>
        </w:tc>
        <w:tc>
          <w:tcPr>
            <w:tcW w:type="dxa" w:w="3099"/>
            <w:vAlign w:val="center"/>
          </w:tcPr>
          <w:p>
            <w:pPr>
              <w:jc w:val="left"/>
            </w:pPr>
            <w:r/>
            <w:r>
              <w:rPr>
                <w:rFonts w:ascii="Times New Roman" w:hAnsi="Times New Roman" w:eastAsia="宋体"/>
                <w:b w:val="0"/>
                <w:sz w:val="21"/>
              </w:rPr>
              <w:t>电网向上调节能力</w:t>
            </w:r>
          </w:p>
        </w:tc>
        <w:tc>
          <w:tcPr>
            <w:tcW w:type="dxa" w:w="3099"/>
            <w:vAlign w:val="center"/>
          </w:tcPr>
          <w:p>
            <w:pPr>
              <w:jc w:val="left"/>
            </w:pPr>
            <w:r/>
            <w:r>
              <w:rPr>
                <w:rFonts w:ascii="Times New Roman" w:hAnsi="Times New Roman" w:eastAsia="宋体"/>
                <w:b w:val="0"/>
                <w:sz w:val="21"/>
              </w:rPr>
              <w:t>kW</w:t>
            </w:r>
          </w:p>
        </w:tc>
      </w:tr>
      <w:tr>
        <w:tc>
          <w:tcPr>
            <w:tcW w:type="dxa" w:w="3099"/>
            <w:vAlign w:val="center"/>
          </w:tcPr>
          <w:p>
            <w:pPr>
              <w:jc w:val="center"/>
            </w:pPr>
            <w:r/>
            <w:r>
              <w:rPr>
                <w:rFonts w:ascii="Times New Roman" w:hAnsi="Times New Roman" w:eastAsia="宋体"/>
                <w:b w:val="0"/>
                <w:sz w:val="21"/>
              </w:rPr>
              <w:t>R^down_t</w:t>
            </w:r>
          </w:p>
        </w:tc>
        <w:tc>
          <w:tcPr>
            <w:tcW w:type="dxa" w:w="3099"/>
            <w:vAlign w:val="center"/>
          </w:tcPr>
          <w:p>
            <w:pPr>
              <w:jc w:val="left"/>
            </w:pPr>
            <w:r/>
            <w:r>
              <w:rPr>
                <w:rFonts w:ascii="Times New Roman" w:hAnsi="Times New Roman" w:eastAsia="宋体"/>
                <w:b w:val="0"/>
                <w:sz w:val="21"/>
              </w:rPr>
              <w:t>电网向下调节能力</w:t>
            </w:r>
          </w:p>
        </w:tc>
        <w:tc>
          <w:tcPr>
            <w:tcW w:type="dxa" w:w="3099"/>
            <w:vAlign w:val="center"/>
          </w:tcPr>
          <w:p>
            <w:pPr>
              <w:jc w:val="left"/>
            </w:pPr>
            <w:r/>
            <w:r>
              <w:rPr>
                <w:rFonts w:ascii="Times New Roman" w:hAnsi="Times New Roman" w:eastAsia="宋体"/>
                <w:b w:val="0"/>
                <w:sz w:val="21"/>
              </w:rPr>
              <w:t>kW</w:t>
            </w:r>
          </w:p>
        </w:tc>
      </w:tr>
    </w:tbl>
    <w:p/>
    <w:p>
      <w:r>
        <w:br w:type="page"/>
      </w:r>
    </w:p>
    <w:p>
      <w:pPr>
        <w:pStyle w:val="Heading1"/>
      </w:pPr>
      <w:r>
        <w:rPr>
          <w:rFonts w:ascii="Arial" w:hAnsi="Arial" w:eastAsia="黑体"/>
          <w:b/>
          <w:color w:val="0F172A"/>
          <w:sz w:val="36"/>
        </w:rPr>
        <w:t>附录B 公式索引</w:t>
      </w:r>
    </w:p>
    <w:p>
      <w:pPr>
        <w:spacing w:line="240" w:lineRule="auto" w:after="100"/>
        <w:ind w:firstLine="480"/>
        <w:jc w:val="both"/>
      </w:pPr>
      <w:r>
        <w:rPr>
          <w:rFonts w:ascii="Times New Roman" w:hAnsi="Times New Roman" w:eastAsia="宋体"/>
          <w:sz w:val="24"/>
        </w:rPr>
        <w:t>本文档中的公式均以 LaTeX 形式直接展示，便于算法人员复制到论文、技术报告或代码注释中。公式块中的变量采用数学符号，正文同时给出与系统字段的对应关系。</w:t>
      </w:r>
    </w:p>
    <w:p>
      <w:pPr>
        <w:spacing w:before="80" w:after="40"/>
      </w:pPr>
      <w:r>
        <w:rPr>
          <w:rFonts w:ascii="Times New Roman" w:hAnsi="Times New Roman" w:eastAsia="黑体"/>
          <w:b/>
          <w:color w:val="1F4E79"/>
          <w:sz w:val="21"/>
        </w:rPr>
        <w:t>核心公式索引</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\text{目标函数：}\quad \min Z=C_{ann}+C_{diesel}+\lambda_{shed}E^{shed}+\epsilon N^{on}</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\text{功率平衡：}\quad P^{supply}_t+L^{shed}_t-P^{charge}_t-P^{consume}_t=L_t</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\text{绿色电量：}\quad (1-R_{min})E^{green}-R_{min}E^{diesel}\ge0</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\text{储能动态：}\quad SOC_t=\rho_bSOC_{t-1}+\eta^{ch}P^{ch}_t-P^{dis}_t/\eta^{dis}</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w:t>
      </w:r>
    </w:p>
    <w:p>
      <w:pPr>
        <w:spacing w:before="20" w:after="20"/>
        <w:jc w:val="center"/>
        <w:shd w:fill="F5F7FA"/>
      </w:pPr>
      <w:r>
        <w:rPr>
          <w:rFonts w:ascii="Consolas" w:hAnsi="Consolas" w:eastAsia="Cambria Math"/>
          <w:color w:val="14253F"/>
          <w:sz w:val="21"/>
        </w:rPr>
        <w:t>\text{氢储动态：}\quad H_t=\rho_hH_{t-1}+\eta^{e2h}P^{el}_t-P^{fc}_t/\eta^{h2e}</w:t>
      </w:r>
    </w:p>
    <w:p>
      <w:pPr>
        <w:spacing w:before="20" w:after="20"/>
        <w:jc w:val="center"/>
        <w:shd w:fill="F5F7FA"/>
      </w:pPr>
      <w:r>
        <w:rPr>
          <w:rFonts w:ascii="Consolas" w:hAnsi="Consolas" w:eastAsia="Cambria Math"/>
          <w:color w:val="14253F"/>
          <w:sz w:val="21"/>
        </w:rPr>
        <w:t>\]</w:t>
      </w:r>
    </w:p>
    <w:p>
      <w:pPr>
        <w:spacing w:after="120"/>
        <w:jc w:val="center"/>
      </w:pPr>
      <w:r>
        <w:rPr>
          <w:rFonts w:ascii="Times New Roman" w:hAnsi="Times New Roman" w:eastAsia="宋体"/>
          <w:color w:val="64748B"/>
          <w:sz w:val="18"/>
        </w:rPr>
        <w:t>（以上公式以 LaTeX 形式组织，变量含义见正文说明。）</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4748B"/>
        <w:sz w:val="18"/>
      </w:rPr>
      <w:t>考察站风光氢储柴联合规划系统 - 模型与算法说明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考察站风光氢储柴联合规划模型与算法说明</dc:title>
  <dc:subject>模型、目标函数、优化变量、约束条件、求解算法</dc:subject>
  <dc:creator>Codex</dc:creator>
  <cp:keywords>MILP, 风光氢储柴, 规划求解, 方案评估, LaTeX公式</cp:keywords>
  <dc:description>generated by python-docx</dc:description>
  <cp:lastModifiedBy/>
  <cp:revision>1</cp:revision>
  <dcterms:created xsi:type="dcterms:W3CDTF">2013-12-23T23:15:00Z</dcterms:created>
  <dcterms:modified xsi:type="dcterms:W3CDTF">2013-12-23T23:15:00Z</dcterms:modified>
  <cp:category/>
</cp:coreProperties>
</file>