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0F1F38"/>
          <w:sz w:val="36"/>
          <w:szCs w:val="36"/>
        </w:rPr>
        <w:t xml:space="preserve">PROJECT UPDATE LOG</w:t>
      </w:r>
    </w:p>
    <w:p>
      <w:pPr>
        <w:spacing w:after="80"/>
        <w:jc w:val="center"/>
      </w:pPr>
      <w:r>
        <w:rPr>
          <w:rFonts w:ascii="Arial" w:cs="Arial" w:eastAsia="Arial" w:hAnsi="Arial"/>
          <w:b/>
          <w:bCs/>
          <w:color w:val="0F1F38"/>
          <w:sz w:val="26"/>
          <w:szCs w:val="26"/>
        </w:rPr>
        <w:t xml:space="preserve">Open-Source Charisma / OSCI</w:t>
      </w:r>
    </w:p>
    <w:p>
      <w:pPr>
        <w:spacing w:after="60"/>
        <w:jc w:val="center"/>
      </w:pPr>
      <w:r>
        <w:rPr>
          <w:rFonts w:ascii="Arial" w:cs="Arial" w:eastAsia="Arial" w:hAnsi="Arial"/>
          <w:color w:val="555555"/>
          <w:sz w:val="22"/>
          <w:szCs w:val="22"/>
        </w:rPr>
        <w:t xml:space="preserve">Full Build, Deployment &amp; Commercialisation Log</w:t>
      </w:r>
    </w:p>
    <w:p>
      <w:pPr>
        <w:spacing w:after="60"/>
        <w:jc w:val="center"/>
      </w:pPr>
      <w:r>
        <w:rPr>
          <w:rFonts w:ascii="Arial" w:cs="Arial" w:eastAsia="Arial" w:hAnsi="Arial"/>
          <w:color w:val="555555"/>
          <w:sz w:val="20"/>
          <w:szCs w:val="20"/>
        </w:rPr>
        <w:t xml:space="preserve">Jim Harvey  |  The Message Business  |  jim.harvey@themessagebusiness.com</w:t>
      </w:r>
    </w:p>
    <w:p>
      <w:pPr>
        <w:spacing w:after="320"/>
        <w:jc w:val="center"/>
      </w:pPr>
      <w:r>
        <w:rPr>
          <w:rFonts w:ascii="Arial" w:cs="Arial" w:eastAsia="Arial" w:hAnsi="Arial"/>
          <w:i/>
          <w:iCs/>
          <w:color w:val="555555"/>
          <w:sz w:val="20"/>
          <w:szCs w:val="20"/>
        </w:rPr>
        <w:t xml:space="preserve">Last updated: 22 April 2026  |  Version 4</w:t>
      </w:r>
    </w:p>
    <w:p>
      <w:pPr>
        <w:spacing w:after="160"/>
      </w:pPr>
      <w:r>
        <w:rPr>
          <w:rFonts w:ascii="Arial" w:cs="Arial" w:eastAsia="Arial" w:hAnsi="Arial"/>
          <w:sz w:val="22"/>
          <w:szCs w:val="22"/>
        </w:rPr>
        <w:t xml:space="preserve">This document is the definitive project log. It covers infrastructure, commercial options, analytics, and outstanding actions. It supersedes all earlier versions.</w:t>
      </w:r>
    </w:p>
    <w:p>
      <w:pPr>
        <w:pStyle w:val="Heading1"/>
        <w:spacing w:after="180" w:before="360"/>
      </w:pPr>
      <w:r>
        <w:rPr>
          <w:rFonts w:ascii="Arial" w:cs="Arial" w:eastAsia="Arial" w:hAnsi="Arial"/>
          <w:b/>
          <w:bCs/>
          <w:color w:val="0F1F38"/>
          <w:sz w:val="32"/>
          <w:szCs w:val="32"/>
        </w:rPr>
        <w:t xml:space="preserve">Headline — what changed on 22 April 2026</w:t>
      </w:r>
    </w:p>
    <w:p>
      <w:pPr>
        <w:spacing w:after="160"/>
      </w:pPr>
      <w:r>
        <w:rPr>
          <w:rFonts w:ascii="Arial" w:cs="Arial" w:eastAsia="Arial" w:hAnsi="Arial"/>
          <w:sz w:val="22"/>
          <w:szCs w:val="22"/>
        </w:rPr>
        <w:t xml:space="preserve">The full commercial loop is live in production. A real user can now land on opensourcecharisma.com/assessment, complete the 40-question OSCI, enter an email, see their quadrant type and subscale breakdown, click the gold paid-report card, pay £9.99 through Stripe Checkout, return to the site, and download a personalised PDF. Nothing is missing. No dead ends.</w:t>
      </w:r>
    </w:p>
    <w:p>
      <w:pPr>
        <w:spacing w:after="160"/>
      </w:pPr>
      <w:r>
        <w:rPr>
          <w:rFonts w:ascii="Arial" w:cs="Arial" w:eastAsia="Arial" w:hAnsi="Arial"/>
          <w:sz w:val="22"/>
          <w:szCs w:val="22"/>
        </w:rPr>
        <w:t xml:space="preserve">The architecture is also cleaner. The Stripe paid-report functionality previously lived in a sandbox repo (cqci-assessment) that was separate from the live site. That split caused confusion earlier in the day: GA4 events were being deployed to the wrong place. Today the two have been consolidated. All Stripe code, serverless functions, environment variables, and the live tool now live in one repo: opensourcecharisma. The cqci-assessment repo is redundant and can be retired.</w:t>
      </w:r>
    </w:p>
    <w:p>
      <w:pPr>
        <w:pStyle w:val="Heading1"/>
        <w:spacing w:after="180" w:before="360"/>
      </w:pPr>
      <w:r>
        <w:rPr>
          <w:rFonts w:ascii="Arial" w:cs="Arial" w:eastAsia="Arial" w:hAnsi="Arial"/>
          <w:b/>
          <w:bCs/>
          <w:color w:val="0F1F38"/>
          <w:sz w:val="32"/>
          <w:szCs w:val="32"/>
        </w:rPr>
        <w:t xml:space="preserve">1. Current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1800"/>
        <w:gridCol w:w="3560"/>
      </w:tblGrid>
      <w:tr>
        <w:trPr>
          <w:tblHeader/>
        </w:trPr>
        <w:tc>
          <w:tcPr>
            <w:tcW w:type="dxa" w:w="4000"/>
            <w:tcBorders>
              <w:top w:val="single" w:color="CCCCCC" w:sz="4"/>
              <w:left w:val="single" w:color="CCCCCC" w:sz="4"/>
              <w:bottom w:val="single" w:color="CCCCCC" w:sz="4"/>
              <w:right w:val="single" w:color="CCCCCC" w:sz="4"/>
            </w:tcBorders>
            <w:shd w:fill="0F1F38"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Item</w:t>
            </w:r>
          </w:p>
        </w:tc>
        <w:tc>
          <w:tcPr>
            <w:tcW w:type="dxa" w:w="1800"/>
            <w:tcBorders>
              <w:top w:val="single" w:color="CCCCCC" w:sz="4"/>
              <w:left w:val="single" w:color="CCCCCC" w:sz="4"/>
              <w:bottom w:val="single" w:color="CCCCCC" w:sz="4"/>
              <w:right w:val="single" w:color="CCCCCC" w:sz="4"/>
            </w:tcBorders>
            <w:shd w:fill="0F1F38"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Status</w:t>
            </w:r>
          </w:p>
        </w:tc>
        <w:tc>
          <w:tcPr>
            <w:tcW w:type="dxa" w:w="3560"/>
            <w:tcBorders>
              <w:top w:val="single" w:color="CCCCCC" w:sz="4"/>
              <w:left w:val="single" w:color="CCCCCC" w:sz="4"/>
              <w:bottom w:val="single" w:color="CCCCCC" w:sz="4"/>
              <w:right w:val="single" w:color="CCCCCC" w:sz="4"/>
            </w:tcBorders>
            <w:shd w:fill="0F1F38"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Notes</w:t>
            </w:r>
          </w:p>
        </w:tc>
      </w:tr>
      <w:tr>
        <w:tc>
          <w:tcPr>
            <w:tcW w:type="dxa" w:w="40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opensourcecharisma.com — full site</w:t>
            </w:r>
          </w:p>
        </w:tc>
        <w:tc>
          <w:tcPr>
            <w:tcW w:type="dxa" w:w="1800"/>
            <w:tcBorders>
              <w:top w:val="single" w:color="CCCCCC" w:sz="4"/>
              <w:left w:val="single" w:color="CCCCCC" w:sz="4"/>
              <w:bottom w:val="single" w:color="CCCCCC" w:sz="4"/>
              <w:right w:val="single" w:color="CCCCCC" w:sz="4"/>
            </w:tcBorders>
            <w:shd w:fill="E8F3E8" w:val="clear"/>
            <w:tcMar>
              <w:top w:type="dxa" w:w="100"/>
              <w:left w:type="dxa" w:w="140"/>
              <w:bottom w:type="dxa" w:w="100"/>
              <w:right w:type="dxa" w:w="140"/>
            </w:tcMar>
          </w:tcPr>
          <w:p>
            <w:pPr>
              <w:spacing w:after="0"/>
            </w:pPr>
            <w:r>
              <w:rPr>
                <w:rFonts w:ascii="Arial" w:cs="Arial" w:eastAsia="Arial" w:hAnsi="Arial"/>
                <w:b/>
                <w:bCs/>
                <w:color w:val="1A1A1A"/>
                <w:sz w:val="20"/>
                <w:szCs w:val="20"/>
              </w:rPr>
              <w:t xml:space="preserve">LIVE</w:t>
            </w:r>
          </w:p>
        </w:tc>
        <w:tc>
          <w:tcPr>
            <w:tcW w:type="dxa" w:w="35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Four pages: home, book, assessment, about</w:t>
            </w:r>
          </w:p>
        </w:tc>
      </w:tr>
      <w:tr>
        <w:tc>
          <w:tcPr>
            <w:tcW w:type="dxa" w:w="40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opensourcecharisma.com/methodology</w:t>
            </w:r>
          </w:p>
        </w:tc>
        <w:tc>
          <w:tcPr>
            <w:tcW w:type="dxa" w:w="1800"/>
            <w:tcBorders>
              <w:top w:val="single" w:color="CCCCCC" w:sz="4"/>
              <w:left w:val="single" w:color="CCCCCC" w:sz="4"/>
              <w:bottom w:val="single" w:color="CCCCCC" w:sz="4"/>
              <w:right w:val="single" w:color="CCCCCC" w:sz="4"/>
            </w:tcBorders>
            <w:shd w:fill="E8F3E8" w:val="clear"/>
            <w:tcMar>
              <w:top w:type="dxa" w:w="100"/>
              <w:left w:type="dxa" w:w="140"/>
              <w:bottom w:type="dxa" w:w="100"/>
              <w:right w:type="dxa" w:w="140"/>
            </w:tcMar>
          </w:tcPr>
          <w:p>
            <w:pPr>
              <w:spacing w:after="0"/>
            </w:pPr>
            <w:r>
              <w:rPr>
                <w:rFonts w:ascii="Arial" w:cs="Arial" w:eastAsia="Arial" w:hAnsi="Arial"/>
                <w:b/>
                <w:bCs/>
                <w:color w:val="1A1A1A"/>
                <w:sz w:val="20"/>
                <w:szCs w:val="20"/>
              </w:rPr>
              <w:t xml:space="preserve">LIVE</w:t>
            </w:r>
          </w:p>
        </w:tc>
        <w:tc>
          <w:tcPr>
            <w:tcW w:type="dxa" w:w="35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Validation and methodology page</w:t>
            </w:r>
          </w:p>
        </w:tc>
      </w:tr>
      <w:tr>
        <w:tc>
          <w:tcPr>
            <w:tcW w:type="dxa" w:w="40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OSCI tool — 40-question assessment</w:t>
            </w:r>
          </w:p>
        </w:tc>
        <w:tc>
          <w:tcPr>
            <w:tcW w:type="dxa" w:w="1800"/>
            <w:tcBorders>
              <w:top w:val="single" w:color="CCCCCC" w:sz="4"/>
              <w:left w:val="single" w:color="CCCCCC" w:sz="4"/>
              <w:bottom w:val="single" w:color="CCCCCC" w:sz="4"/>
              <w:right w:val="single" w:color="CCCCCC" w:sz="4"/>
            </w:tcBorders>
            <w:shd w:fill="E8F3E8" w:val="clear"/>
            <w:tcMar>
              <w:top w:type="dxa" w:w="100"/>
              <w:left w:type="dxa" w:w="140"/>
              <w:bottom w:type="dxa" w:w="100"/>
              <w:right w:type="dxa" w:w="140"/>
            </w:tcMar>
          </w:tcPr>
          <w:p>
            <w:pPr>
              <w:spacing w:after="0"/>
            </w:pPr>
            <w:r>
              <w:rPr>
                <w:rFonts w:ascii="Arial" w:cs="Arial" w:eastAsia="Arial" w:hAnsi="Arial"/>
                <w:b/>
                <w:bCs/>
                <w:color w:val="1A1A1A"/>
                <w:sz w:val="20"/>
                <w:szCs w:val="20"/>
              </w:rPr>
              <w:t xml:space="preserve">LIVE</w:t>
            </w:r>
          </w:p>
        </w:tc>
        <w:tc>
          <w:tcPr>
            <w:tcW w:type="dxa" w:w="35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At opensourcecharisma.com/assessment</w:t>
            </w:r>
          </w:p>
        </w:tc>
      </w:tr>
      <w:tr>
        <w:tc>
          <w:tcPr>
            <w:tcW w:type="dxa" w:w="40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Stripe paid report — £9.99</w:t>
            </w:r>
          </w:p>
        </w:tc>
        <w:tc>
          <w:tcPr>
            <w:tcW w:type="dxa" w:w="1800"/>
            <w:tcBorders>
              <w:top w:val="single" w:color="CCCCCC" w:sz="4"/>
              <w:left w:val="single" w:color="CCCCCC" w:sz="4"/>
              <w:bottom w:val="single" w:color="CCCCCC" w:sz="4"/>
              <w:right w:val="single" w:color="CCCCCC" w:sz="4"/>
            </w:tcBorders>
            <w:shd w:fill="E8F3E8" w:val="clear"/>
            <w:tcMar>
              <w:top w:type="dxa" w:w="100"/>
              <w:left w:type="dxa" w:w="140"/>
              <w:bottom w:type="dxa" w:w="100"/>
              <w:right w:type="dxa" w:w="140"/>
            </w:tcMar>
          </w:tcPr>
          <w:p>
            <w:pPr>
              <w:spacing w:after="0"/>
            </w:pPr>
            <w:r>
              <w:rPr>
                <w:rFonts w:ascii="Arial" w:cs="Arial" w:eastAsia="Arial" w:hAnsi="Arial"/>
                <w:b/>
                <w:bCs/>
                <w:color w:val="1A1A1A"/>
                <w:sz w:val="20"/>
                <w:szCs w:val="20"/>
              </w:rPr>
              <w:t xml:space="preserve">LIVE (test mode)</w:t>
            </w:r>
          </w:p>
        </w:tc>
        <w:tc>
          <w:tcPr>
            <w:tcW w:type="dxa" w:w="35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End-to-end working. Switch to live keys when ready.</w:t>
            </w:r>
          </w:p>
        </w:tc>
      </w:tr>
      <w:tr>
        <w:tc>
          <w:tcPr>
            <w:tcW w:type="dxa" w:w="40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PDF generation (pdfkit serverless)</w:t>
            </w:r>
          </w:p>
        </w:tc>
        <w:tc>
          <w:tcPr>
            <w:tcW w:type="dxa" w:w="1800"/>
            <w:tcBorders>
              <w:top w:val="single" w:color="CCCCCC" w:sz="4"/>
              <w:left w:val="single" w:color="CCCCCC" w:sz="4"/>
              <w:bottom w:val="single" w:color="CCCCCC" w:sz="4"/>
              <w:right w:val="single" w:color="CCCCCC" w:sz="4"/>
            </w:tcBorders>
            <w:shd w:fill="E8F3E8" w:val="clear"/>
            <w:tcMar>
              <w:top w:type="dxa" w:w="100"/>
              <w:left w:type="dxa" w:w="140"/>
              <w:bottom w:type="dxa" w:w="100"/>
              <w:right w:type="dxa" w:w="140"/>
            </w:tcMar>
          </w:tcPr>
          <w:p>
            <w:pPr>
              <w:spacing w:after="0"/>
            </w:pPr>
            <w:r>
              <w:rPr>
                <w:rFonts w:ascii="Arial" w:cs="Arial" w:eastAsia="Arial" w:hAnsi="Arial"/>
                <w:b/>
                <w:bCs/>
                <w:color w:val="1A1A1A"/>
                <w:sz w:val="20"/>
                <w:szCs w:val="20"/>
              </w:rPr>
              <w:t xml:space="preserve">LIVE</w:t>
            </w:r>
          </w:p>
        </w:tc>
        <w:tc>
          <w:tcPr>
            <w:tcW w:type="dxa" w:w="35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Personalised 4-page PDF delivered on success</w:t>
            </w:r>
          </w:p>
        </w:tc>
      </w:tr>
      <w:tr>
        <w:tc>
          <w:tcPr>
            <w:tcW w:type="dxa" w:w="40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GA4 funnel instrumentation</w:t>
            </w:r>
          </w:p>
        </w:tc>
        <w:tc>
          <w:tcPr>
            <w:tcW w:type="dxa" w:w="1800"/>
            <w:tcBorders>
              <w:top w:val="single" w:color="CCCCCC" w:sz="4"/>
              <w:left w:val="single" w:color="CCCCCC" w:sz="4"/>
              <w:bottom w:val="single" w:color="CCCCCC" w:sz="4"/>
              <w:right w:val="single" w:color="CCCCCC" w:sz="4"/>
            </w:tcBorders>
            <w:shd w:fill="E8F3E8" w:val="clear"/>
            <w:tcMar>
              <w:top w:type="dxa" w:w="100"/>
              <w:left w:type="dxa" w:w="140"/>
              <w:bottom w:type="dxa" w:w="100"/>
              <w:right w:type="dxa" w:w="140"/>
            </w:tcMar>
          </w:tcPr>
          <w:p>
            <w:pPr>
              <w:spacing w:after="0"/>
            </w:pPr>
            <w:r>
              <w:rPr>
                <w:rFonts w:ascii="Arial" w:cs="Arial" w:eastAsia="Arial" w:hAnsi="Arial"/>
                <w:b/>
                <w:bCs/>
                <w:color w:val="1A1A1A"/>
                <w:sz w:val="20"/>
                <w:szCs w:val="20"/>
              </w:rPr>
              <w:t xml:space="preserve">LIVE</w:t>
            </w:r>
          </w:p>
        </w:tc>
        <w:tc>
          <w:tcPr>
            <w:tcW w:type="dxa" w:w="35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assessment_start, email_capture, assessment_complete, report_purchase_intent</w:t>
            </w:r>
          </w:p>
        </w:tc>
      </w:tr>
      <w:tr>
        <w:tc>
          <w:tcPr>
            <w:tcW w:type="dxa" w:w="40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Email capture — homepage</w:t>
            </w:r>
          </w:p>
        </w:tc>
        <w:tc>
          <w:tcPr>
            <w:tcW w:type="dxa" w:w="1800"/>
            <w:tcBorders>
              <w:top w:val="single" w:color="CCCCCC" w:sz="4"/>
              <w:left w:val="single" w:color="CCCCCC" w:sz="4"/>
              <w:bottom w:val="single" w:color="CCCCCC" w:sz="4"/>
              <w:right w:val="single" w:color="CCCCCC" w:sz="4"/>
            </w:tcBorders>
            <w:shd w:fill="E8F3E8" w:val="clear"/>
            <w:tcMar>
              <w:top w:type="dxa" w:w="100"/>
              <w:left w:type="dxa" w:w="140"/>
              <w:bottom w:type="dxa" w:w="100"/>
              <w:right w:type="dxa" w:w="140"/>
            </w:tcMar>
          </w:tcPr>
          <w:p>
            <w:pPr>
              <w:spacing w:after="0"/>
            </w:pPr>
            <w:r>
              <w:rPr>
                <w:rFonts w:ascii="Arial" w:cs="Arial" w:eastAsia="Arial" w:hAnsi="Arial"/>
                <w:b/>
                <w:bCs/>
                <w:color w:val="1A1A1A"/>
                <w:sz w:val="20"/>
                <w:szCs w:val="20"/>
              </w:rPr>
              <w:t xml:space="preserve">LIVE</w:t>
            </w:r>
          </w:p>
        </w:tc>
        <w:tc>
          <w:tcPr>
            <w:tcW w:type="dxa" w:w="35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Mailchimp — feeds existing Mailing List</w:t>
            </w:r>
          </w:p>
        </w:tc>
      </w:tr>
      <w:tr>
        <w:tc>
          <w:tcPr>
            <w:tcW w:type="dxa" w:w="40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Email capture — OSCI results</w:t>
            </w:r>
          </w:p>
        </w:tc>
        <w:tc>
          <w:tcPr>
            <w:tcW w:type="dxa" w:w="1800"/>
            <w:tcBorders>
              <w:top w:val="single" w:color="CCCCCC" w:sz="4"/>
              <w:left w:val="single" w:color="CCCCCC" w:sz="4"/>
              <w:bottom w:val="single" w:color="CCCCCC" w:sz="4"/>
              <w:right w:val="single" w:color="CCCCCC" w:sz="4"/>
            </w:tcBorders>
            <w:shd w:fill="E8F3E8" w:val="clear"/>
            <w:tcMar>
              <w:top w:type="dxa" w:w="100"/>
              <w:left w:type="dxa" w:w="140"/>
              <w:bottom w:type="dxa" w:w="100"/>
              <w:right w:type="dxa" w:w="140"/>
            </w:tcMar>
          </w:tcPr>
          <w:p>
            <w:pPr>
              <w:spacing w:after="0"/>
            </w:pPr>
            <w:r>
              <w:rPr>
                <w:rFonts w:ascii="Arial" w:cs="Arial" w:eastAsia="Arial" w:hAnsi="Arial"/>
                <w:b/>
                <w:bCs/>
                <w:color w:val="1A1A1A"/>
                <w:sz w:val="20"/>
                <w:szCs w:val="20"/>
              </w:rPr>
              <w:t xml:space="preserve">LIVE</w:t>
            </w:r>
          </w:p>
        </w:tc>
        <w:tc>
          <w:tcPr>
            <w:tcW w:type="dxa" w:w="35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Mailchimp — required before results shown</w:t>
            </w:r>
          </w:p>
        </w:tc>
      </w:tr>
      <w:tr>
        <w:tc>
          <w:tcPr>
            <w:tcW w:type="dxa" w:w="40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charisma.themessagebusiness.com redirect</w:t>
            </w:r>
          </w:p>
        </w:tc>
        <w:tc>
          <w:tcPr>
            <w:tcW w:type="dxa" w:w="1800"/>
            <w:tcBorders>
              <w:top w:val="single" w:color="CCCCCC" w:sz="4"/>
              <w:left w:val="single" w:color="CCCCCC" w:sz="4"/>
              <w:bottom w:val="single" w:color="CCCCCC" w:sz="4"/>
              <w:right w:val="single" w:color="CCCCCC" w:sz="4"/>
            </w:tcBorders>
            <w:shd w:fill="E8F3E8" w:val="clear"/>
            <w:tcMar>
              <w:top w:type="dxa" w:w="100"/>
              <w:left w:type="dxa" w:w="140"/>
              <w:bottom w:type="dxa" w:w="100"/>
              <w:right w:type="dxa" w:w="140"/>
            </w:tcMar>
          </w:tcPr>
          <w:p>
            <w:pPr>
              <w:spacing w:after="0"/>
            </w:pPr>
            <w:r>
              <w:rPr>
                <w:rFonts w:ascii="Arial" w:cs="Arial" w:eastAsia="Arial" w:hAnsi="Arial"/>
                <w:b/>
                <w:bCs/>
                <w:color w:val="1A1A1A"/>
                <w:sz w:val="20"/>
                <w:szCs w:val="20"/>
              </w:rPr>
              <w:t xml:space="preserve">LIVE</w:t>
            </w:r>
          </w:p>
        </w:tc>
        <w:tc>
          <w:tcPr>
            <w:tcW w:type="dxa" w:w="35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301 → opensourcecharisma.com/assessment</w:t>
            </w:r>
          </w:p>
        </w:tc>
      </w:tr>
      <w:tr>
        <w:tc>
          <w:tcPr>
            <w:tcW w:type="dxa" w:w="40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.co.uk / .net / .org redirects</w:t>
            </w:r>
          </w:p>
        </w:tc>
        <w:tc>
          <w:tcPr>
            <w:tcW w:type="dxa" w:w="1800"/>
            <w:tcBorders>
              <w:top w:val="single" w:color="CCCCCC" w:sz="4"/>
              <w:left w:val="single" w:color="CCCCCC" w:sz="4"/>
              <w:bottom w:val="single" w:color="CCCCCC" w:sz="4"/>
              <w:right w:val="single" w:color="CCCCCC" w:sz="4"/>
            </w:tcBorders>
            <w:shd w:fill="E8F3E8" w:val="clear"/>
            <w:tcMar>
              <w:top w:type="dxa" w:w="100"/>
              <w:left w:type="dxa" w:w="140"/>
              <w:bottom w:type="dxa" w:w="100"/>
              <w:right w:type="dxa" w:w="140"/>
            </w:tcMar>
          </w:tcPr>
          <w:p>
            <w:pPr>
              <w:spacing w:after="0"/>
            </w:pPr>
            <w:r>
              <w:rPr>
                <w:rFonts w:ascii="Arial" w:cs="Arial" w:eastAsia="Arial" w:hAnsi="Arial"/>
                <w:b/>
                <w:bCs/>
                <w:color w:val="1A1A1A"/>
                <w:sz w:val="20"/>
                <w:szCs w:val="20"/>
              </w:rPr>
              <w:t xml:space="preserve">LIVE</w:t>
            </w:r>
          </w:p>
        </w:tc>
        <w:tc>
          <w:tcPr>
            <w:tcW w:type="dxa" w:w="35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All redirect 308 → opensourcecharisma.com</w:t>
            </w:r>
          </w:p>
        </w:tc>
      </w:tr>
      <w:tr>
        <w:tc>
          <w:tcPr>
            <w:tcW w:type="dxa" w:w="40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Book CTA on results page</w:t>
            </w:r>
          </w:p>
        </w:tc>
        <w:tc>
          <w:tcPr>
            <w:tcW w:type="dxa" w:w="1800"/>
            <w:tcBorders>
              <w:top w:val="single" w:color="CCCCCC" w:sz="4"/>
              <w:left w:val="single" w:color="CCCCCC" w:sz="4"/>
              <w:bottom w:val="single" w:color="CCCCCC" w:sz="4"/>
              <w:right w:val="single" w:color="CCCCCC" w:sz="4"/>
            </w:tcBorders>
            <w:shd w:fill="E8F3E8" w:val="clear"/>
            <w:tcMar>
              <w:top w:type="dxa" w:w="100"/>
              <w:left w:type="dxa" w:w="140"/>
              <w:bottom w:type="dxa" w:w="100"/>
              <w:right w:type="dxa" w:w="140"/>
            </w:tcMar>
          </w:tcPr>
          <w:p>
            <w:pPr>
              <w:spacing w:after="0"/>
            </w:pPr>
            <w:r>
              <w:rPr>
                <w:rFonts w:ascii="Arial" w:cs="Arial" w:eastAsia="Arial" w:hAnsi="Arial"/>
                <w:b/>
                <w:bCs/>
                <w:color w:val="1A1A1A"/>
                <w:sz w:val="20"/>
                <w:szCs w:val="20"/>
              </w:rPr>
              <w:t xml:space="preserve">LIVE</w:t>
            </w:r>
          </w:p>
        </w:tc>
        <w:tc>
          <w:tcPr>
            <w:tcW w:type="dxa" w:w="35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Links to Amazon via Geni.us</w:t>
            </w:r>
          </w:p>
        </w:tc>
      </w:tr>
      <w:tr>
        <w:tc>
          <w:tcPr>
            <w:tcW w:type="dxa" w:w="40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Stripe live mode</w:t>
            </w:r>
          </w:p>
        </w:tc>
        <w:tc>
          <w:tcPr>
            <w:tcW w:type="dxa" w:w="1800"/>
            <w:tcBorders>
              <w:top w:val="single" w:color="CCCCCC" w:sz="4"/>
              <w:left w:val="single" w:color="CCCCCC" w:sz="4"/>
              <w:bottom w:val="single" w:color="CCCCCC" w:sz="4"/>
              <w:right w:val="single" w:color="CCCCCC" w:sz="4"/>
            </w:tcBorders>
            <w:shd w:fill="FFF4E0" w:val="clear"/>
            <w:tcMar>
              <w:top w:type="dxa" w:w="100"/>
              <w:left w:type="dxa" w:w="140"/>
              <w:bottom w:type="dxa" w:w="100"/>
              <w:right w:type="dxa" w:w="140"/>
            </w:tcMar>
          </w:tcPr>
          <w:p>
            <w:pPr>
              <w:spacing w:after="0"/>
            </w:pPr>
            <w:r>
              <w:rPr>
                <w:rFonts w:ascii="Arial" w:cs="Arial" w:eastAsia="Arial" w:hAnsi="Arial"/>
                <w:b/>
                <w:bCs/>
                <w:color w:val="1A1A1A"/>
                <w:sz w:val="20"/>
                <w:szCs w:val="20"/>
              </w:rPr>
              <w:t xml:space="preserve">PENDING</w:t>
            </w:r>
          </w:p>
        </w:tc>
        <w:tc>
          <w:tcPr>
            <w:tcW w:type="dxa" w:w="35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Switch STRIPE_SECRET_KEY and STRIPE_PRICE_ID in Vercel</w:t>
            </w:r>
          </w:p>
        </w:tc>
      </w:tr>
      <w:tr>
        <w:tc>
          <w:tcPr>
            <w:tcW w:type="dxa" w:w="40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Amazon Associates affiliate tags in Geni.us</w:t>
            </w:r>
          </w:p>
        </w:tc>
        <w:tc>
          <w:tcPr>
            <w:tcW w:type="dxa" w:w="1800"/>
            <w:tcBorders>
              <w:top w:val="single" w:color="CCCCCC" w:sz="4"/>
              <w:left w:val="single" w:color="CCCCCC" w:sz="4"/>
              <w:bottom w:val="single" w:color="CCCCCC" w:sz="4"/>
              <w:right w:val="single" w:color="CCCCCC" w:sz="4"/>
            </w:tcBorders>
            <w:shd w:fill="FFF4E0" w:val="clear"/>
            <w:tcMar>
              <w:top w:type="dxa" w:w="100"/>
              <w:left w:type="dxa" w:w="140"/>
              <w:bottom w:type="dxa" w:w="100"/>
              <w:right w:type="dxa" w:w="140"/>
            </w:tcMar>
          </w:tcPr>
          <w:p>
            <w:pPr>
              <w:spacing w:after="0"/>
            </w:pPr>
            <w:r>
              <w:rPr>
                <w:rFonts w:ascii="Arial" w:cs="Arial" w:eastAsia="Arial" w:hAnsi="Arial"/>
                <w:b/>
                <w:bCs/>
                <w:color w:val="1A1A1A"/>
                <w:sz w:val="20"/>
                <w:szCs w:val="20"/>
              </w:rPr>
              <w:t xml:space="preserve">PENDING</w:t>
            </w:r>
          </w:p>
        </w:tc>
        <w:tc>
          <w:tcPr>
            <w:tcW w:type="dxa" w:w="35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Log in to Geni.us, add tags for .co.uk and .com</w:t>
            </w:r>
          </w:p>
        </w:tc>
      </w:tr>
      <w:tr>
        <w:tc>
          <w:tcPr>
            <w:tcW w:type="dxa" w:w="40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Google Ads — link to GA4</w:t>
            </w:r>
          </w:p>
        </w:tc>
        <w:tc>
          <w:tcPr>
            <w:tcW w:type="dxa" w:w="1800"/>
            <w:tcBorders>
              <w:top w:val="single" w:color="CCCCCC" w:sz="4"/>
              <w:left w:val="single" w:color="CCCCCC" w:sz="4"/>
              <w:bottom w:val="single" w:color="CCCCCC" w:sz="4"/>
              <w:right w:val="single" w:color="CCCCCC" w:sz="4"/>
            </w:tcBorders>
            <w:shd w:fill="FFF4E0" w:val="clear"/>
            <w:tcMar>
              <w:top w:type="dxa" w:w="100"/>
              <w:left w:type="dxa" w:w="140"/>
              <w:bottom w:type="dxa" w:w="100"/>
              <w:right w:type="dxa" w:w="140"/>
            </w:tcMar>
          </w:tcPr>
          <w:p>
            <w:pPr>
              <w:spacing w:after="0"/>
            </w:pPr>
            <w:r>
              <w:rPr>
                <w:rFonts w:ascii="Arial" w:cs="Arial" w:eastAsia="Arial" w:hAnsi="Arial"/>
                <w:b/>
                <w:bCs/>
                <w:color w:val="1A1A1A"/>
                <w:sz w:val="20"/>
                <w:szCs w:val="20"/>
              </w:rPr>
              <w:t xml:space="preserve">PENDING</w:t>
            </w:r>
          </w:p>
        </w:tc>
        <w:tc>
          <w:tcPr>
            <w:tcW w:type="dxa" w:w="35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Auto-tagging not enabled</w:t>
            </w:r>
          </w:p>
        </w:tc>
      </w:tr>
      <w:tr>
        <w:tc>
          <w:tcPr>
            <w:tcW w:type="dxa" w:w="40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UK trademark — Open-Source Charisma</w:t>
            </w:r>
          </w:p>
        </w:tc>
        <w:tc>
          <w:tcPr>
            <w:tcW w:type="dxa" w:w="1800"/>
            <w:tcBorders>
              <w:top w:val="single" w:color="CCCCCC" w:sz="4"/>
              <w:left w:val="single" w:color="CCCCCC" w:sz="4"/>
              <w:bottom w:val="single" w:color="CCCCCC" w:sz="4"/>
              <w:right w:val="single" w:color="CCCCCC" w:sz="4"/>
            </w:tcBorders>
            <w:shd w:fill="FFF4E0" w:val="clear"/>
            <w:tcMar>
              <w:top w:type="dxa" w:w="100"/>
              <w:left w:type="dxa" w:w="140"/>
              <w:bottom w:type="dxa" w:w="100"/>
              <w:right w:type="dxa" w:w="140"/>
            </w:tcMar>
          </w:tcPr>
          <w:p>
            <w:pPr>
              <w:spacing w:after="0"/>
            </w:pPr>
            <w:r>
              <w:rPr>
                <w:rFonts w:ascii="Arial" w:cs="Arial" w:eastAsia="Arial" w:hAnsi="Arial"/>
                <w:b/>
                <w:bCs/>
                <w:color w:val="1A1A1A"/>
                <w:sz w:val="20"/>
                <w:szCs w:val="20"/>
              </w:rPr>
              <w:t xml:space="preserve">PENDING</w:t>
            </w:r>
          </w:p>
        </w:tc>
        <w:tc>
          <w:tcPr>
            <w:tcW w:type="dxa" w:w="35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Classes 41 and 16 — file before Book 2 launch</w:t>
            </w:r>
          </w:p>
        </w:tc>
      </w:tr>
      <w:tr>
        <w:tc>
          <w:tcPr>
            <w:tcW w:type="dxa" w:w="40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cqci-assessment repo retirement</w:t>
            </w:r>
          </w:p>
        </w:tc>
        <w:tc>
          <w:tcPr>
            <w:tcW w:type="dxa" w:w="1800"/>
            <w:tcBorders>
              <w:top w:val="single" w:color="CCCCCC" w:sz="4"/>
              <w:left w:val="single" w:color="CCCCCC" w:sz="4"/>
              <w:bottom w:val="single" w:color="CCCCCC" w:sz="4"/>
              <w:right w:val="single" w:color="CCCCCC" w:sz="4"/>
            </w:tcBorders>
            <w:shd w:fill="FFF4E0" w:val="clear"/>
            <w:tcMar>
              <w:top w:type="dxa" w:w="100"/>
              <w:left w:type="dxa" w:w="140"/>
              <w:bottom w:type="dxa" w:w="100"/>
              <w:right w:type="dxa" w:w="140"/>
            </w:tcMar>
          </w:tcPr>
          <w:p>
            <w:pPr>
              <w:spacing w:after="0"/>
            </w:pPr>
            <w:r>
              <w:rPr>
                <w:rFonts w:ascii="Arial" w:cs="Arial" w:eastAsia="Arial" w:hAnsi="Arial"/>
                <w:b/>
                <w:bCs/>
                <w:color w:val="1A1A1A"/>
                <w:sz w:val="20"/>
                <w:szCs w:val="20"/>
              </w:rPr>
              <w:t xml:space="preserve">PENDING</w:t>
            </w:r>
          </w:p>
        </w:tc>
        <w:tc>
          <w:tcPr>
            <w:tcW w:type="dxa" w:w="35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Archive once migration is proven stable (1-2 weeks)</w:t>
            </w:r>
          </w:p>
        </w:tc>
      </w:tr>
    </w:tbl>
    <w:p>
      <w:pPr>
        <w:pStyle w:val="Heading1"/>
        <w:spacing w:after="180" w:before="360"/>
      </w:pPr>
      <w:r>
        <w:rPr>
          <w:rFonts w:ascii="Arial" w:cs="Arial" w:eastAsia="Arial" w:hAnsi="Arial"/>
          <w:b/>
          <w:bCs/>
          <w:color w:val="0F1F38"/>
          <w:sz w:val="32"/>
          <w:szCs w:val="32"/>
        </w:rPr>
        <w:t xml:space="preserve">2. Analytics &amp; Measurement</w:t>
      </w:r>
    </w:p>
    <w:p>
      <w:pPr>
        <w:spacing w:after="160"/>
      </w:pPr>
      <w:r>
        <w:rPr>
          <w:rFonts w:ascii="Arial" w:cs="Arial" w:eastAsia="Arial" w:hAnsi="Arial"/>
          <w:sz w:val="22"/>
          <w:szCs w:val="22"/>
        </w:rPr>
        <w:t xml:space="preserve">The funnel is fully instrumented as of 18 April 2026. Before that, GA4 recorded page_view events but nothing about what people did once they arrived. We now have four custom events covering the whole journey.</w:t>
      </w:r>
    </w:p>
    <w:p>
      <w:pPr>
        <w:pStyle w:val="Heading2"/>
        <w:spacing w:after="140" w:before="280"/>
      </w:pPr>
      <w:r>
        <w:rPr>
          <w:rFonts w:ascii="Arial" w:cs="Arial" w:eastAsia="Arial" w:hAnsi="Arial"/>
          <w:b/>
          <w:bCs/>
          <w:color w:val="0F1F38"/>
          <w:sz w:val="26"/>
          <w:szCs w:val="26"/>
        </w:rPr>
        <w:t xml:space="preserve">Live GA4 Events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bCs/>
                <w:color w:val="1A1A1A"/>
                <w:sz w:val="20"/>
                <w:szCs w:val="20"/>
              </w:rPr>
              <w:t xml:space="preserve">assessment_start</w:t>
            </w:r>
          </w:p>
        </w:tc>
        <w:tc>
          <w:tcPr>
            <w:tcW w:type="dxa" w:w="59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Fires when user clicks Find Your Type on the intro screen. Label: Part A started.</w:t>
            </w:r>
          </w:p>
        </w:tc>
      </w:tr>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bCs/>
                <w:color w:val="1A1A1A"/>
                <w:sz w:val="20"/>
                <w:szCs w:val="20"/>
              </w:rPr>
              <w:t xml:space="preserve">email_capture</w:t>
            </w:r>
          </w:p>
        </w:tc>
        <w:tc>
          <w:tcPr>
            <w:tcW w:type="dxa" w:w="59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Fires when user submits email before seeing results. Label: Email submitted before results.</w:t>
            </w:r>
          </w:p>
        </w:tc>
      </w:tr>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bCs/>
                <w:color w:val="1A1A1A"/>
                <w:sz w:val="20"/>
                <w:szCs w:val="20"/>
              </w:rPr>
              <w:t xml:space="preserve">assessment_complete</w:t>
            </w:r>
          </w:p>
        </w:tc>
        <w:tc>
          <w:tcPr>
            <w:tcW w:type="dxa" w:w="59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Fires when the results screen renders. Label: the quadrant key — charismatic, arrogant, influential, or invisible.</w:t>
            </w:r>
          </w:p>
        </w:tc>
      </w:tr>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bCs/>
                <w:color w:val="1A1A1A"/>
                <w:sz w:val="20"/>
                <w:szCs w:val="20"/>
              </w:rPr>
              <w:t xml:space="preserve">report_purchase_intent</w:t>
            </w:r>
          </w:p>
        </w:tc>
        <w:tc>
          <w:tcPr>
            <w:tcW w:type="dxa" w:w="59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Fires when user clicks the £9.99 report purchase button. Label: Buy report clicked. Value: 9.99.</w:t>
            </w:r>
          </w:p>
        </w:tc>
      </w:tr>
    </w:tbl>
    <w:p>
      <w:r>
        <w:t xml:space="preserve"/>
      </w:r>
    </w:p>
    <w:p>
      <w:pPr>
        <w:pStyle w:val="Heading2"/>
        <w:spacing w:after="140" w:before="280"/>
      </w:pPr>
      <w:r>
        <w:rPr>
          <w:rFonts w:ascii="Arial" w:cs="Arial" w:eastAsia="Arial" w:hAnsi="Arial"/>
          <w:b/>
          <w:bCs/>
          <w:color w:val="0F1F38"/>
          <w:sz w:val="26"/>
          <w:szCs w:val="26"/>
        </w:rPr>
        <w:t xml:space="preserve">The Funnel</w:t>
      </w:r>
    </w:p>
    <w:p>
      <w:pPr>
        <w:spacing w:after="160"/>
      </w:pPr>
      <w:r>
        <w:rPr>
          <w:rFonts w:ascii="Arial" w:cs="Arial" w:eastAsia="Arial" w:hAnsi="Arial"/>
          <w:sz w:val="22"/>
          <w:szCs w:val="22"/>
        </w:rPr>
        <w:t xml:space="preserve">In GA4 → Explore → Funnel exploration, build a funnel with these five steps to see where people drop off:</w:t>
      </w:r>
    </w:p>
    <w:p>
      <w:pPr>
        <w:pStyle w:val="ListParagraph"/>
        <w:numPr>
          <w:ilvl w:val="0"/>
          <w:numId w:val="2"/>
        </w:numPr>
        <w:spacing w:after="80"/>
      </w:pPr>
      <w:r>
        <w:rPr>
          <w:rFonts w:ascii="Arial" w:cs="Arial" w:eastAsia="Arial" w:hAnsi="Arial"/>
          <w:sz w:val="22"/>
          <w:szCs w:val="22"/>
        </w:rPr>
        <w:t xml:space="preserve">page_view (assessment page loaded)</w:t>
      </w:r>
    </w:p>
    <w:p>
      <w:pPr>
        <w:pStyle w:val="ListParagraph"/>
        <w:numPr>
          <w:ilvl w:val="0"/>
          <w:numId w:val="2"/>
        </w:numPr>
        <w:spacing w:after="80"/>
      </w:pPr>
      <w:r>
        <w:rPr>
          <w:rFonts w:ascii="Arial" w:cs="Arial" w:eastAsia="Arial" w:hAnsi="Arial"/>
          <w:sz w:val="22"/>
          <w:szCs w:val="22"/>
        </w:rPr>
        <w:t xml:space="preserve">assessment_start (they began)</w:t>
      </w:r>
    </w:p>
    <w:p>
      <w:pPr>
        <w:pStyle w:val="ListParagraph"/>
        <w:numPr>
          <w:ilvl w:val="0"/>
          <w:numId w:val="2"/>
        </w:numPr>
        <w:spacing w:after="80"/>
      </w:pPr>
      <w:r>
        <w:rPr>
          <w:rFonts w:ascii="Arial" w:cs="Arial" w:eastAsia="Arial" w:hAnsi="Arial"/>
          <w:sz w:val="22"/>
          <w:szCs w:val="22"/>
        </w:rPr>
        <w:t xml:space="preserve">email_capture (they finished and gave email)</w:t>
      </w:r>
    </w:p>
    <w:p>
      <w:pPr>
        <w:pStyle w:val="ListParagraph"/>
        <w:numPr>
          <w:ilvl w:val="0"/>
          <w:numId w:val="2"/>
        </w:numPr>
        <w:spacing w:after="80"/>
      </w:pPr>
      <w:r>
        <w:rPr>
          <w:rFonts w:ascii="Arial" w:cs="Arial" w:eastAsia="Arial" w:hAnsi="Arial"/>
          <w:sz w:val="22"/>
          <w:szCs w:val="22"/>
        </w:rPr>
        <w:t xml:space="preserve">assessment_complete (they saw results)</w:t>
      </w:r>
    </w:p>
    <w:p>
      <w:pPr>
        <w:pStyle w:val="ListParagraph"/>
        <w:numPr>
          <w:ilvl w:val="0"/>
          <w:numId w:val="2"/>
        </w:numPr>
        <w:spacing w:after="80"/>
      </w:pPr>
      <w:r>
        <w:rPr>
          <w:rFonts w:ascii="Arial" w:cs="Arial" w:eastAsia="Arial" w:hAnsi="Arial"/>
          <w:sz w:val="22"/>
          <w:szCs w:val="22"/>
        </w:rPr>
        <w:t xml:space="preserve">report_purchase_intent (they clicked to buy)</w:t>
      </w:r>
    </w:p>
    <w:p>
      <w:pPr>
        <w:spacing w:after="160"/>
      </w:pPr>
      <w:r>
        <w:rPr>
          <w:rFonts w:ascii="Arial" w:cs="Arial" w:eastAsia="Arial" w:hAnsi="Arial"/>
          <w:sz w:val="22"/>
          <w:szCs w:val="22"/>
        </w:rPr>
        <w:t xml:space="preserve">Two drop-off rates matter most. page_view → assessment_start tells you whether the landing page is doing its job. assessment_start → assessment_complete tells you whether the tool itself is engaging enough to finish.</w:t>
      </w:r>
    </w:p>
    <w:p>
      <w:pPr>
        <w:pStyle w:val="Heading2"/>
        <w:spacing w:after="140" w:before="280"/>
      </w:pPr>
      <w:r>
        <w:rPr>
          <w:rFonts w:ascii="Arial" w:cs="Arial" w:eastAsia="Arial" w:hAnsi="Arial"/>
          <w:b/>
          <w:bCs/>
          <w:color w:val="0F1F38"/>
          <w:sz w:val="26"/>
          <w:szCs w:val="26"/>
        </w:rPr>
        <w:t xml:space="preserve">Traffic Baseline (28 days to 17 April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bCs/>
                <w:color w:val="1A1A1A"/>
                <w:sz w:val="20"/>
                <w:szCs w:val="20"/>
              </w:rPr>
              <w:t xml:space="preserve">Active users</w:t>
            </w:r>
          </w:p>
        </w:tc>
        <w:tc>
          <w:tcPr>
            <w:tcW w:type="dxa" w:w="59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276</w:t>
            </w:r>
          </w:p>
        </w:tc>
      </w:tr>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bCs/>
                <w:color w:val="1A1A1A"/>
                <w:sz w:val="20"/>
                <w:szCs w:val="20"/>
              </w:rPr>
              <w:t xml:space="preserve">Page views</w:t>
            </w:r>
          </w:p>
        </w:tc>
        <w:tc>
          <w:tcPr>
            <w:tcW w:type="dxa" w:w="59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444</w:t>
            </w:r>
          </w:p>
        </w:tc>
      </w:tr>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bCs/>
                <w:color w:val="1A1A1A"/>
                <w:sz w:val="20"/>
                <w:szCs w:val="20"/>
              </w:rPr>
              <w:t xml:space="preserve">Engagement rate</w:t>
            </w:r>
          </w:p>
        </w:tc>
        <w:tc>
          <w:tcPr>
            <w:tcW w:type="dxa" w:w="59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20.66%</w:t>
            </w:r>
          </w:p>
        </w:tc>
      </w:tr>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bCs/>
                <w:color w:val="1A1A1A"/>
                <w:sz w:val="20"/>
                <w:szCs w:val="20"/>
              </w:rPr>
              <w:t xml:space="preserve">Mobile engagement rate</w:t>
            </w:r>
          </w:p>
        </w:tc>
        <w:tc>
          <w:tcPr>
            <w:tcW w:type="dxa" w:w="59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29.09%</w:t>
            </w:r>
          </w:p>
        </w:tc>
      </w:tr>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bCs/>
                <w:color w:val="1A1A1A"/>
                <w:sz w:val="20"/>
                <w:szCs w:val="20"/>
              </w:rPr>
              <w:t xml:space="preserve">Desktop engagement rate</w:t>
            </w:r>
          </w:p>
        </w:tc>
        <w:tc>
          <w:tcPr>
            <w:tcW w:type="dxa" w:w="59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19.34%</w:t>
            </w:r>
          </w:p>
        </w:tc>
      </w:tr>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bCs/>
                <w:color w:val="1A1A1A"/>
                <w:sz w:val="20"/>
                <w:szCs w:val="20"/>
              </w:rPr>
              <w:t xml:space="preserve">Week-on-week user growth</w:t>
            </w:r>
          </w:p>
        </w:tc>
        <w:tc>
          <w:tcPr>
            <w:tcW w:type="dxa" w:w="59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+50% (90 → 135)</w:t>
            </w:r>
          </w:p>
        </w:tc>
      </w:tr>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bCs/>
                <w:color w:val="1A1A1A"/>
                <w:sz w:val="20"/>
                <w:szCs w:val="20"/>
              </w:rPr>
              <w:t xml:space="preserve">Top geography</w:t>
            </w:r>
          </w:p>
        </w:tc>
        <w:tc>
          <w:tcPr>
            <w:tcW w:type="dxa" w:w="59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US 110, UK 33, Canada 19, France 19</w:t>
            </w:r>
          </w:p>
        </w:tc>
      </w:tr>
    </w:tbl>
    <w:p>
      <w:r>
        <w:t xml:space="preserve"/>
      </w:r>
    </w:p>
    <w:p>
      <w:pPr>
        <w:pStyle w:val="Heading3"/>
        <w:spacing w:after="120" w:before="220"/>
      </w:pPr>
      <w:r>
        <w:rPr>
          <w:rFonts w:ascii="Arial" w:cs="Arial" w:eastAsia="Arial" w:hAnsi="Arial"/>
          <w:b/>
          <w:bCs/>
          <w:color w:val="0F1F38"/>
          <w:sz w:val="22"/>
          <w:szCs w:val="22"/>
        </w:rPr>
        <w:t xml:space="preserve">Reading the numbers honestly</w:t>
      </w:r>
    </w:p>
    <w:p>
      <w:pPr>
        <w:spacing w:after="160"/>
      </w:pPr>
      <w:r>
        <w:rPr>
          <w:rFonts w:ascii="Arial" w:cs="Arial" w:eastAsia="Arial" w:hAnsi="Arial"/>
          <w:sz w:val="22"/>
          <w:szCs w:val="22"/>
        </w:rPr>
        <w:t xml:space="preserve">This is a traffic problem, not a conversion problem. 276 users in 28 days is roughly 10 a day. Not enough data to make confident funnel decisions yet. But the pages that matter are performing: the four quadrant pages and About show engagement rates between 70% and 100%. Visitors who reach the content read it.</w:t>
      </w:r>
    </w:p>
    <w:p>
      <w:pPr>
        <w:spacing w:after="160"/>
      </w:pPr>
      <w:r>
        <w:rPr>
          <w:rFonts w:ascii="Arial" w:cs="Arial" w:eastAsia="Arial" w:hAnsi="Arial"/>
          <w:sz w:val="22"/>
          <w:szCs w:val="22"/>
        </w:rPr>
        <w:t xml:space="preserve">Two observations worth acting on. First, the About page has 83% engagement. Unusually high. People who reach it are checking your credibility before committing. A clearer CTA on the About page itself, not just the homepage, is likely free uplift. Second, US traffic outnumbers UK traffic 3:1. The brand, network, and book positioning are UK-led. Either the US traffic is accidental spillover or UK distribution is underweighted. Probably the latter.</w:t>
      </w:r>
    </w:p>
    <w:p>
      <w:pPr>
        <w:pStyle w:val="Heading2"/>
        <w:spacing w:after="140" w:before="280"/>
      </w:pPr>
      <w:r>
        <w:rPr>
          <w:rFonts w:ascii="Arial" w:cs="Arial" w:eastAsia="Arial" w:hAnsi="Arial"/>
          <w:b/>
          <w:bCs/>
          <w:color w:val="0F1F38"/>
          <w:sz w:val="26"/>
          <w:szCs w:val="26"/>
        </w:rPr>
        <w:t xml:space="preserve">Reporting cadence</w:t>
      </w:r>
    </w:p>
    <w:p>
      <w:pPr>
        <w:spacing w:after="160"/>
      </w:pPr>
      <w:r>
        <w:rPr>
          <w:rFonts w:ascii="Arial" w:cs="Arial" w:eastAsia="Arial" w:hAnsi="Arial"/>
          <w:sz w:val="22"/>
          <w:szCs w:val="22"/>
        </w:rPr>
        <w:t xml:space="preserve">Stop reading GA4 weekly until monthly users pass 1,000. Below that volume, week-to-week comparisons are noise. Check monthly. Track the funnel conversion rate, not just the top-line user count.</w:t>
      </w:r>
    </w:p>
    <w:p>
      <w:pPr>
        <w:pStyle w:val="Heading1"/>
        <w:spacing w:after="180" w:before="360"/>
      </w:pPr>
      <w:r>
        <w:rPr>
          <w:rFonts w:ascii="Arial" w:cs="Arial" w:eastAsia="Arial" w:hAnsi="Arial"/>
          <w:b/>
          <w:bCs/>
          <w:color w:val="0F1F38"/>
          <w:sz w:val="32"/>
          <w:szCs w:val="32"/>
        </w:rPr>
        <w:t xml:space="preserve">3. Immediate Actions</w:t>
      </w:r>
    </w:p>
    <w:p>
      <w:pPr>
        <w:spacing w:after="160"/>
      </w:pPr>
      <w:r>
        <w:rPr>
          <w:rFonts w:ascii="Arial" w:cs="Arial" w:eastAsia="Arial" w:hAnsi="Arial"/>
          <w:sz w:val="22"/>
          <w:szCs w:val="22"/>
        </w:rPr>
        <w:t xml:space="preserve">In order of priority. Items 1-2 protect today's live revenue flow. Items 3-4 unlock growth. Items 5-6 are housekeeping.</w:t>
      </w:r>
    </w:p>
    <w:p>
      <w:pPr>
        <w:pStyle w:val="Heading2"/>
        <w:spacing w:after="140" w:before="280"/>
      </w:pPr>
      <w:r>
        <w:rPr>
          <w:rFonts w:ascii="Arial" w:cs="Arial" w:eastAsia="Arial" w:hAnsi="Arial"/>
          <w:b/>
          <w:bCs/>
          <w:color w:val="0F1F38"/>
          <w:sz w:val="26"/>
          <w:szCs w:val="26"/>
        </w:rPr>
        <w:t xml:space="preserve">Action 1 — Switch Stripe to live mode</w:t>
      </w:r>
    </w:p>
    <w:p>
      <w:pPr>
        <w:spacing w:after="160"/>
      </w:pPr>
      <w:r>
        <w:rPr>
          <w:rFonts w:ascii="Arial" w:cs="Arial" w:eastAsia="Arial" w:hAnsi="Arial"/>
          <w:sz w:val="22"/>
          <w:szCs w:val="22"/>
        </w:rPr>
        <w:t xml:space="preserve">The tool currently takes test-card payments only. To go live:</w:t>
      </w:r>
    </w:p>
    <w:p>
      <w:pPr>
        <w:pStyle w:val="ListParagraph"/>
        <w:numPr>
          <w:ilvl w:val="0"/>
          <w:numId w:val="2"/>
        </w:numPr>
        <w:spacing w:after="80"/>
      </w:pPr>
      <w:r>
        <w:rPr>
          <w:rFonts w:ascii="Arial" w:cs="Arial" w:eastAsia="Arial" w:hAnsi="Arial"/>
          <w:sz w:val="22"/>
          <w:szCs w:val="22"/>
        </w:rPr>
        <w:t xml:space="preserve">Stripe Dashboard → disable Test mode</w:t>
      </w:r>
    </w:p>
    <w:p>
      <w:pPr>
        <w:pStyle w:val="ListParagraph"/>
        <w:numPr>
          <w:ilvl w:val="0"/>
          <w:numId w:val="2"/>
        </w:numPr>
        <w:spacing w:after="80"/>
      </w:pPr>
      <w:r>
        <w:rPr>
          <w:rFonts w:ascii="Arial" w:cs="Arial" w:eastAsia="Arial" w:hAnsi="Arial"/>
          <w:sz w:val="22"/>
          <w:szCs w:val="22"/>
        </w:rPr>
        <w:t xml:space="preserve">Copy live publishable key (pk_live_...) and live secret key (sk_live_...)</w:t>
      </w:r>
    </w:p>
    <w:p>
      <w:pPr>
        <w:pStyle w:val="ListParagraph"/>
        <w:numPr>
          <w:ilvl w:val="0"/>
          <w:numId w:val="2"/>
        </w:numPr>
        <w:spacing w:after="80"/>
      </w:pPr>
      <w:r>
        <w:rPr>
          <w:rFonts w:ascii="Arial" w:cs="Arial" w:eastAsia="Arial" w:hAnsi="Arial"/>
          <w:sz w:val="22"/>
          <w:szCs w:val="22"/>
        </w:rPr>
        <w:t xml:space="preserve">Vercel → opensourcecharisma → Settings → Environment Variables</w:t>
      </w:r>
    </w:p>
    <w:p>
      <w:pPr>
        <w:pStyle w:val="ListParagraph"/>
        <w:numPr>
          <w:ilvl w:val="0"/>
          <w:numId w:val="2"/>
        </w:numPr>
        <w:spacing w:after="80"/>
      </w:pPr>
      <w:r>
        <w:rPr>
          <w:rFonts w:ascii="Arial" w:cs="Arial" w:eastAsia="Arial" w:hAnsi="Arial"/>
          <w:sz w:val="22"/>
          <w:szCs w:val="22"/>
        </w:rPr>
        <w:t xml:space="preserve">Replace STRIPE_SECRET_KEY with the sk_live_ value</w:t>
      </w:r>
    </w:p>
    <w:p>
      <w:pPr>
        <w:pStyle w:val="ListParagraph"/>
        <w:numPr>
          <w:ilvl w:val="0"/>
          <w:numId w:val="2"/>
        </w:numPr>
        <w:spacing w:after="80"/>
      </w:pPr>
      <w:r>
        <w:rPr>
          <w:rFonts w:ascii="Arial" w:cs="Arial" w:eastAsia="Arial" w:hAnsi="Arial"/>
          <w:sz w:val="22"/>
          <w:szCs w:val="22"/>
        </w:rPr>
        <w:t xml:space="preserve">Replace STRIPE_PRICE_ID with live price ID: price_1TIASDPNGM6yegi0ooFMMtmN</w:t>
      </w:r>
    </w:p>
    <w:p>
      <w:pPr>
        <w:pStyle w:val="ListParagraph"/>
        <w:numPr>
          <w:ilvl w:val="0"/>
          <w:numId w:val="2"/>
        </w:numPr>
        <w:spacing w:after="80"/>
      </w:pPr>
      <w:r>
        <w:rPr>
          <w:rFonts w:ascii="Arial" w:cs="Arial" w:eastAsia="Arial" w:hAnsi="Arial"/>
          <w:sz w:val="22"/>
          <w:szCs w:val="22"/>
        </w:rPr>
        <w:t xml:space="preserve">Update the STRIPE_PK constant in assessment.html (line ~405) with the pk_live_ value</w:t>
      </w:r>
    </w:p>
    <w:p>
      <w:pPr>
        <w:pStyle w:val="ListParagraph"/>
        <w:numPr>
          <w:ilvl w:val="0"/>
          <w:numId w:val="2"/>
        </w:numPr>
        <w:spacing w:after="80"/>
      </w:pPr>
      <w:r>
        <w:rPr>
          <w:rFonts w:ascii="Arial" w:cs="Arial" w:eastAsia="Arial" w:hAnsi="Arial"/>
          <w:sz w:val="22"/>
          <w:szCs w:val="22"/>
        </w:rPr>
        <w:t xml:space="preserve">Commit and push</w:t>
      </w:r>
    </w:p>
    <w:p>
      <w:pPr>
        <w:pStyle w:val="ListParagraph"/>
        <w:numPr>
          <w:ilvl w:val="0"/>
          <w:numId w:val="2"/>
        </w:numPr>
        <w:spacing w:after="80"/>
      </w:pPr>
      <w:r>
        <w:rPr>
          <w:rFonts w:ascii="Arial" w:cs="Arial" w:eastAsia="Arial" w:hAnsi="Arial"/>
          <w:sz w:val="22"/>
          <w:szCs w:val="22"/>
        </w:rPr>
        <w:t xml:space="preserve">Test with a real £9.99 transaction before announcing anywhere</w:t>
      </w:r>
    </w:p>
    <w:p>
      <w:pPr>
        <w:pStyle w:val="Heading2"/>
        <w:spacing w:after="140" w:before="280"/>
      </w:pPr>
      <w:r>
        <w:rPr>
          <w:rFonts w:ascii="Arial" w:cs="Arial" w:eastAsia="Arial" w:hAnsi="Arial"/>
          <w:b/>
          <w:bCs/>
          <w:color w:val="0F1F38"/>
          <w:sz w:val="26"/>
          <w:szCs w:val="26"/>
        </w:rPr>
        <w:t xml:space="preserve">Action 2 — Fix Amazon affiliate tags in Geni.us</w:t>
      </w:r>
    </w:p>
    <w:p>
      <w:pPr>
        <w:spacing w:after="160"/>
      </w:pPr>
      <w:r>
        <w:rPr>
          <w:rFonts w:ascii="Arial" w:cs="Arial" w:eastAsia="Arial" w:hAnsi="Arial"/>
          <w:sz w:val="22"/>
          <w:szCs w:val="22"/>
        </w:rPr>
        <w:t xml:space="preserve">The Geni.us book link (https://geni.us/lCwnCB) currently earns the Geni.us service the commission on every Amazon sale, not Jim. Log in to Geni.us and add personal Amazon Associates affiliate tags for both Amazon.co.uk and Amazon.com before driving traffic to the book link.</w:t>
      </w:r>
    </w:p>
    <w:p>
      <w:pPr>
        <w:pStyle w:val="Heading2"/>
        <w:spacing w:after="140" w:before="280"/>
      </w:pPr>
      <w:r>
        <w:rPr>
          <w:rFonts w:ascii="Arial" w:cs="Arial" w:eastAsia="Arial" w:hAnsi="Arial"/>
          <w:b/>
          <w:bCs/>
          <w:color w:val="0F1F38"/>
          <w:sz w:val="26"/>
          <w:szCs w:val="26"/>
        </w:rPr>
        <w:t xml:space="preserve">Action 3 — Link GA4 to Google Ads</w:t>
      </w:r>
    </w:p>
    <w:p>
      <w:pPr>
        <w:pStyle w:val="ListParagraph"/>
        <w:numPr>
          <w:ilvl w:val="0"/>
          <w:numId w:val="2"/>
        </w:numPr>
        <w:spacing w:after="80"/>
      </w:pPr>
      <w:r>
        <w:rPr>
          <w:rFonts w:ascii="Arial" w:cs="Arial" w:eastAsia="Arial" w:hAnsi="Arial"/>
          <w:sz w:val="22"/>
          <w:szCs w:val="22"/>
        </w:rPr>
        <w:t xml:space="preserve">Google Ads Dashboard → Tools and Settings → Linked accounts</w:t>
      </w:r>
    </w:p>
    <w:p>
      <w:pPr>
        <w:pStyle w:val="ListParagraph"/>
        <w:numPr>
          <w:ilvl w:val="0"/>
          <w:numId w:val="2"/>
        </w:numPr>
        <w:spacing w:after="80"/>
      </w:pPr>
      <w:r>
        <w:rPr>
          <w:rFonts w:ascii="Arial" w:cs="Arial" w:eastAsia="Arial" w:hAnsi="Arial"/>
          <w:sz w:val="22"/>
          <w:szCs w:val="22"/>
        </w:rPr>
        <w:t xml:space="preserve">Click Google Analytics 4 → Link</w:t>
      </w:r>
    </w:p>
    <w:p>
      <w:pPr>
        <w:pStyle w:val="ListParagraph"/>
        <w:numPr>
          <w:ilvl w:val="0"/>
          <w:numId w:val="2"/>
        </w:numPr>
        <w:spacing w:after="80"/>
      </w:pPr>
      <w:r>
        <w:rPr>
          <w:rFonts w:ascii="Arial" w:cs="Arial" w:eastAsia="Arial" w:hAnsi="Arial"/>
          <w:sz w:val="22"/>
          <w:szCs w:val="22"/>
        </w:rPr>
        <w:t xml:space="preserve">Select property: Open-Source Charisma (G-3S96VP3093)</w:t>
      </w:r>
    </w:p>
    <w:p>
      <w:pPr>
        <w:pStyle w:val="ListParagraph"/>
        <w:numPr>
          <w:ilvl w:val="0"/>
          <w:numId w:val="2"/>
        </w:numPr>
        <w:spacing w:after="80"/>
      </w:pPr>
      <w:r>
        <w:rPr>
          <w:rFonts w:ascii="Arial" w:cs="Arial" w:eastAsia="Arial" w:hAnsi="Arial"/>
          <w:sz w:val="22"/>
          <w:szCs w:val="22"/>
        </w:rPr>
        <w:t xml:space="preserve">Enable auto-tagging</w:t>
      </w:r>
    </w:p>
    <w:p>
      <w:pPr>
        <w:pStyle w:val="ListParagraph"/>
        <w:numPr>
          <w:ilvl w:val="0"/>
          <w:numId w:val="2"/>
        </w:numPr>
        <w:spacing w:after="80"/>
      </w:pPr>
      <w:r>
        <w:rPr>
          <w:rFonts w:ascii="Arial" w:cs="Arial" w:eastAsia="Arial" w:hAnsi="Arial"/>
          <w:sz w:val="22"/>
          <w:szCs w:val="22"/>
        </w:rPr>
        <w:t xml:space="preserve">Set up conversion event: fire on report_purchase_intent (or on a Stripe success webhook when that is built)</w:t>
      </w:r>
    </w:p>
    <w:p>
      <w:pPr>
        <w:pStyle w:val="Heading2"/>
        <w:spacing w:after="140" w:before="280"/>
      </w:pPr>
      <w:r>
        <w:rPr>
          <w:rFonts w:ascii="Arial" w:cs="Arial" w:eastAsia="Arial" w:hAnsi="Arial"/>
          <w:b/>
          <w:bCs/>
          <w:color w:val="0F1F38"/>
          <w:sz w:val="26"/>
          <w:szCs w:val="26"/>
        </w:rPr>
        <w:t xml:space="preserve">Action 4 — Submit Presentation Guru article</w:t>
      </w:r>
    </w:p>
    <w:p>
      <w:pPr>
        <w:spacing w:after="160"/>
      </w:pPr>
      <w:r>
        <w:rPr>
          <w:rFonts w:ascii="Arial" w:cs="Arial" w:eastAsia="Arial" w:hAnsi="Arial"/>
          <w:sz w:val="22"/>
          <w:szCs w:val="22"/>
        </w:rPr>
        <w:t xml:space="preserve">The article HTML is built and ready at /mnt/project/presentation-guru-article.html. Send to the PG editor with a short covering note. Every article ends with a CTA to take the OSCI. This is a recurring distribution channel, not a one-off.</w:t>
      </w:r>
    </w:p>
    <w:p>
      <w:pPr>
        <w:pStyle w:val="Heading2"/>
        <w:spacing w:after="140" w:before="280"/>
      </w:pPr>
      <w:r>
        <w:rPr>
          <w:rFonts w:ascii="Arial" w:cs="Arial" w:eastAsia="Arial" w:hAnsi="Arial"/>
          <w:b/>
          <w:bCs/>
          <w:color w:val="0F1F38"/>
          <w:sz w:val="26"/>
          <w:szCs w:val="26"/>
        </w:rPr>
        <w:t xml:space="preserve">Action 5 — File UK trademark</w:t>
      </w:r>
    </w:p>
    <w:p>
      <w:pPr>
        <w:pStyle w:val="ListParagraph"/>
        <w:numPr>
          <w:ilvl w:val="0"/>
          <w:numId w:val="2"/>
        </w:numPr>
        <w:spacing w:after="80"/>
      </w:pPr>
      <w:r>
        <w:rPr>
          <w:rFonts w:ascii="Arial" w:cs="Arial" w:eastAsia="Arial" w:hAnsi="Arial"/>
          <w:sz w:val="22"/>
          <w:szCs w:val="22"/>
        </w:rPr>
        <w:t xml:space="preserve">URL: https://www.gov.uk/apply-for-a-trademark</w:t>
      </w:r>
    </w:p>
    <w:p>
      <w:pPr>
        <w:pStyle w:val="ListParagraph"/>
        <w:numPr>
          <w:ilvl w:val="0"/>
          <w:numId w:val="2"/>
        </w:numPr>
        <w:spacing w:after="80"/>
      </w:pPr>
      <w:r>
        <w:rPr>
          <w:rFonts w:ascii="Arial" w:cs="Arial" w:eastAsia="Arial" w:hAnsi="Arial"/>
          <w:sz w:val="22"/>
          <w:szCs w:val="22"/>
        </w:rPr>
        <w:t xml:space="preserve">Classes: 41 (education and training services) and 16 (printed publications)</w:t>
      </w:r>
    </w:p>
    <w:p>
      <w:pPr>
        <w:pStyle w:val="ListParagraph"/>
        <w:numPr>
          <w:ilvl w:val="0"/>
          <w:numId w:val="2"/>
        </w:numPr>
        <w:spacing w:after="80"/>
      </w:pPr>
      <w:r>
        <w:rPr>
          <w:rFonts w:ascii="Arial" w:cs="Arial" w:eastAsia="Arial" w:hAnsi="Arial"/>
          <w:sz w:val="22"/>
          <w:szCs w:val="22"/>
        </w:rPr>
        <w:t xml:space="preserve">Term: Open-Source Charisma</w:t>
      </w:r>
    </w:p>
    <w:p>
      <w:pPr>
        <w:pStyle w:val="ListParagraph"/>
        <w:numPr>
          <w:ilvl w:val="0"/>
          <w:numId w:val="2"/>
        </w:numPr>
        <w:spacing w:after="80"/>
      </w:pPr>
      <w:r>
        <w:rPr>
          <w:rFonts w:ascii="Arial" w:cs="Arial" w:eastAsia="Arial" w:hAnsi="Arial"/>
          <w:sz w:val="22"/>
          <w:szCs w:val="22"/>
        </w:rPr>
        <w:t xml:space="preserve">File before Book 2 launches publicly</w:t>
      </w:r>
    </w:p>
    <w:p>
      <w:pPr>
        <w:pStyle w:val="Heading2"/>
        <w:spacing w:after="140" w:before="280"/>
      </w:pPr>
      <w:r>
        <w:rPr>
          <w:rFonts w:ascii="Arial" w:cs="Arial" w:eastAsia="Arial" w:hAnsi="Arial"/>
          <w:b/>
          <w:bCs/>
          <w:color w:val="0F1F38"/>
          <w:sz w:val="26"/>
          <w:szCs w:val="26"/>
        </w:rPr>
        <w:t xml:space="preserve">Action 6 — Retire cqci-assessment repo</w:t>
      </w:r>
    </w:p>
    <w:p>
      <w:pPr>
        <w:spacing w:after="160"/>
      </w:pPr>
      <w:r>
        <w:rPr>
          <w:rFonts w:ascii="Arial" w:cs="Arial" w:eastAsia="Arial" w:hAnsi="Arial"/>
          <w:sz w:val="22"/>
          <w:szCs w:val="22"/>
        </w:rPr>
        <w:t xml:space="preserve">The sandbox repo is now redundant. The live tool has everything. Wait 1-2 weeks to confirm the migrated version is stable in production, then archive or delete the cqci-assessment GitHub repo and decide whether cqci-assessment.vercel.app should redirect to the live site or be removed entirely.</w:t>
      </w:r>
    </w:p>
    <w:p>
      <w:pPr>
        <w:pStyle w:val="Heading1"/>
        <w:spacing w:after="180" w:before="360"/>
      </w:pPr>
      <w:r>
        <w:rPr>
          <w:rFonts w:ascii="Arial" w:cs="Arial" w:eastAsia="Arial" w:hAnsi="Arial"/>
          <w:b/>
          <w:bCs/>
          <w:color w:val="0F1F38"/>
          <w:sz w:val="32"/>
          <w:szCs w:val="32"/>
        </w:rPr>
        <w:t xml:space="preserve">4. Commercial Development Options</w:t>
      </w:r>
    </w:p>
    <w:p>
      <w:pPr>
        <w:spacing w:after="160"/>
      </w:pPr>
      <w:r>
        <w:rPr>
          <w:rFonts w:ascii="Arial" w:cs="Arial" w:eastAsia="Arial" w:hAnsi="Arial"/>
          <w:sz w:val="22"/>
          <w:szCs w:val="22"/>
        </w:rPr>
        <w:t xml:space="preserve">The platform is built. The gap is connecting the assets into a sequence where a stranger becomes a reader, a reader becomes an assessment taker, an assessment taker becomes a buyer, and a buyer becomes a client or referrer. In order of effort and likely return.</w:t>
      </w:r>
    </w:p>
    <w:p>
      <w:pPr>
        <w:pStyle w:val="Heading2"/>
        <w:spacing w:after="140" w:before="280"/>
      </w:pPr>
      <w:r>
        <w:rPr>
          <w:rFonts w:ascii="Arial" w:cs="Arial" w:eastAsia="Arial" w:hAnsi="Arial"/>
          <w:b/>
          <w:bCs/>
          <w:color w:val="0F1F38"/>
          <w:sz w:val="26"/>
          <w:szCs w:val="26"/>
        </w:rPr>
        <w:t xml:space="preserve">Option A — Paid OSCI Report (live today)</w:t>
      </w:r>
    </w:p>
    <w:p>
      <w:pPr>
        <w:spacing w:after="160"/>
      </w:pPr>
      <w:r>
        <w:rPr>
          <w:rFonts w:ascii="Arial" w:cs="Arial" w:eastAsia="Arial" w:hAnsi="Arial"/>
          <w:sz w:val="22"/>
          <w:szCs w:val="22"/>
        </w:rPr>
        <w:t xml:space="preserve">Delivered. Live at £9.99. Working end-to-end in test mode. The only pending step is the switch to live Stripe keys.</w:t>
      </w:r>
    </w:p>
    <w:p>
      <w:pPr>
        <w:pStyle w:val="ListParagraph"/>
        <w:numPr>
          <w:ilvl w:val="0"/>
          <w:numId w:val="2"/>
        </w:numPr>
        <w:spacing w:after="80"/>
      </w:pPr>
      <w:r>
        <w:rPr>
          <w:rFonts w:ascii="Arial" w:cs="Arial" w:eastAsia="Arial" w:hAnsi="Arial"/>
          <w:sz w:val="22"/>
          <w:szCs w:val="22"/>
        </w:rPr>
        <w:t xml:space="preserve">Price: £9.99 one-time — impulse purchase at point of maximum curiosity</w:t>
      </w:r>
    </w:p>
    <w:p>
      <w:pPr>
        <w:pStyle w:val="ListParagraph"/>
        <w:numPr>
          <w:ilvl w:val="0"/>
          <w:numId w:val="2"/>
        </w:numPr>
        <w:spacing w:after="80"/>
      </w:pPr>
      <w:r>
        <w:rPr>
          <w:rFonts w:ascii="Arial" w:cs="Arial" w:eastAsia="Arial" w:hAnsi="Arial"/>
          <w:sz w:val="22"/>
          <w:szCs w:val="22"/>
        </w:rPr>
        <w:t xml:space="preserve">Mechanism: Stripe Checkout + pdfkit serverless PDF generation on Vercel</w:t>
      </w:r>
    </w:p>
    <w:p>
      <w:pPr>
        <w:pStyle w:val="ListParagraph"/>
        <w:numPr>
          <w:ilvl w:val="0"/>
          <w:numId w:val="2"/>
        </w:numPr>
        <w:spacing w:after="80"/>
      </w:pPr>
      <w:r>
        <w:rPr>
          <w:rFonts w:ascii="Arial" w:cs="Arial" w:eastAsia="Arial" w:hAnsi="Arial"/>
          <w:sz w:val="22"/>
          <w:szCs w:val="22"/>
        </w:rPr>
        <w:t xml:space="preserve">Delivery: personalised 4-page PDF — quadrant profile, subscale breakdown, practice menu, development roadmap</w:t>
      </w:r>
    </w:p>
    <w:p>
      <w:pPr>
        <w:pStyle w:val="ListParagraph"/>
        <w:numPr>
          <w:ilvl w:val="0"/>
          <w:numId w:val="2"/>
        </w:numPr>
        <w:spacing w:after="80"/>
      </w:pPr>
      <w:r>
        <w:rPr>
          <w:rFonts w:ascii="Arial" w:cs="Arial" w:eastAsia="Arial" w:hAnsi="Arial"/>
          <w:sz w:val="22"/>
          <w:szCs w:val="22"/>
        </w:rPr>
        <w:t xml:space="preserve">Revenue potential: if 5% of assessment completions convert at £9.99, 200 completions/month = £100/month minimum</w:t>
      </w:r>
    </w:p>
    <w:p>
      <w:pPr>
        <w:pStyle w:val="Heading2"/>
        <w:spacing w:after="140" w:before="280"/>
      </w:pPr>
      <w:r>
        <w:rPr>
          <w:rFonts w:ascii="Arial" w:cs="Arial" w:eastAsia="Arial" w:hAnsi="Arial"/>
          <w:b/>
          <w:bCs/>
          <w:color w:val="0F1F38"/>
          <w:sz w:val="26"/>
          <w:szCs w:val="26"/>
        </w:rPr>
        <w:t xml:space="preserve">Option B — B2B Licensing for L&amp;D and HR Teams</w:t>
      </w:r>
    </w:p>
    <w:p>
      <w:pPr>
        <w:spacing w:after="160"/>
      </w:pPr>
      <w:r>
        <w:rPr>
          <w:rFonts w:ascii="Arial" w:cs="Arial" w:eastAsia="Arial" w:hAnsi="Arial"/>
          <w:sz w:val="22"/>
          <w:szCs w:val="22"/>
        </w:rPr>
        <w:t xml:space="preserve">The biggest untapped opportunity. L&amp;D directors need diagnostic tools. The OSCI gives them something most tools do not: a clean framework, a live consumer brand, and a tool that already works.</w:t>
      </w:r>
    </w:p>
    <w:p>
      <w:pPr>
        <w:pStyle w:val="ListParagraph"/>
        <w:numPr>
          <w:ilvl w:val="0"/>
          <w:numId w:val="2"/>
        </w:numPr>
        <w:spacing w:after="80"/>
      </w:pPr>
      <w:r>
        <w:rPr>
          <w:rFonts w:ascii="Arial" w:cs="Arial" w:eastAsia="Arial" w:hAnsi="Arial"/>
          <w:sz w:val="22"/>
          <w:szCs w:val="22"/>
        </w:rPr>
        <w:t xml:space="preserve">Proposition: licence the OSCI for team use — charge per seat, per cohort, or per year</w:t>
      </w:r>
    </w:p>
    <w:p>
      <w:pPr>
        <w:pStyle w:val="ListParagraph"/>
        <w:numPr>
          <w:ilvl w:val="0"/>
          <w:numId w:val="2"/>
        </w:numPr>
        <w:spacing w:after="80"/>
      </w:pPr>
      <w:r>
        <w:rPr>
          <w:rFonts w:ascii="Arial" w:cs="Arial" w:eastAsia="Arial" w:hAnsi="Arial"/>
          <w:sz w:val="22"/>
          <w:szCs w:val="22"/>
        </w:rPr>
        <w:t xml:space="preserve">Price points: £500 for a team of 20 / £5,000 for an L&amp;D programme / annual licence TBD</w:t>
      </w:r>
    </w:p>
    <w:p>
      <w:pPr>
        <w:pStyle w:val="ListParagraph"/>
        <w:numPr>
          <w:ilvl w:val="0"/>
          <w:numId w:val="2"/>
        </w:numPr>
        <w:spacing w:after="80"/>
      </w:pPr>
      <w:r>
        <w:rPr>
          <w:rFonts w:ascii="Arial" w:cs="Arial" w:eastAsia="Arial" w:hAnsi="Arial"/>
          <w:sz w:val="22"/>
          <w:szCs w:val="22"/>
        </w:rPr>
        <w:t xml:space="preserve">Differentiator: the group report — a team quadrant distribution is a board-level conversation</w:t>
      </w:r>
    </w:p>
    <w:p>
      <w:pPr>
        <w:pStyle w:val="ListParagraph"/>
        <w:numPr>
          <w:ilvl w:val="0"/>
          <w:numId w:val="2"/>
        </w:numPr>
        <w:spacing w:after="80"/>
      </w:pPr>
      <w:r>
        <w:rPr>
          <w:rFonts w:ascii="Arial" w:cs="Arial" w:eastAsia="Arial" w:hAnsi="Arial"/>
          <w:sz w:val="22"/>
          <w:szCs w:val="22"/>
        </w:rPr>
        <w:t xml:space="preserve">What to build: a one-page B2B licensing document (PDF) and a group results view</w:t>
      </w:r>
    </w:p>
    <w:p>
      <w:pPr>
        <w:pStyle w:val="ListParagraph"/>
        <w:numPr>
          <w:ilvl w:val="0"/>
          <w:numId w:val="2"/>
        </w:numPr>
        <w:spacing w:after="80"/>
      </w:pPr>
      <w:r>
        <w:rPr>
          <w:rFonts w:ascii="Arial" w:cs="Arial" w:eastAsia="Arial" w:hAnsi="Arial"/>
          <w:sz w:val="22"/>
          <w:szCs w:val="22"/>
        </w:rPr>
        <w:t xml:space="preserve">First step: write the one-pager and test with 2-3 L&amp;D or HR contacts already known</w:t>
      </w:r>
    </w:p>
    <w:p>
      <w:pPr>
        <w:pStyle w:val="ListParagraph"/>
        <w:numPr>
          <w:ilvl w:val="0"/>
          <w:numId w:val="2"/>
        </w:numPr>
        <w:spacing w:after="80"/>
      </w:pPr>
      <w:r>
        <w:rPr>
          <w:rFonts w:ascii="Arial" w:cs="Arial" w:eastAsia="Arial" w:hAnsi="Arial"/>
          <w:sz w:val="22"/>
          <w:szCs w:val="22"/>
        </w:rPr>
        <w:t xml:space="preserve">Effort: one day to write the one-pager, one week to build a basic group report view</w:t>
      </w:r>
    </w:p>
    <w:p>
      <w:pPr>
        <w:pStyle w:val="Heading2"/>
        <w:spacing w:after="140" w:before="280"/>
      </w:pPr>
      <w:r>
        <w:rPr>
          <w:rFonts w:ascii="Arial" w:cs="Arial" w:eastAsia="Arial" w:hAnsi="Arial"/>
          <w:b/>
          <w:bCs/>
          <w:color w:val="0F1F38"/>
          <w:sz w:val="26"/>
          <w:szCs w:val="26"/>
        </w:rPr>
        <w:t xml:space="preserve">Option C — Book 2 Launch Cohort</w:t>
      </w:r>
    </w:p>
    <w:p>
      <w:pPr>
        <w:spacing w:after="160"/>
      </w:pPr>
      <w:r>
        <w:rPr>
          <w:rFonts w:ascii="Arial" w:cs="Arial" w:eastAsia="Arial" w:hAnsi="Arial"/>
          <w:sz w:val="22"/>
          <w:szCs w:val="22"/>
        </w:rPr>
        <w:t xml:space="preserve">The standard move is: finish the book, publish it, promote it. The smarter move is to build a paid cohort before it is finished.</w:t>
      </w:r>
    </w:p>
    <w:p>
      <w:pPr>
        <w:pStyle w:val="ListParagraph"/>
        <w:numPr>
          <w:ilvl w:val="0"/>
          <w:numId w:val="2"/>
        </w:numPr>
        <w:spacing w:after="80"/>
      </w:pPr>
      <w:r>
        <w:rPr>
          <w:rFonts w:ascii="Arial" w:cs="Arial" w:eastAsia="Arial" w:hAnsi="Arial"/>
          <w:sz w:val="22"/>
          <w:szCs w:val="22"/>
        </w:rPr>
        <w:t xml:space="preserve">Format: 6-week online programme — live or asynchronous</w:t>
      </w:r>
    </w:p>
    <w:p>
      <w:pPr>
        <w:pStyle w:val="ListParagraph"/>
        <w:numPr>
          <w:ilvl w:val="0"/>
          <w:numId w:val="2"/>
        </w:numPr>
        <w:spacing w:after="80"/>
      </w:pPr>
      <w:r>
        <w:rPr>
          <w:rFonts w:ascii="Arial" w:cs="Arial" w:eastAsia="Arial" w:hAnsi="Arial"/>
          <w:sz w:val="22"/>
          <w:szCs w:val="22"/>
        </w:rPr>
        <w:t xml:space="preserve">Price: £97 to £197 per person</w:t>
      </w:r>
    </w:p>
    <w:p>
      <w:pPr>
        <w:pStyle w:val="ListParagraph"/>
        <w:numPr>
          <w:ilvl w:val="0"/>
          <w:numId w:val="2"/>
        </w:numPr>
        <w:spacing w:after="80"/>
      </w:pPr>
      <w:r>
        <w:rPr>
          <w:rFonts w:ascii="Arial" w:cs="Arial" w:eastAsia="Arial" w:hAnsi="Arial"/>
          <w:sz w:val="22"/>
          <w:szCs w:val="22"/>
        </w:rPr>
        <w:t xml:space="preserve">Content: The Quadrant framework, OSCI, direct access to Jim</w:t>
      </w:r>
    </w:p>
    <w:p>
      <w:pPr>
        <w:pStyle w:val="ListParagraph"/>
        <w:numPr>
          <w:ilvl w:val="0"/>
          <w:numId w:val="2"/>
        </w:numPr>
        <w:spacing w:after="80"/>
      </w:pPr>
      <w:r>
        <w:rPr>
          <w:rFonts w:ascii="Arial" w:cs="Arial" w:eastAsia="Arial" w:hAnsi="Arial"/>
          <w:sz w:val="22"/>
          <w:szCs w:val="22"/>
        </w:rPr>
        <w:t xml:space="preserve">Cap: 50 people — fill through existing list and LinkedIn</w:t>
      </w:r>
    </w:p>
    <w:p>
      <w:pPr>
        <w:pStyle w:val="ListParagraph"/>
        <w:numPr>
          <w:ilvl w:val="0"/>
          <w:numId w:val="2"/>
        </w:numPr>
        <w:spacing w:after="80"/>
      </w:pPr>
      <w:r>
        <w:rPr>
          <w:rFonts w:ascii="Arial" w:cs="Arial" w:eastAsia="Arial" w:hAnsi="Arial"/>
          <w:sz w:val="22"/>
          <w:szCs w:val="22"/>
        </w:rPr>
        <w:t xml:space="preserve">Benefit: immediate revenue, real audience to stress-test the framework, testimonials for book launch</w:t>
      </w:r>
    </w:p>
    <w:p>
      <w:pPr>
        <w:pStyle w:val="ListParagraph"/>
        <w:numPr>
          <w:ilvl w:val="0"/>
          <w:numId w:val="2"/>
        </w:numPr>
        <w:spacing w:after="80"/>
      </w:pPr>
      <w:r>
        <w:rPr>
          <w:rFonts w:ascii="Arial" w:cs="Arial" w:eastAsia="Arial" w:hAnsi="Arial"/>
          <w:sz w:val="22"/>
          <w:szCs w:val="22"/>
        </w:rPr>
        <w:t xml:space="preserve">First step: set a date, set a price, write a one-paragraph description, send to the existing list</w:t>
      </w:r>
    </w:p>
    <w:p>
      <w:pPr>
        <w:pStyle w:val="Heading2"/>
        <w:spacing w:after="140" w:before="280"/>
      </w:pPr>
      <w:r>
        <w:rPr>
          <w:rFonts w:ascii="Arial" w:cs="Arial" w:eastAsia="Arial" w:hAnsi="Arial"/>
          <w:b/>
          <w:bCs/>
          <w:color w:val="0F1F38"/>
          <w:sz w:val="26"/>
          <w:szCs w:val="26"/>
        </w:rPr>
        <w:t xml:space="preserve">Option D — LinkedIn Content Campaign</w:t>
      </w:r>
    </w:p>
    <w:p>
      <w:pPr>
        <w:spacing w:after="160"/>
      </w:pPr>
      <w:r>
        <w:rPr>
          <w:rFonts w:ascii="Arial" w:cs="Arial" w:eastAsia="Arial" w:hAnsi="Arial"/>
          <w:sz w:val="22"/>
          <w:szCs w:val="22"/>
        </w:rPr>
        <w:t xml:space="preserve">Four memorable character types. That is LinkedIn content gold. One post per week, each built around a real observation or story. Every post links to the OSCI.</w:t>
      </w:r>
    </w:p>
    <w:p>
      <w:pPr>
        <w:pStyle w:val="ListParagraph"/>
        <w:numPr>
          <w:ilvl w:val="0"/>
          <w:numId w:val="2"/>
        </w:numPr>
        <w:spacing w:after="80"/>
      </w:pPr>
      <w:r>
        <w:rPr>
          <w:rFonts w:ascii="Arial" w:cs="Arial" w:eastAsia="Arial" w:hAnsi="Arial"/>
          <w:sz w:val="22"/>
          <w:szCs w:val="22"/>
        </w:rPr>
        <w:t xml:space="preserve">Post structure: open with a specific observation, tell the story, name the quadrant type, link to assessment</w:t>
      </w:r>
    </w:p>
    <w:p>
      <w:pPr>
        <w:pStyle w:val="ListParagraph"/>
        <w:numPr>
          <w:ilvl w:val="0"/>
          <w:numId w:val="2"/>
        </w:numPr>
        <w:spacing w:after="80"/>
      </w:pPr>
      <w:r>
        <w:rPr>
          <w:rFonts w:ascii="Arial" w:cs="Arial" w:eastAsia="Arial" w:hAnsi="Arial"/>
          <w:sz w:val="22"/>
          <w:szCs w:val="22"/>
        </w:rPr>
        <w:t xml:space="preserve">Frequency: one post per week minimum — four types gives a month of content immediately</w:t>
      </w:r>
    </w:p>
    <w:p>
      <w:pPr>
        <w:pStyle w:val="ListParagraph"/>
        <w:numPr>
          <w:ilvl w:val="0"/>
          <w:numId w:val="2"/>
        </w:numPr>
        <w:spacing w:after="80"/>
      </w:pPr>
      <w:r>
        <w:rPr>
          <w:rFonts w:ascii="Arial" w:cs="Arial" w:eastAsia="Arial" w:hAnsi="Arial"/>
          <w:sz w:val="22"/>
          <w:szCs w:val="22"/>
        </w:rPr>
        <w:t xml:space="preserve">Paid LinkedIn ads: target L&amp;D decision-makers and HR directors at companies over 500 people</w:t>
      </w:r>
    </w:p>
    <w:p>
      <w:pPr>
        <w:pStyle w:val="ListParagraph"/>
        <w:numPr>
          <w:ilvl w:val="0"/>
          <w:numId w:val="2"/>
        </w:numPr>
        <w:spacing w:after="80"/>
      </w:pPr>
      <w:r>
        <w:rPr>
          <w:rFonts w:ascii="Arial" w:cs="Arial" w:eastAsia="Arial" w:hAnsi="Arial"/>
          <w:sz w:val="22"/>
          <w:szCs w:val="22"/>
        </w:rPr>
        <w:t xml:space="preserve">Conversion target: email capture (not report purchase) — let the sequence close the sale</w:t>
      </w:r>
    </w:p>
    <w:p>
      <w:pPr>
        <w:pStyle w:val="ListParagraph"/>
        <w:numPr>
          <w:ilvl w:val="0"/>
          <w:numId w:val="2"/>
        </w:numPr>
        <w:spacing w:after="80"/>
      </w:pPr>
      <w:r>
        <w:rPr>
          <w:rFonts w:ascii="Arial" w:cs="Arial" w:eastAsia="Arial" w:hAnsi="Arial"/>
          <w:sz w:val="22"/>
          <w:szCs w:val="22"/>
        </w:rPr>
        <w:t xml:space="preserve">First step: write the first four posts — one per quadrant type — before anything else</w:t>
      </w:r>
    </w:p>
    <w:p>
      <w:pPr>
        <w:pStyle w:val="Heading2"/>
        <w:spacing w:after="140" w:before="280"/>
      </w:pPr>
      <w:r>
        <w:rPr>
          <w:rFonts w:ascii="Arial" w:cs="Arial" w:eastAsia="Arial" w:hAnsi="Arial"/>
          <w:b/>
          <w:bCs/>
          <w:color w:val="0F1F38"/>
          <w:sz w:val="26"/>
          <w:szCs w:val="26"/>
        </w:rPr>
        <w:t xml:space="preserve">Option E — Presentation Guru Content Series</w:t>
      </w:r>
    </w:p>
    <w:p>
      <w:pPr>
        <w:spacing w:after="160"/>
      </w:pPr>
      <w:r>
        <w:rPr>
          <w:rFonts w:ascii="Arial" w:cs="Arial" w:eastAsia="Arial" w:hAnsi="Arial"/>
          <w:sz w:val="22"/>
          <w:szCs w:val="22"/>
        </w:rPr>
        <w:t xml:space="preserve">One article is not a strategy. PG gives access to a pre-qualified audience that maps almost perfectly onto the OSCI use case.</w:t>
      </w:r>
    </w:p>
    <w:p>
      <w:pPr>
        <w:pStyle w:val="ListParagraph"/>
        <w:numPr>
          <w:ilvl w:val="0"/>
          <w:numId w:val="2"/>
        </w:numPr>
        <w:spacing w:after="80"/>
      </w:pPr>
      <w:r>
        <w:rPr>
          <w:rFonts w:ascii="Arial" w:cs="Arial" w:eastAsia="Arial" w:hAnsi="Arial"/>
          <w:sz w:val="22"/>
          <w:szCs w:val="22"/>
        </w:rPr>
        <w:t xml:space="preserve">Mechanism: regular column or series on PG — every article ends with a CTA to take the OSCI</w:t>
      </w:r>
    </w:p>
    <w:p>
      <w:pPr>
        <w:pStyle w:val="ListParagraph"/>
        <w:numPr>
          <w:ilvl w:val="0"/>
          <w:numId w:val="2"/>
        </w:numPr>
        <w:spacing w:after="80"/>
      </w:pPr>
      <w:r>
        <w:rPr>
          <w:rFonts w:ascii="Arial" w:cs="Arial" w:eastAsia="Arial" w:hAnsi="Arial"/>
          <w:sz w:val="22"/>
          <w:szCs w:val="22"/>
        </w:rPr>
        <w:t xml:space="preserve">Not one-off promotion — a repeating mechanism</w:t>
      </w:r>
    </w:p>
    <w:p>
      <w:pPr>
        <w:pStyle w:val="ListParagraph"/>
        <w:numPr>
          <w:ilvl w:val="0"/>
          <w:numId w:val="2"/>
        </w:numPr>
        <w:spacing w:after="80"/>
      </w:pPr>
      <w:r>
        <w:rPr>
          <w:rFonts w:ascii="Arial" w:cs="Arial" w:eastAsia="Arial" w:hAnsi="Arial"/>
          <w:sz w:val="22"/>
          <w:szCs w:val="22"/>
        </w:rPr>
        <w:t xml:space="preserve">First step: submit the existing article, then propose a monthly column to the PG editor</w:t>
      </w:r>
    </w:p>
    <w:p>
      <w:pPr>
        <w:pStyle w:val="Heading1"/>
        <w:spacing w:after="180" w:before="360"/>
      </w:pPr>
      <w:r>
        <w:rPr>
          <w:rFonts w:ascii="Arial" w:cs="Arial" w:eastAsia="Arial" w:hAnsi="Arial"/>
          <w:b/>
          <w:bCs/>
          <w:color w:val="0F1F38"/>
          <w:sz w:val="32"/>
          <w:szCs w:val="32"/>
        </w:rPr>
        <w:t xml:space="preserve">5. Deployment Architecture</w:t>
      </w:r>
    </w:p>
    <w:p>
      <w:pPr>
        <w:pStyle w:val="Heading2"/>
        <w:spacing w:after="140" w:before="280"/>
      </w:pPr>
      <w:r>
        <w:rPr>
          <w:rFonts w:ascii="Arial" w:cs="Arial" w:eastAsia="Arial" w:hAnsi="Arial"/>
          <w:b/>
          <w:bCs/>
          <w:color w:val="0F1F38"/>
          <w:sz w:val="26"/>
          <w:szCs w:val="26"/>
        </w:rPr>
        <w:t xml:space="preserve">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bCs/>
                <w:color w:val="1A1A1A"/>
                <w:sz w:val="20"/>
                <w:szCs w:val="20"/>
              </w:rPr>
              <w:t xml:space="preserve">Source control</w:t>
            </w:r>
          </w:p>
        </w:tc>
        <w:tc>
          <w:tcPr>
            <w:tcW w:type="dxa" w:w="59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GitHub — jimharvey-source/opensourcecharisma (primary). jimharvey-source/cqci-assessment (retired, pending archive).</w:t>
            </w:r>
          </w:p>
        </w:tc>
      </w:tr>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bCs/>
                <w:color w:val="1A1A1A"/>
                <w:sz w:val="20"/>
                <w:szCs w:val="20"/>
              </w:rPr>
              <w:t xml:space="preserve">Hosting</w:t>
            </w:r>
          </w:p>
        </w:tc>
        <w:tc>
          <w:tcPr>
            <w:tcW w:type="dxa" w:w="59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Vercel. Static site + serverless functions. Auto-deploys on git push.</w:t>
            </w:r>
          </w:p>
        </w:tc>
      </w:tr>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bCs/>
                <w:color w:val="1A1A1A"/>
                <w:sz w:val="20"/>
                <w:szCs w:val="20"/>
              </w:rPr>
              <w:t xml:space="preserve">DNS</w:t>
            </w:r>
          </w:p>
        </w:tc>
        <w:tc>
          <w:tcPr>
            <w:tcW w:type="dxa" w:w="59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Cloudflare. DNS-only CNAME (grey cloud) to cname.vercel-dns.com</w:t>
            </w:r>
          </w:p>
        </w:tc>
      </w:tr>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bCs/>
                <w:color w:val="1A1A1A"/>
                <w:sz w:val="20"/>
                <w:szCs w:val="20"/>
              </w:rPr>
              <w:t xml:space="preserve">Email capture</w:t>
            </w:r>
          </w:p>
        </w:tc>
        <w:tc>
          <w:tcPr>
            <w:tcW w:type="dxa" w:w="59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Mailchimp. Existing Mailing List — 3,173 subscribers at setup.</w:t>
            </w:r>
          </w:p>
        </w:tc>
      </w:tr>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bCs/>
                <w:color w:val="1A1A1A"/>
                <w:sz w:val="20"/>
                <w:szCs w:val="20"/>
              </w:rPr>
              <w:t xml:space="preserve">Payments</w:t>
            </w:r>
          </w:p>
        </w:tc>
        <w:tc>
          <w:tcPr>
            <w:tcW w:type="dxa" w:w="59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Stripe. Test mode active. Live keys ready to swap in (see Action 1).</w:t>
            </w:r>
          </w:p>
        </w:tc>
      </w:tr>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bCs/>
                <w:color w:val="1A1A1A"/>
                <w:sz w:val="20"/>
                <w:szCs w:val="20"/>
              </w:rPr>
              <w:t xml:space="preserve">PDF generation</w:t>
            </w:r>
          </w:p>
        </w:tc>
        <w:tc>
          <w:tcPr>
            <w:tcW w:type="dxa" w:w="59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pdfkit (Node.js). Serverless function on Vercel — /api/generate-report.js</w:t>
            </w:r>
          </w:p>
        </w:tc>
      </w:tr>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bCs/>
                <w:color w:val="1A1A1A"/>
                <w:sz w:val="20"/>
                <w:szCs w:val="20"/>
              </w:rPr>
              <w:t xml:space="preserve">Checkout session creation</w:t>
            </w:r>
          </w:p>
        </w:tc>
        <w:tc>
          <w:tcPr>
            <w:tcW w:type="dxa" w:w="59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Stripe Node SDK. Serverless function on Vercel — /api/create-checkout.js</w:t>
            </w:r>
          </w:p>
        </w:tc>
      </w:tr>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bCs/>
                <w:color w:val="1A1A1A"/>
                <w:sz w:val="20"/>
                <w:szCs w:val="20"/>
              </w:rPr>
              <w:t xml:space="preserve">Analytics</w:t>
            </w:r>
          </w:p>
        </w:tc>
        <w:tc>
          <w:tcPr>
            <w:tcW w:type="dxa" w:w="59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GA4. Property: G-3S96VP3093</w:t>
            </w:r>
          </w:p>
        </w:tc>
      </w:tr>
    </w:tbl>
    <w:p>
      <w:r>
        <w:t xml:space="preserve"/>
      </w:r>
    </w:p>
    <w:p>
      <w:pPr>
        <w:pStyle w:val="Heading2"/>
        <w:spacing w:after="140" w:before="280"/>
      </w:pPr>
      <w:r>
        <w:rPr>
          <w:rFonts w:ascii="Arial" w:cs="Arial" w:eastAsia="Arial" w:hAnsi="Arial"/>
          <w:b/>
          <w:bCs/>
          <w:color w:val="0F1F38"/>
          <w:sz w:val="26"/>
          <w:szCs w:val="26"/>
        </w:rPr>
        <w:t xml:space="preserve">Local File Locations</w:t>
      </w:r>
    </w:p>
    <w:p>
      <w:pPr>
        <w:pStyle w:val="ListParagraph"/>
        <w:numPr>
          <w:ilvl w:val="0"/>
          <w:numId w:val="2"/>
        </w:numPr>
        <w:spacing w:after="80"/>
      </w:pPr>
      <w:r>
        <w:rPr>
          <w:rFonts w:ascii="Arial" w:cs="Arial" w:eastAsia="Arial" w:hAnsi="Arial"/>
          <w:sz w:val="22"/>
          <w:szCs w:val="22"/>
        </w:rPr>
        <w:t xml:space="preserve">Live site (opensourcecharisma.com): /Users/admin/opensourcecharisma/</w:t>
      </w:r>
    </w:p>
    <w:p>
      <w:pPr>
        <w:pStyle w:val="ListParagraph"/>
        <w:numPr>
          <w:ilvl w:val="0"/>
          <w:numId w:val="2"/>
        </w:numPr>
        <w:spacing w:after="80"/>
      </w:pPr>
      <w:r>
        <w:rPr>
          <w:rFonts w:ascii="Arial" w:cs="Arial" w:eastAsia="Arial" w:hAnsi="Arial"/>
          <w:sz w:val="22"/>
          <w:szCs w:val="22"/>
        </w:rPr>
        <w:t xml:space="preserve">Live OSCI assessment: /Users/admin/opensourcecharisma/assessment.html</w:t>
      </w:r>
    </w:p>
    <w:p>
      <w:pPr>
        <w:pStyle w:val="ListParagraph"/>
        <w:numPr>
          <w:ilvl w:val="0"/>
          <w:numId w:val="2"/>
        </w:numPr>
        <w:spacing w:after="80"/>
      </w:pPr>
      <w:r>
        <w:rPr>
          <w:rFonts w:ascii="Arial" w:cs="Arial" w:eastAsia="Arial" w:hAnsi="Arial"/>
          <w:sz w:val="22"/>
          <w:szCs w:val="22"/>
        </w:rPr>
        <w:t xml:space="preserve">Serverless API functions: /Users/admin/opensourcecharisma/api/</w:t>
      </w:r>
    </w:p>
    <w:p>
      <w:pPr>
        <w:pStyle w:val="ListParagraph"/>
        <w:numPr>
          <w:ilvl w:val="0"/>
          <w:numId w:val="2"/>
        </w:numPr>
        <w:spacing w:after="80"/>
      </w:pPr>
      <w:r>
        <w:rPr>
          <w:rFonts w:ascii="Arial" w:cs="Arial" w:eastAsia="Arial" w:hAnsi="Arial"/>
          <w:sz w:val="22"/>
          <w:szCs w:val="22"/>
        </w:rPr>
        <w:t xml:space="preserve">Sandbox (retired): /Users/admin/CQCI-Assessment/</w:t>
      </w:r>
    </w:p>
    <w:p>
      <w:pPr>
        <w:pStyle w:val="Heading2"/>
        <w:spacing w:after="140" w:before="280"/>
      </w:pPr>
      <w:r>
        <w:rPr>
          <w:rFonts w:ascii="Arial" w:cs="Arial" w:eastAsia="Arial" w:hAnsi="Arial"/>
          <w:b/>
          <w:bCs/>
          <w:color w:val="0F1F38"/>
          <w:sz w:val="26"/>
          <w:szCs w:val="26"/>
        </w:rPr>
        <w:t xml:space="preserve">Update Workflow</w:t>
      </w:r>
    </w:p>
    <w:p>
      <w:pPr>
        <w:pStyle w:val="ListParagraph"/>
        <w:numPr>
          <w:ilvl w:val="0"/>
          <w:numId w:val="2"/>
        </w:numPr>
        <w:spacing w:after="80"/>
      </w:pPr>
      <w:r>
        <w:rPr>
          <w:rFonts w:ascii="Arial" w:cs="Arial" w:eastAsia="Arial" w:hAnsi="Arial"/>
          <w:sz w:val="22"/>
          <w:szCs w:val="22"/>
        </w:rPr>
        <w:t xml:space="preserve">cd /Users/admin/opensourcecharisma</w:t>
      </w:r>
    </w:p>
    <w:p>
      <w:pPr>
        <w:pStyle w:val="ListParagraph"/>
        <w:numPr>
          <w:ilvl w:val="0"/>
          <w:numId w:val="2"/>
        </w:numPr>
        <w:spacing w:after="80"/>
      </w:pPr>
      <w:r>
        <w:rPr>
          <w:rFonts w:ascii="Arial" w:cs="Arial" w:eastAsia="Arial" w:hAnsi="Arial"/>
          <w:sz w:val="22"/>
          <w:szCs w:val="22"/>
        </w:rPr>
        <w:t xml:space="preserve">git add [files] → git commit -m 'description' → git push</w:t>
      </w:r>
    </w:p>
    <w:p>
      <w:pPr>
        <w:pStyle w:val="ListParagraph"/>
        <w:numPr>
          <w:ilvl w:val="0"/>
          <w:numId w:val="2"/>
        </w:numPr>
        <w:spacing w:after="80"/>
      </w:pPr>
      <w:r>
        <w:rPr>
          <w:rFonts w:ascii="Arial" w:cs="Arial" w:eastAsia="Arial" w:hAnsi="Arial"/>
          <w:sz w:val="22"/>
          <w:szCs w:val="22"/>
        </w:rPr>
        <w:t xml:space="preserve">Use native macOS Terminal — VS Code terminal can freeze on git</w:t>
      </w:r>
    </w:p>
    <w:p>
      <w:pPr>
        <w:pStyle w:val="ListParagraph"/>
        <w:numPr>
          <w:ilvl w:val="0"/>
          <w:numId w:val="2"/>
        </w:numPr>
        <w:spacing w:after="80"/>
      </w:pPr>
      <w:r>
        <w:rPr>
          <w:rFonts w:ascii="Arial" w:cs="Arial" w:eastAsia="Arial" w:hAnsi="Arial"/>
          <w:sz w:val="22"/>
          <w:szCs w:val="22"/>
        </w:rPr>
        <w:t xml:space="preserve">Vercel redeploys within 30-90 seconds (longer when package.json changes trigger npm install)</w:t>
      </w:r>
    </w:p>
    <w:p>
      <w:pPr>
        <w:pStyle w:val="Heading2"/>
        <w:spacing w:after="140" w:before="280"/>
      </w:pPr>
      <w:r>
        <w:rPr>
          <w:rFonts w:ascii="Arial" w:cs="Arial" w:eastAsia="Arial" w:hAnsi="Arial"/>
          <w:b/>
          <w:bCs/>
          <w:color w:val="0F1F38"/>
          <w:sz w:val="26"/>
          <w:szCs w:val="26"/>
        </w:rPr>
        <w:t xml:space="preserve">Vercel Environment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bCs/>
                <w:color w:val="1A1A1A"/>
                <w:sz w:val="20"/>
                <w:szCs w:val="20"/>
              </w:rPr>
              <w:t xml:space="preserve">STRIPE_SECRET_KEY (test)</w:t>
            </w:r>
          </w:p>
        </w:tc>
        <w:tc>
          <w:tcPr>
            <w:tcW w:type="dxa" w:w="59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sk_test_... — currently set. Will change to sk_live_... at Action 1.</w:t>
            </w:r>
          </w:p>
        </w:tc>
      </w:tr>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bCs/>
                <w:color w:val="1A1A1A"/>
                <w:sz w:val="20"/>
                <w:szCs w:val="20"/>
              </w:rPr>
              <w:t xml:space="preserve">STRIPE_PRICE_ID (test)</w:t>
            </w:r>
          </w:p>
        </w:tc>
        <w:tc>
          <w:tcPr>
            <w:tcW w:type="dxa" w:w="59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price_1TIAczPNGM6yegi0OdxrYI2R — currently set.</w:t>
            </w:r>
          </w:p>
        </w:tc>
      </w:tr>
    </w:tbl>
    <w:p>
      <w:pPr>
        <w:pStyle w:val="Heading1"/>
        <w:spacing w:after="180" w:before="360"/>
      </w:pPr>
      <w:r>
        <w:rPr>
          <w:rFonts w:ascii="Arial" w:cs="Arial" w:eastAsia="Arial" w:hAnsi="Arial"/>
          <w:b/>
          <w:bCs/>
          <w:color w:val="0F1F38"/>
          <w:sz w:val="32"/>
          <w:szCs w:val="32"/>
        </w:rPr>
        <w:t xml:space="preserve">6. Domain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1800"/>
        <w:gridCol w:w="3560"/>
      </w:tblGrid>
      <w:tr>
        <w:trPr>
          <w:tblHeader/>
        </w:trPr>
        <w:tc>
          <w:tcPr>
            <w:tcW w:type="dxa" w:w="4000"/>
            <w:tcBorders>
              <w:top w:val="single" w:color="CCCCCC" w:sz="4"/>
              <w:left w:val="single" w:color="CCCCCC" w:sz="4"/>
              <w:bottom w:val="single" w:color="CCCCCC" w:sz="4"/>
              <w:right w:val="single" w:color="CCCCCC" w:sz="4"/>
            </w:tcBorders>
            <w:shd w:fill="0F1F38"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Item</w:t>
            </w:r>
          </w:p>
        </w:tc>
        <w:tc>
          <w:tcPr>
            <w:tcW w:type="dxa" w:w="1800"/>
            <w:tcBorders>
              <w:top w:val="single" w:color="CCCCCC" w:sz="4"/>
              <w:left w:val="single" w:color="CCCCCC" w:sz="4"/>
              <w:bottom w:val="single" w:color="CCCCCC" w:sz="4"/>
              <w:right w:val="single" w:color="CCCCCC" w:sz="4"/>
            </w:tcBorders>
            <w:shd w:fill="0F1F38"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Status</w:t>
            </w:r>
          </w:p>
        </w:tc>
        <w:tc>
          <w:tcPr>
            <w:tcW w:type="dxa" w:w="3560"/>
            <w:tcBorders>
              <w:top w:val="single" w:color="CCCCCC" w:sz="4"/>
              <w:left w:val="single" w:color="CCCCCC" w:sz="4"/>
              <w:bottom w:val="single" w:color="CCCCCC" w:sz="4"/>
              <w:right w:val="single" w:color="CCCCCC" w:sz="4"/>
            </w:tcBorders>
            <w:shd w:fill="0F1F38"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Notes</w:t>
            </w:r>
          </w:p>
        </w:tc>
      </w:tr>
      <w:tr>
        <w:tc>
          <w:tcPr>
            <w:tcW w:type="dxa" w:w="40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opensourcecharisma.com</w:t>
            </w:r>
          </w:p>
        </w:tc>
        <w:tc>
          <w:tcPr>
            <w:tcW w:type="dxa" w:w="1800"/>
            <w:tcBorders>
              <w:top w:val="single" w:color="CCCCCC" w:sz="4"/>
              <w:left w:val="single" w:color="CCCCCC" w:sz="4"/>
              <w:bottom w:val="single" w:color="CCCCCC" w:sz="4"/>
              <w:right w:val="single" w:color="CCCCCC" w:sz="4"/>
            </w:tcBorders>
            <w:shd w:fill="E8F3E8" w:val="clear"/>
            <w:tcMar>
              <w:top w:type="dxa" w:w="100"/>
              <w:left w:type="dxa" w:w="140"/>
              <w:bottom w:type="dxa" w:w="100"/>
              <w:right w:type="dxa" w:w="140"/>
            </w:tcMar>
          </w:tcPr>
          <w:p>
            <w:pPr>
              <w:spacing w:after="0"/>
            </w:pPr>
            <w:r>
              <w:rPr>
                <w:rFonts w:ascii="Arial" w:cs="Arial" w:eastAsia="Arial" w:hAnsi="Arial"/>
                <w:b/>
                <w:bCs/>
                <w:color w:val="1A1A1A"/>
                <w:sz w:val="20"/>
                <w:szCs w:val="20"/>
              </w:rPr>
              <w:t xml:space="preserve">LIVE — Primary</w:t>
            </w:r>
          </w:p>
        </w:tc>
        <w:tc>
          <w:tcPr>
            <w:tcW w:type="dxa" w:w="35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Production site</w:t>
            </w:r>
          </w:p>
        </w:tc>
      </w:tr>
      <w:tr>
        <w:tc>
          <w:tcPr>
            <w:tcW w:type="dxa" w:w="40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www.opensourcecharisma.com</w:t>
            </w:r>
          </w:p>
        </w:tc>
        <w:tc>
          <w:tcPr>
            <w:tcW w:type="dxa" w:w="1800"/>
            <w:tcBorders>
              <w:top w:val="single" w:color="CCCCCC" w:sz="4"/>
              <w:left w:val="single" w:color="CCCCCC" w:sz="4"/>
              <w:bottom w:val="single" w:color="CCCCCC" w:sz="4"/>
              <w:right w:val="single" w:color="CCCCCC" w:sz="4"/>
            </w:tcBorders>
            <w:shd w:fill="E8F3E8" w:val="clear"/>
            <w:tcMar>
              <w:top w:type="dxa" w:w="100"/>
              <w:left w:type="dxa" w:w="140"/>
              <w:bottom w:type="dxa" w:w="100"/>
              <w:right w:type="dxa" w:w="140"/>
            </w:tcMar>
          </w:tcPr>
          <w:p>
            <w:pPr>
              <w:spacing w:after="0"/>
            </w:pPr>
            <w:r>
              <w:rPr>
                <w:rFonts w:ascii="Arial" w:cs="Arial" w:eastAsia="Arial" w:hAnsi="Arial"/>
                <w:b/>
                <w:bCs/>
                <w:color w:val="1A1A1A"/>
                <w:sz w:val="20"/>
                <w:szCs w:val="20"/>
              </w:rPr>
              <w:t xml:space="preserve">LIVE</w:t>
            </w:r>
          </w:p>
        </w:tc>
        <w:tc>
          <w:tcPr>
            <w:tcW w:type="dxa" w:w="35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307 → opensourcecharisma.com</w:t>
            </w:r>
          </w:p>
        </w:tc>
      </w:tr>
      <w:tr>
        <w:tc>
          <w:tcPr>
            <w:tcW w:type="dxa" w:w="40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opensourcecharisma.co.uk / .net / .org</w:t>
            </w:r>
          </w:p>
        </w:tc>
        <w:tc>
          <w:tcPr>
            <w:tcW w:type="dxa" w:w="1800"/>
            <w:tcBorders>
              <w:top w:val="single" w:color="CCCCCC" w:sz="4"/>
              <w:left w:val="single" w:color="CCCCCC" w:sz="4"/>
              <w:bottom w:val="single" w:color="CCCCCC" w:sz="4"/>
              <w:right w:val="single" w:color="CCCCCC" w:sz="4"/>
            </w:tcBorders>
            <w:shd w:fill="E8F3E8" w:val="clear"/>
            <w:tcMar>
              <w:top w:type="dxa" w:w="100"/>
              <w:left w:type="dxa" w:w="140"/>
              <w:bottom w:type="dxa" w:w="100"/>
              <w:right w:type="dxa" w:w="140"/>
            </w:tcMar>
          </w:tcPr>
          <w:p>
            <w:pPr>
              <w:spacing w:after="0"/>
            </w:pPr>
            <w:r>
              <w:rPr>
                <w:rFonts w:ascii="Arial" w:cs="Arial" w:eastAsia="Arial" w:hAnsi="Arial"/>
                <w:b/>
                <w:bCs/>
                <w:color w:val="1A1A1A"/>
                <w:sz w:val="20"/>
                <w:szCs w:val="20"/>
              </w:rPr>
              <w:t xml:space="preserve">LIVE</w:t>
            </w:r>
          </w:p>
        </w:tc>
        <w:tc>
          <w:tcPr>
            <w:tcW w:type="dxa" w:w="35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All redirect 308 → opensourcecharisma.com</w:t>
            </w:r>
          </w:p>
        </w:tc>
      </w:tr>
      <w:tr>
        <w:tc>
          <w:tcPr>
            <w:tcW w:type="dxa" w:w="40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charisma.themessagebusiness.com</w:t>
            </w:r>
          </w:p>
        </w:tc>
        <w:tc>
          <w:tcPr>
            <w:tcW w:type="dxa" w:w="1800"/>
            <w:tcBorders>
              <w:top w:val="single" w:color="CCCCCC" w:sz="4"/>
              <w:left w:val="single" w:color="CCCCCC" w:sz="4"/>
              <w:bottom w:val="single" w:color="CCCCCC" w:sz="4"/>
              <w:right w:val="single" w:color="CCCCCC" w:sz="4"/>
            </w:tcBorders>
            <w:shd w:fill="E8F3E8" w:val="clear"/>
            <w:tcMar>
              <w:top w:type="dxa" w:w="100"/>
              <w:left w:type="dxa" w:w="140"/>
              <w:bottom w:type="dxa" w:w="100"/>
              <w:right w:type="dxa" w:w="140"/>
            </w:tcMar>
          </w:tcPr>
          <w:p>
            <w:pPr>
              <w:spacing w:after="0"/>
            </w:pPr>
            <w:r>
              <w:rPr>
                <w:rFonts w:ascii="Arial" w:cs="Arial" w:eastAsia="Arial" w:hAnsi="Arial"/>
                <w:b/>
                <w:bCs/>
                <w:color w:val="1A1A1A"/>
                <w:sz w:val="20"/>
                <w:szCs w:val="20"/>
              </w:rPr>
              <w:t xml:space="preserve">LIVE</w:t>
            </w:r>
          </w:p>
        </w:tc>
        <w:tc>
          <w:tcPr>
            <w:tcW w:type="dxa" w:w="35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301 → opensourcecharisma.com/assessment</w:t>
            </w:r>
          </w:p>
        </w:tc>
      </w:tr>
      <w:tr>
        <w:tc>
          <w:tcPr>
            <w:tcW w:type="dxa" w:w="40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opensourcecharisma.vercel.app</w:t>
            </w:r>
          </w:p>
        </w:tc>
        <w:tc>
          <w:tcPr>
            <w:tcW w:type="dxa" w:w="1800"/>
            <w:tcBorders>
              <w:top w:val="single" w:color="CCCCCC" w:sz="4"/>
              <w:left w:val="single" w:color="CCCCCC" w:sz="4"/>
              <w:bottom w:val="single" w:color="CCCCCC" w:sz="4"/>
              <w:right w:val="single" w:color="CCCCCC" w:sz="4"/>
            </w:tcBorders>
            <w:shd w:fill="E8F3E8" w:val="clear"/>
            <w:tcMar>
              <w:top w:type="dxa" w:w="100"/>
              <w:left w:type="dxa" w:w="140"/>
              <w:bottom w:type="dxa" w:w="100"/>
              <w:right w:type="dxa" w:w="140"/>
            </w:tcMar>
          </w:tcPr>
          <w:p>
            <w:pPr>
              <w:spacing w:after="0"/>
            </w:pPr>
            <w:r>
              <w:rPr>
                <w:rFonts w:ascii="Arial" w:cs="Arial" w:eastAsia="Arial" w:hAnsi="Arial"/>
                <w:b/>
                <w:bCs/>
                <w:color w:val="1A1A1A"/>
                <w:sz w:val="20"/>
                <w:szCs w:val="20"/>
              </w:rPr>
              <w:t xml:space="preserve">LIVE</w:t>
            </w:r>
          </w:p>
        </w:tc>
        <w:tc>
          <w:tcPr>
            <w:tcW w:type="dxa" w:w="35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Backup production URL</w:t>
            </w:r>
          </w:p>
        </w:tc>
      </w:tr>
      <w:tr>
        <w:tc>
          <w:tcPr>
            <w:tcW w:type="dxa" w:w="40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cqci-assessment.vercel.app</w:t>
            </w:r>
          </w:p>
        </w:tc>
        <w:tc>
          <w:tcPr>
            <w:tcW w:type="dxa" w:w="1800"/>
            <w:tcBorders>
              <w:top w:val="single" w:color="CCCCCC" w:sz="4"/>
              <w:left w:val="single" w:color="CCCCCC" w:sz="4"/>
              <w:bottom w:val="single" w:color="CCCCCC" w:sz="4"/>
              <w:right w:val="single" w:color="CCCCCC" w:sz="4"/>
            </w:tcBorders>
            <w:shd w:fill="FFF4E0" w:val="clear"/>
            <w:tcMar>
              <w:top w:type="dxa" w:w="100"/>
              <w:left w:type="dxa" w:w="140"/>
              <w:bottom w:type="dxa" w:w="100"/>
              <w:right w:type="dxa" w:w="140"/>
            </w:tcMar>
          </w:tcPr>
          <w:p>
            <w:pPr>
              <w:spacing w:after="0"/>
            </w:pPr>
            <w:r>
              <w:rPr>
                <w:rFonts w:ascii="Arial" w:cs="Arial" w:eastAsia="Arial" w:hAnsi="Arial"/>
                <w:b/>
                <w:bCs/>
                <w:color w:val="1A1A1A"/>
                <w:sz w:val="20"/>
                <w:szCs w:val="20"/>
              </w:rPr>
              <w:t xml:space="preserve">LIVE</w:t>
            </w:r>
          </w:p>
        </w:tc>
        <w:tc>
          <w:tcPr>
            <w:tcW w:type="dxa" w:w="35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Retire or redirect once migration is confirmed stable</w:t>
            </w:r>
          </w:p>
        </w:tc>
      </w:tr>
    </w:tbl>
    <w:p>
      <w:pPr>
        <w:pStyle w:val="Heading1"/>
        <w:spacing w:after="180" w:before="360"/>
      </w:pPr>
      <w:r>
        <w:rPr>
          <w:rFonts w:ascii="Arial" w:cs="Arial" w:eastAsia="Arial" w:hAnsi="Arial"/>
          <w:b/>
          <w:bCs/>
          <w:color w:val="0F1F38"/>
          <w:sz w:val="32"/>
          <w:szCs w:val="32"/>
        </w:rPr>
        <w:t xml:space="preserve">7. Key Credentials and References</w:t>
      </w:r>
    </w:p>
    <w:p>
      <w:pPr>
        <w:spacing w:after="160"/>
      </w:pPr>
      <w:r>
        <w:rPr>
          <w:rFonts w:ascii="Arial" w:cs="Arial" w:eastAsia="Arial" w:hAnsi="Arial"/>
          <w:sz w:val="22"/>
          <w:szCs w:val="22"/>
        </w:rPr>
        <w:t xml:space="preserve">Store credentials securely. Never commit secret keys to GitHub. Secret keys live only in Vercel environment variables.</w:t>
      </w:r>
    </w:p>
    <w:p>
      <w:pPr>
        <w:pStyle w:val="Heading2"/>
        <w:spacing w:after="140" w:before="280"/>
      </w:pPr>
      <w:r>
        <w:rPr>
          <w:rFonts w:ascii="Arial" w:cs="Arial" w:eastAsia="Arial" w:hAnsi="Arial"/>
          <w:b/>
          <w:bCs/>
          <w:color w:val="0F1F38"/>
          <w:sz w:val="26"/>
          <w:szCs w:val="26"/>
        </w:rPr>
        <w:t xml:space="preserve">Stripe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bCs/>
                <w:color w:val="1A1A1A"/>
                <w:sz w:val="20"/>
                <w:szCs w:val="20"/>
              </w:rPr>
              <w:t xml:space="preserve">Publishable key (test)</w:t>
            </w:r>
          </w:p>
        </w:tc>
        <w:tc>
          <w:tcPr>
            <w:tcW w:type="dxa" w:w="59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pk_test_51TCIFBPNGm6yegi0zQq... (in assessment.html)</w:t>
            </w:r>
          </w:p>
        </w:tc>
      </w:tr>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bCs/>
                <w:color w:val="1A1A1A"/>
                <w:sz w:val="20"/>
                <w:szCs w:val="20"/>
              </w:rPr>
              <w:t xml:space="preserve">Secret key (test)</w:t>
            </w:r>
          </w:p>
        </w:tc>
        <w:tc>
          <w:tcPr>
            <w:tcW w:type="dxa" w:w="59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sk_test_... (Vercel env var only)</w:t>
            </w:r>
          </w:p>
        </w:tc>
      </w:tr>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bCs/>
                <w:color w:val="1A1A1A"/>
                <w:sz w:val="20"/>
                <w:szCs w:val="20"/>
              </w:rPr>
              <w:t xml:space="preserve">Price ID (test)</w:t>
            </w:r>
          </w:p>
        </w:tc>
        <w:tc>
          <w:tcPr>
            <w:tcW w:type="dxa" w:w="59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price_1TIAczPNGM6yegi0OdxrYI2R</w:t>
            </w:r>
          </w:p>
        </w:tc>
      </w:tr>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bCs/>
                <w:color w:val="1A1A1A"/>
                <w:sz w:val="20"/>
                <w:szCs w:val="20"/>
              </w:rPr>
              <w:t xml:space="preserve">Price ID (live)</w:t>
            </w:r>
          </w:p>
        </w:tc>
        <w:tc>
          <w:tcPr>
            <w:tcW w:type="dxa" w:w="59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price_1TIASDPNGM6yegi0ooFMMtmN</w:t>
            </w:r>
          </w:p>
        </w:tc>
      </w:tr>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bCs/>
                <w:color w:val="1A1A1A"/>
                <w:sz w:val="20"/>
                <w:szCs w:val="20"/>
              </w:rPr>
              <w:t xml:space="preserve">Product</w:t>
            </w:r>
          </w:p>
        </w:tc>
        <w:tc>
          <w:tcPr>
            <w:tcW w:type="dxa" w:w="59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OSCI Detailed Charisma Report — £9.99</w:t>
            </w:r>
          </w:p>
        </w:tc>
      </w:tr>
    </w:tbl>
    <w:p>
      <w:r>
        <w:t xml:space="preserve"/>
      </w:r>
    </w:p>
    <w:p>
      <w:pPr>
        <w:pStyle w:val="Heading2"/>
        <w:spacing w:after="140" w:before="280"/>
      </w:pPr>
      <w:r>
        <w:rPr>
          <w:rFonts w:ascii="Arial" w:cs="Arial" w:eastAsia="Arial" w:hAnsi="Arial"/>
          <w:b/>
          <w:bCs/>
          <w:color w:val="0F1F38"/>
          <w:sz w:val="26"/>
          <w:szCs w:val="26"/>
        </w:rPr>
        <w:t xml:space="preserve">Mailchimp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bCs/>
                <w:color w:val="1A1A1A"/>
                <w:sz w:val="20"/>
                <w:szCs w:val="20"/>
              </w:rPr>
              <w:t xml:space="preserve">POST URL</w:t>
            </w:r>
          </w:p>
        </w:tc>
        <w:tc>
          <w:tcPr>
            <w:tcW w:type="dxa" w:w="59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https://jim-harvey.us5.list-manage.com/subscribe/post?u=816f112ee06e3f52ea77a1f2a&amp;id=70fa5f8e7e&amp;f_id=00cd40edf0</w:t>
            </w:r>
          </w:p>
        </w:tc>
      </w:tr>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bCs/>
                <w:color w:val="1A1A1A"/>
                <w:sz w:val="20"/>
                <w:szCs w:val="20"/>
              </w:rPr>
              <w:t xml:space="preserve">Audience</w:t>
            </w:r>
          </w:p>
        </w:tc>
        <w:tc>
          <w:tcPr>
            <w:tcW w:type="dxa" w:w="59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Mailing List — 3,173 subscribers at setup</w:t>
            </w:r>
          </w:p>
        </w:tc>
      </w:tr>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bCs/>
                <w:color w:val="1A1A1A"/>
                <w:sz w:val="20"/>
                <w:szCs w:val="20"/>
              </w:rPr>
              <w:t xml:space="preserve">OSC landing page</w:t>
            </w:r>
          </w:p>
        </w:tc>
        <w:tc>
          <w:tcPr>
            <w:tcW w:type="dxa" w:w="59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https://mailchi.mp/82ada32da581/charisma-questionnaire-subscriber</w:t>
            </w:r>
          </w:p>
        </w:tc>
      </w:tr>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bCs/>
                <w:color w:val="1A1A1A"/>
                <w:sz w:val="20"/>
                <w:szCs w:val="20"/>
              </w:rPr>
              <w:t xml:space="preserve">PG subscribe URL</w:t>
            </w:r>
          </w:p>
        </w:tc>
        <w:tc>
          <w:tcPr>
            <w:tcW w:type="dxa" w:w="59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https://presentation-guru.us5.list-manage.com/subscribe?u=816f112ee06e3f52ea77a1f2a&amp;id=7ed36e13c8</w:t>
            </w:r>
          </w:p>
        </w:tc>
      </w:tr>
    </w:tbl>
    <w:p>
      <w:r>
        <w:t xml:space="preserve"/>
      </w:r>
    </w:p>
    <w:p>
      <w:pPr>
        <w:pStyle w:val="Heading2"/>
        <w:spacing w:after="140" w:before="280"/>
      </w:pPr>
      <w:r>
        <w:rPr>
          <w:rFonts w:ascii="Arial" w:cs="Arial" w:eastAsia="Arial" w:hAnsi="Arial"/>
          <w:b/>
          <w:bCs/>
          <w:color w:val="0F1F38"/>
          <w:sz w:val="26"/>
          <w:szCs w:val="26"/>
        </w:rPr>
        <w:t xml:space="preserve">Analytics and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bCs/>
                <w:color w:val="1A1A1A"/>
                <w:sz w:val="20"/>
                <w:szCs w:val="20"/>
              </w:rPr>
              <w:t xml:space="preserve">GA4 Measurement ID</w:t>
            </w:r>
          </w:p>
        </w:tc>
        <w:tc>
          <w:tcPr>
            <w:tcW w:type="dxa" w:w="59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G-3S96VP3093</w:t>
            </w:r>
          </w:p>
        </w:tc>
      </w:tr>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bCs/>
                <w:color w:val="1A1A1A"/>
                <w:sz w:val="20"/>
                <w:szCs w:val="20"/>
              </w:rPr>
              <w:t xml:space="preserve">GA4 Account</w:t>
            </w:r>
          </w:p>
        </w:tc>
        <w:tc>
          <w:tcPr>
            <w:tcW w:type="dxa" w:w="59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jim.harvey@themessagebusiness.com</w:t>
            </w:r>
          </w:p>
        </w:tc>
      </w:tr>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bCs/>
                <w:color w:val="1A1A1A"/>
                <w:sz w:val="20"/>
                <w:szCs w:val="20"/>
              </w:rPr>
              <w:t xml:space="preserve">Amazon (Book 1)</w:t>
            </w:r>
          </w:p>
        </w:tc>
        <w:tc>
          <w:tcPr>
            <w:tcW w:type="dxa" w:w="59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https://www.amazon.com/Open-Source-Charisma-small-Confidence/dp/B0DB683KZ6</w:t>
            </w:r>
          </w:p>
        </w:tc>
      </w:tr>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bCs/>
                <w:color w:val="1A1A1A"/>
                <w:sz w:val="20"/>
                <w:szCs w:val="20"/>
              </w:rPr>
              <w:t xml:space="preserve">Geni.us book link</w:t>
            </w:r>
          </w:p>
        </w:tc>
        <w:tc>
          <w:tcPr>
            <w:tcW w:type="dxa" w:w="59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https://geni.us/lCwnCB — Amazon affiliate tags need adding (see Action 2)</w:t>
            </w:r>
          </w:p>
        </w:tc>
      </w:tr>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bCs/>
                <w:color w:val="1A1A1A"/>
                <w:sz w:val="20"/>
                <w:szCs w:val="20"/>
              </w:rPr>
              <w:t xml:space="preserve">UK IPO Trademark</w:t>
            </w:r>
          </w:p>
        </w:tc>
        <w:tc>
          <w:tcPr>
            <w:tcW w:type="dxa" w:w="59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https://www.gov.uk/apply-for-a-trademark — Classes 41 and 16</w:t>
            </w:r>
          </w:p>
        </w:tc>
      </w:tr>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bCs/>
                <w:color w:val="1A1A1A"/>
                <w:sz w:val="20"/>
                <w:szCs w:val="20"/>
              </w:rPr>
              <w:t xml:space="preserve">Contact email</w:t>
            </w:r>
          </w:p>
        </w:tc>
        <w:tc>
          <w:tcPr>
            <w:tcW w:type="dxa" w:w="59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jim.harvey@themessagebusiness.com</w:t>
            </w:r>
          </w:p>
        </w:tc>
      </w:tr>
    </w:tbl>
    <w:p>
      <w:pPr>
        <w:pStyle w:val="Heading1"/>
        <w:spacing w:after="180" w:before="360"/>
      </w:pPr>
      <w:r>
        <w:rPr>
          <w:rFonts w:ascii="Arial" w:cs="Arial" w:eastAsia="Arial" w:hAnsi="Arial"/>
          <w:b/>
          <w:bCs/>
          <w:color w:val="0F1F38"/>
          <w:sz w:val="32"/>
          <w:szCs w:val="32"/>
        </w:rPr>
        <w:t xml:space="preserve">8. OSCI Assessment Specifications</w:t>
      </w:r>
    </w:p>
    <w:p>
      <w:pPr>
        <w:pStyle w:val="Heading2"/>
        <w:spacing w:after="140" w:before="280"/>
      </w:pPr>
      <w:r>
        <w:rPr>
          <w:rFonts w:ascii="Arial" w:cs="Arial" w:eastAsia="Arial" w:hAnsi="Arial"/>
          <w:b/>
          <w:bCs/>
          <w:color w:val="0F1F38"/>
          <w:sz w:val="26"/>
          <w:szCs w:val="26"/>
        </w:rPr>
        <w:t xml:space="preserve">Structure</w:t>
      </w:r>
    </w:p>
    <w:p>
      <w:pPr>
        <w:pStyle w:val="ListParagraph"/>
        <w:numPr>
          <w:ilvl w:val="0"/>
          <w:numId w:val="2"/>
        </w:numPr>
        <w:spacing w:after="80"/>
      </w:pPr>
      <w:r>
        <w:rPr>
          <w:rFonts w:ascii="Arial" w:cs="Arial" w:eastAsia="Arial" w:hAnsi="Arial"/>
          <w:sz w:val="22"/>
          <w:szCs w:val="22"/>
        </w:rPr>
        <w:t xml:space="preserve">40 questions: 20 Confidence (Part A), 20 Social Skills (Part B)</w:t>
      </w:r>
    </w:p>
    <w:p>
      <w:pPr>
        <w:pStyle w:val="ListParagraph"/>
        <w:numPr>
          <w:ilvl w:val="0"/>
          <w:numId w:val="2"/>
        </w:numPr>
        <w:spacing w:after="80"/>
      </w:pPr>
      <w:r>
        <w:rPr>
          <w:rFonts w:ascii="Arial" w:cs="Arial" w:eastAsia="Arial" w:hAnsi="Arial"/>
          <w:sz w:val="22"/>
          <w:szCs w:val="22"/>
        </w:rPr>
        <w:t xml:space="preserve">5-point Likert scale: 1 = Strongly Disagree, 5 = Strongly Agree</w:t>
      </w:r>
    </w:p>
    <w:p>
      <w:pPr>
        <w:pStyle w:val="ListParagraph"/>
        <w:numPr>
          <w:ilvl w:val="0"/>
          <w:numId w:val="2"/>
        </w:numPr>
        <w:spacing w:after="80"/>
      </w:pPr>
      <w:r>
        <w:rPr>
          <w:rFonts w:ascii="Arial" w:cs="Arial" w:eastAsia="Arial" w:hAnsi="Arial"/>
          <w:sz w:val="22"/>
          <w:szCs w:val="22"/>
        </w:rPr>
        <w:t xml:space="preserve">Quadrant placement: 60-point midpoint on each dimension</w:t>
      </w:r>
    </w:p>
    <w:p>
      <w:pPr>
        <w:pStyle w:val="ListParagraph"/>
        <w:numPr>
          <w:ilvl w:val="0"/>
          <w:numId w:val="2"/>
        </w:numPr>
        <w:spacing w:after="80"/>
      </w:pPr>
      <w:r>
        <w:rPr>
          <w:rFonts w:ascii="Arial" w:cs="Arial" w:eastAsia="Arial" w:hAnsi="Arial"/>
          <w:sz w:val="22"/>
          <w:szCs w:val="22"/>
        </w:rPr>
        <w:t xml:space="preserve">Score range per dimension: 20–100</w:t>
      </w:r>
    </w:p>
    <w:p>
      <w:pPr>
        <w:pStyle w:val="ListParagraph"/>
        <w:numPr>
          <w:ilvl w:val="0"/>
          <w:numId w:val="2"/>
        </w:numPr>
        <w:spacing w:after="80"/>
      </w:pPr>
      <w:r>
        <w:rPr>
          <w:rFonts w:ascii="Arial" w:cs="Arial" w:eastAsia="Arial" w:hAnsi="Arial"/>
          <w:sz w:val="22"/>
          <w:szCs w:val="22"/>
        </w:rPr>
        <w:t xml:space="preserve">8 subscales, reverse-scored items throughout</w:t>
      </w:r>
    </w:p>
    <w:p>
      <w:pPr>
        <w:pStyle w:val="Heading2"/>
        <w:spacing w:after="140" w:before="280"/>
      </w:pPr>
      <w:r>
        <w:rPr>
          <w:rFonts w:ascii="Arial" w:cs="Arial" w:eastAsia="Arial" w:hAnsi="Arial"/>
          <w:b/>
          <w:bCs/>
          <w:color w:val="0F1F38"/>
          <w:sz w:val="26"/>
          <w:szCs w:val="26"/>
        </w:rPr>
        <w:t xml:space="preserve">Quadrant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2160"/>
      </w:tblGrid>
      <w:tr>
        <w:trPr>
          <w:tblHeader/>
        </w:trPr>
        <w:tc>
          <w:tcPr>
            <w:tcW w:type="dxa" w:w="3600"/>
            <w:tcBorders>
              <w:top w:val="single" w:color="CCCCCC" w:sz="4"/>
              <w:left w:val="single" w:color="CCCCCC" w:sz="4"/>
              <w:bottom w:val="single" w:color="CCCCCC" w:sz="4"/>
              <w:right w:val="single" w:color="CCCCCC" w:sz="4"/>
            </w:tcBorders>
            <w:shd w:fill="0F1F38"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Label</w:t>
            </w:r>
          </w:p>
        </w:tc>
        <w:tc>
          <w:tcPr>
            <w:tcW w:type="dxa" w:w="3600"/>
            <w:tcBorders>
              <w:top w:val="single" w:color="CCCCCC" w:sz="4"/>
              <w:left w:val="single" w:color="CCCCCC" w:sz="4"/>
              <w:bottom w:val="single" w:color="CCCCCC" w:sz="4"/>
              <w:right w:val="single" w:color="CCCCCC" w:sz="4"/>
            </w:tcBorders>
            <w:shd w:fill="0F1F38"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Axes</w:t>
            </w:r>
          </w:p>
        </w:tc>
        <w:tc>
          <w:tcPr>
            <w:tcW w:type="dxa" w:w="2160"/>
            <w:tcBorders>
              <w:top w:val="single" w:color="CCCCCC" w:sz="4"/>
              <w:left w:val="single" w:color="CCCCCC" w:sz="4"/>
              <w:bottom w:val="single" w:color="CCCCCC" w:sz="4"/>
              <w:right w:val="single" w:color="CCCCCC" w:sz="4"/>
            </w:tcBorders>
            <w:shd w:fill="0F1F38"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GA4 key</w:t>
            </w:r>
          </w:p>
        </w:tc>
      </w:tr>
      <w:tr>
        <w:tc>
          <w:tcPr>
            <w:tcW w:type="dxa" w:w="36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The Incidentally Invisible</w:t>
            </w:r>
          </w:p>
        </w:tc>
        <w:tc>
          <w:tcPr>
            <w:tcW w:type="dxa" w:w="36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Lower Confidence + Lower Social Skills</w:t>
            </w:r>
          </w:p>
        </w:tc>
        <w:tc>
          <w:tcPr>
            <w:tcW w:type="dxa" w:w="21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invisible</w:t>
            </w:r>
          </w:p>
        </w:tc>
      </w:tr>
      <w:tr>
        <w:tc>
          <w:tcPr>
            <w:tcW w:type="dxa" w:w="36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The Unknowingly Influential</w:t>
            </w:r>
          </w:p>
        </w:tc>
        <w:tc>
          <w:tcPr>
            <w:tcW w:type="dxa" w:w="36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Lower Confidence + Higher Social Skills</w:t>
            </w:r>
          </w:p>
        </w:tc>
        <w:tc>
          <w:tcPr>
            <w:tcW w:type="dxa" w:w="21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influential</w:t>
            </w:r>
          </w:p>
        </w:tc>
      </w:tr>
      <w:tr>
        <w:tc>
          <w:tcPr>
            <w:tcW w:type="dxa" w:w="36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The Occasionally Overconfident</w:t>
            </w:r>
          </w:p>
        </w:tc>
        <w:tc>
          <w:tcPr>
            <w:tcW w:type="dxa" w:w="36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Higher Confidence + Lower Social Skills</w:t>
            </w:r>
          </w:p>
        </w:tc>
        <w:tc>
          <w:tcPr>
            <w:tcW w:type="dxa" w:w="21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arrogant</w:t>
            </w:r>
          </w:p>
        </w:tc>
      </w:tr>
      <w:tr>
        <w:tc>
          <w:tcPr>
            <w:tcW w:type="dxa" w:w="36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The Courteously Charismatic</w:t>
            </w:r>
          </w:p>
        </w:tc>
        <w:tc>
          <w:tcPr>
            <w:tcW w:type="dxa" w:w="36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Higher Confidence + Higher Social Skills</w:t>
            </w:r>
          </w:p>
        </w:tc>
        <w:tc>
          <w:tcPr>
            <w:tcW w:type="dxa" w:w="21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charismatic</w:t>
            </w:r>
          </w:p>
        </w:tc>
      </w:tr>
    </w:tbl>
    <w:p>
      <w:r>
        <w:t xml:space="preserve"/>
      </w:r>
    </w:p>
    <w:p>
      <w:pPr>
        <w:pStyle w:val="Heading2"/>
        <w:spacing w:after="140" w:before="280"/>
      </w:pPr>
      <w:r>
        <w:rPr>
          <w:rFonts w:ascii="Arial" w:cs="Arial" w:eastAsia="Arial" w:hAnsi="Arial"/>
          <w:b/>
          <w:bCs/>
          <w:color w:val="0F1F38"/>
          <w:sz w:val="26"/>
          <w:szCs w:val="26"/>
        </w:rPr>
        <w:t xml:space="preserve">Subscales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600"/>
        <w:gridCol w:w="2400"/>
        <w:gridCol w:w="2000"/>
      </w:tblGrid>
      <w:tr>
        <w:trPr>
          <w:tblHeader/>
        </w:trPr>
        <w:tc>
          <w:tcPr>
            <w:tcW w:type="dxa" w:w="3360"/>
            <w:tcBorders>
              <w:top w:val="single" w:color="CCCCCC" w:sz="4"/>
              <w:left w:val="single" w:color="CCCCCC" w:sz="4"/>
              <w:bottom w:val="single" w:color="CCCCCC" w:sz="4"/>
              <w:right w:val="single" w:color="CCCCCC" w:sz="4"/>
            </w:tcBorders>
            <w:shd w:fill="0F1F38"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Subscale</w:t>
            </w:r>
          </w:p>
        </w:tc>
        <w:tc>
          <w:tcPr>
            <w:tcW w:type="dxa" w:w="1600"/>
            <w:tcBorders>
              <w:top w:val="single" w:color="CCCCCC" w:sz="4"/>
              <w:left w:val="single" w:color="CCCCCC" w:sz="4"/>
              <w:bottom w:val="single" w:color="CCCCCC" w:sz="4"/>
              <w:right w:val="single" w:color="CCCCCC" w:sz="4"/>
            </w:tcBorders>
            <w:shd w:fill="0F1F38"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Items</w:t>
            </w:r>
          </w:p>
        </w:tc>
        <w:tc>
          <w:tcPr>
            <w:tcW w:type="dxa" w:w="2400"/>
            <w:tcBorders>
              <w:top w:val="single" w:color="CCCCCC" w:sz="4"/>
              <w:left w:val="single" w:color="CCCCCC" w:sz="4"/>
              <w:bottom w:val="single" w:color="CCCCCC" w:sz="4"/>
              <w:right w:val="single" w:color="CCCCCC" w:sz="4"/>
            </w:tcBorders>
            <w:shd w:fill="0F1F38"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Dimension</w:t>
            </w:r>
          </w:p>
        </w:tc>
        <w:tc>
          <w:tcPr>
            <w:tcW w:type="dxa" w:w="2000"/>
            <w:tcBorders>
              <w:top w:val="single" w:color="CCCCCC" w:sz="4"/>
              <w:left w:val="single" w:color="CCCCCC" w:sz="4"/>
              <w:bottom w:val="single" w:color="CCCCCC" w:sz="4"/>
              <w:right w:val="single" w:color="CCCCCC" w:sz="4"/>
            </w:tcBorders>
            <w:shd w:fill="0F1F38"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Reverse items</w:t>
            </w:r>
          </w:p>
        </w:tc>
      </w:tr>
      <w:tr>
        <w:tc>
          <w:tcPr>
            <w:tcW w:type="dxa" w:w="33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Self-Esteem &amp; Self-Worth</w:t>
            </w:r>
          </w:p>
        </w:tc>
        <w:tc>
          <w:tcPr>
            <w:tcW w:type="dxa" w:w="16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Q1–5</w:t>
            </w:r>
          </w:p>
        </w:tc>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Confidence</w:t>
            </w:r>
          </w:p>
        </w:tc>
        <w:tc>
          <w:tcPr>
            <w:tcW w:type="dxa" w:w="20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Q2, Q5</w:t>
            </w:r>
          </w:p>
        </w:tc>
      </w:tr>
      <w:tr>
        <w:tc>
          <w:tcPr>
            <w:tcW w:type="dxa" w:w="33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Resilience &amp; Composure</w:t>
            </w:r>
          </w:p>
        </w:tc>
        <w:tc>
          <w:tcPr>
            <w:tcW w:type="dxa" w:w="16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Q6–10</w:t>
            </w:r>
          </w:p>
        </w:tc>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Confidence</w:t>
            </w:r>
          </w:p>
        </w:tc>
        <w:tc>
          <w:tcPr>
            <w:tcW w:type="dxa" w:w="20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Q8, Q10</w:t>
            </w:r>
          </w:p>
        </w:tc>
      </w:tr>
      <w:tr>
        <w:tc>
          <w:tcPr>
            <w:tcW w:type="dxa" w:w="33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Assertiveness &amp; Accountability</w:t>
            </w:r>
          </w:p>
        </w:tc>
        <w:tc>
          <w:tcPr>
            <w:tcW w:type="dxa" w:w="16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Q11–15</w:t>
            </w:r>
          </w:p>
        </w:tc>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Confidence</w:t>
            </w:r>
          </w:p>
        </w:tc>
        <w:tc>
          <w:tcPr>
            <w:tcW w:type="dxa" w:w="20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Q13, Q15</w:t>
            </w:r>
          </w:p>
        </w:tc>
      </w:tr>
      <w:tr>
        <w:tc>
          <w:tcPr>
            <w:tcW w:type="dxa" w:w="33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Growth &amp; Adaptability</w:t>
            </w:r>
          </w:p>
        </w:tc>
        <w:tc>
          <w:tcPr>
            <w:tcW w:type="dxa" w:w="16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Q16–20</w:t>
            </w:r>
          </w:p>
        </w:tc>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Confidence</w:t>
            </w:r>
          </w:p>
        </w:tc>
        <w:tc>
          <w:tcPr>
            <w:tcW w:type="dxa" w:w="20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Q19</w:t>
            </w:r>
          </w:p>
        </w:tc>
      </w:tr>
      <w:tr>
        <w:tc>
          <w:tcPr>
            <w:tcW w:type="dxa" w:w="33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Empathy &amp; Listening</w:t>
            </w:r>
          </w:p>
        </w:tc>
        <w:tc>
          <w:tcPr>
            <w:tcW w:type="dxa" w:w="16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Q21–25</w:t>
            </w:r>
          </w:p>
        </w:tc>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Social Skills</w:t>
            </w:r>
          </w:p>
        </w:tc>
        <w:tc>
          <w:tcPr>
            <w:tcW w:type="dxa" w:w="20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Q22, Q25</w:t>
            </w:r>
          </w:p>
        </w:tc>
      </w:tr>
      <w:tr>
        <w:tc>
          <w:tcPr>
            <w:tcW w:type="dxa" w:w="33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Warmth &amp; Social Courtesy</w:t>
            </w:r>
          </w:p>
        </w:tc>
        <w:tc>
          <w:tcPr>
            <w:tcW w:type="dxa" w:w="16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Q26–30</w:t>
            </w:r>
          </w:p>
        </w:tc>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Social Skills</w:t>
            </w:r>
          </w:p>
        </w:tc>
        <w:tc>
          <w:tcPr>
            <w:tcW w:type="dxa" w:w="20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Q28, Q30</w:t>
            </w:r>
          </w:p>
        </w:tc>
      </w:tr>
      <w:tr>
        <w:tc>
          <w:tcPr>
            <w:tcW w:type="dxa" w:w="33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Conversational Skills</w:t>
            </w:r>
          </w:p>
        </w:tc>
        <w:tc>
          <w:tcPr>
            <w:tcW w:type="dxa" w:w="16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Q31–35</w:t>
            </w:r>
          </w:p>
        </w:tc>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Social Skills</w:t>
            </w:r>
          </w:p>
        </w:tc>
        <w:tc>
          <w:tcPr>
            <w:tcW w:type="dxa" w:w="20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Q32, Q35</w:t>
            </w:r>
          </w:p>
        </w:tc>
      </w:tr>
      <w:tr>
        <w:tc>
          <w:tcPr>
            <w:tcW w:type="dxa" w:w="33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Emotional Control &amp; Humility</w:t>
            </w:r>
          </w:p>
        </w:tc>
        <w:tc>
          <w:tcPr>
            <w:tcW w:type="dxa" w:w="16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Q36–40</w:t>
            </w:r>
          </w:p>
        </w:tc>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Social Skills</w:t>
            </w:r>
          </w:p>
        </w:tc>
        <w:tc>
          <w:tcPr>
            <w:tcW w:type="dxa" w:w="20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Q38, Q40</w:t>
            </w:r>
          </w:p>
        </w:tc>
      </w:tr>
    </w:tbl>
    <w:p>
      <w:pPr>
        <w:pStyle w:val="Heading1"/>
        <w:spacing w:after="180" w:before="360"/>
      </w:pPr>
      <w:r>
        <w:rPr>
          <w:rFonts w:ascii="Arial" w:cs="Arial" w:eastAsia="Arial" w:hAnsi="Arial"/>
          <w:b/>
          <w:bCs/>
          <w:color w:val="0F1F38"/>
          <w:sz w:val="32"/>
          <w:szCs w:val="32"/>
        </w:rPr>
        <w:t xml:space="preserve">9. Brand and Naming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bCs/>
                <w:color w:val="1A1A1A"/>
                <w:sz w:val="20"/>
                <w:szCs w:val="20"/>
              </w:rPr>
              <w:t xml:space="preserve">Master brand</w:t>
            </w:r>
          </w:p>
        </w:tc>
        <w:tc>
          <w:tcPr>
            <w:tcW w:type="dxa" w:w="59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Open-Source Charisma</w:t>
            </w:r>
          </w:p>
        </w:tc>
      </w:tr>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bCs/>
                <w:color w:val="1A1A1A"/>
                <w:sz w:val="20"/>
                <w:szCs w:val="20"/>
              </w:rPr>
              <w:t xml:space="preserve">Public product name</w:t>
            </w:r>
          </w:p>
        </w:tc>
        <w:tc>
          <w:tcPr>
            <w:tcW w:type="dxa" w:w="59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Open-Source Charisma Indicator (OSCI)</w:t>
            </w:r>
          </w:p>
        </w:tc>
      </w:tr>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bCs/>
                <w:color w:val="1A1A1A"/>
                <w:sz w:val="20"/>
                <w:szCs w:val="20"/>
              </w:rPr>
              <w:t xml:space="preserve">Internal/technical files</w:t>
            </w:r>
          </w:p>
        </w:tc>
        <w:tc>
          <w:tcPr>
            <w:tcW w:type="dxa" w:w="59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CQCI — used in some legacy file paths</w:t>
            </w:r>
          </w:p>
        </w:tc>
      </w:tr>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bCs/>
                <w:color w:val="1A1A1A"/>
                <w:sz w:val="20"/>
                <w:szCs w:val="20"/>
              </w:rPr>
              <w:t xml:space="preserve">Book 1 (published)</w:t>
            </w:r>
          </w:p>
        </w:tc>
        <w:tc>
          <w:tcPr>
            <w:tcW w:type="dxa" w:w="59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Open-Source Charisma: 125 Small Ways...</w:t>
            </w:r>
          </w:p>
        </w:tc>
      </w:tr>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bCs/>
                <w:color w:val="1A1A1A"/>
                <w:sz w:val="20"/>
                <w:szCs w:val="20"/>
              </w:rPr>
              <w:t xml:space="preserve">Book 2 (in development)</w:t>
            </w:r>
          </w:p>
        </w:tc>
        <w:tc>
          <w:tcPr>
            <w:tcW w:type="dxa" w:w="59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Open-Source Charisma: The Quadrant</w:t>
            </w:r>
          </w:p>
        </w:tc>
      </w:tr>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bCs/>
                <w:color w:val="1A1A1A"/>
                <w:sz w:val="20"/>
                <w:szCs w:val="20"/>
              </w:rPr>
              <w:t xml:space="preserve">Framework name</w:t>
            </w:r>
          </w:p>
        </w:tc>
        <w:tc>
          <w:tcPr>
            <w:tcW w:type="dxa" w:w="59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Charisma Quadrant Competency Framework (CQCF)</w:t>
            </w:r>
          </w:p>
        </w:tc>
      </w:tr>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bCs/>
                <w:color w:val="1A1A1A"/>
                <w:sz w:val="20"/>
                <w:szCs w:val="20"/>
              </w:rPr>
              <w:t xml:space="preserve">Author</w:t>
            </w:r>
          </w:p>
        </w:tc>
        <w:tc>
          <w:tcPr>
            <w:tcW w:type="dxa" w:w="59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Jim Harvey / James G Harvey</w:t>
            </w:r>
          </w:p>
        </w:tc>
      </w:tr>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bCs/>
                <w:color w:val="1A1A1A"/>
                <w:sz w:val="20"/>
                <w:szCs w:val="20"/>
              </w:rPr>
              <w:t xml:space="preserve">Company</w:t>
            </w:r>
          </w:p>
        </w:tc>
        <w:tc>
          <w:tcPr>
            <w:tcW w:type="dxa" w:w="59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Allcow Trading Co LTD / The Message Business</w:t>
            </w:r>
          </w:p>
        </w:tc>
      </w:tr>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bCs/>
                <w:color w:val="1A1A1A"/>
                <w:sz w:val="20"/>
                <w:szCs w:val="20"/>
              </w:rPr>
              <w:t xml:space="preserve">Copyright footer</w:t>
            </w:r>
          </w:p>
        </w:tc>
        <w:tc>
          <w:tcPr>
            <w:tcW w:type="dxa" w:w="59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spacing w:after="0"/>
            </w:pPr>
            <w:r>
              <w:rPr>
                <w:rFonts w:ascii="Arial" w:cs="Arial" w:eastAsia="Arial" w:hAnsi="Arial"/>
                <w:b w:val="false"/>
                <w:bCs w:val="false"/>
                <w:color w:val="1A1A1A"/>
                <w:sz w:val="20"/>
                <w:szCs w:val="20"/>
              </w:rPr>
              <w:t xml:space="preserve">© 2026 James G Harvey / Allcow Trading Co LTD</w:t>
            </w:r>
          </w:p>
        </w:tc>
      </w:tr>
    </w:tbl>
    <w:p>
      <w:pPr>
        <w:pStyle w:val="Heading1"/>
        <w:spacing w:after="180" w:before="360"/>
      </w:pPr>
      <w:r>
        <w:rPr>
          <w:rFonts w:ascii="Arial" w:cs="Arial" w:eastAsia="Arial" w:hAnsi="Arial"/>
          <w:b/>
          <w:bCs/>
          <w:color w:val="0F1F38"/>
          <w:sz w:val="32"/>
          <w:szCs w:val="32"/>
        </w:rPr>
        <w:t xml:space="preserve">10. Changelog</w:t>
      </w:r>
    </w:p>
    <w:p>
      <w:pPr>
        <w:pStyle w:val="Heading2"/>
        <w:spacing w:after="140" w:before="280"/>
      </w:pPr>
      <w:r>
        <w:rPr>
          <w:rFonts w:ascii="Arial" w:cs="Arial" w:eastAsia="Arial" w:hAnsi="Arial"/>
          <w:b/>
          <w:bCs/>
          <w:color w:val="0F1F38"/>
          <w:sz w:val="26"/>
          <w:szCs w:val="26"/>
        </w:rPr>
        <w:t xml:space="preserve">Version 4 — 22 April 2026</w:t>
      </w:r>
    </w:p>
    <w:p>
      <w:pPr>
        <w:pStyle w:val="ListParagraph"/>
        <w:numPr>
          <w:ilvl w:val="0"/>
          <w:numId w:val="2"/>
        </w:numPr>
        <w:spacing w:after="80"/>
      </w:pPr>
      <w:r>
        <w:rPr>
          <w:rFonts w:ascii="Arial" w:cs="Arial" w:eastAsia="Arial" w:hAnsi="Arial"/>
          <w:sz w:val="22"/>
          <w:szCs w:val="22"/>
        </w:rPr>
        <w:t xml:space="preserve">Migrated Stripe paid report functionality from cqci-assessment repo to opensourcecharisma repo</w:t>
      </w:r>
    </w:p>
    <w:p>
      <w:pPr>
        <w:pStyle w:val="ListParagraph"/>
        <w:numPr>
          <w:ilvl w:val="0"/>
          <w:numId w:val="2"/>
        </w:numPr>
        <w:spacing w:after="80"/>
      </w:pPr>
      <w:r>
        <w:rPr>
          <w:rFonts w:ascii="Arial" w:cs="Arial" w:eastAsia="Arial" w:hAnsi="Arial"/>
          <w:sz w:val="22"/>
          <w:szCs w:val="22"/>
        </w:rPr>
        <w:t xml:space="preserve">Live tool at opensourcecharisma.com/assessment now includes: paid £9.99 report card on results screen, Stripe Checkout integration, personalised PDF generation on return</w:t>
      </w:r>
    </w:p>
    <w:p>
      <w:pPr>
        <w:pStyle w:val="ListParagraph"/>
        <w:numPr>
          <w:ilvl w:val="0"/>
          <w:numId w:val="2"/>
        </w:numPr>
        <w:spacing w:after="80"/>
      </w:pPr>
      <w:r>
        <w:rPr>
          <w:rFonts w:ascii="Arial" w:cs="Arial" w:eastAsia="Arial" w:hAnsi="Arial"/>
          <w:sz w:val="22"/>
          <w:szCs w:val="22"/>
        </w:rPr>
        <w:t xml:space="preserve">Added GA4 assessment_start event (fires on click of Find Your Type)</w:t>
      </w:r>
    </w:p>
    <w:p>
      <w:pPr>
        <w:pStyle w:val="ListParagraph"/>
        <w:numPr>
          <w:ilvl w:val="0"/>
          <w:numId w:val="2"/>
        </w:numPr>
        <w:spacing w:after="80"/>
      </w:pPr>
      <w:r>
        <w:rPr>
          <w:rFonts w:ascii="Arial" w:cs="Arial" w:eastAsia="Arial" w:hAnsi="Arial"/>
          <w:sz w:val="22"/>
          <w:szCs w:val="22"/>
        </w:rPr>
        <w:t xml:space="preserve">Upgraded GA4 assessment_complete event to label with quadrant key (charismatic/arrogant/influential/invisible)</w:t>
      </w:r>
    </w:p>
    <w:p>
      <w:pPr>
        <w:pStyle w:val="ListParagraph"/>
        <w:numPr>
          <w:ilvl w:val="0"/>
          <w:numId w:val="2"/>
        </w:numPr>
        <w:spacing w:after="80"/>
      </w:pPr>
      <w:r>
        <w:rPr>
          <w:rFonts w:ascii="Arial" w:cs="Arial" w:eastAsia="Arial" w:hAnsi="Arial"/>
          <w:sz w:val="22"/>
          <w:szCs w:val="22"/>
        </w:rPr>
        <w:t xml:space="preserve">Full funnel now instrumented end-to-end: page_view → assessment_start → email_capture → assessment_complete → report_purchase_intent</w:t>
      </w:r>
    </w:p>
    <w:p>
      <w:pPr>
        <w:pStyle w:val="ListParagraph"/>
        <w:numPr>
          <w:ilvl w:val="0"/>
          <w:numId w:val="2"/>
        </w:numPr>
        <w:spacing w:after="80"/>
      </w:pPr>
      <w:r>
        <w:rPr>
          <w:rFonts w:ascii="Arial" w:cs="Arial" w:eastAsia="Arial" w:hAnsi="Arial"/>
          <w:sz w:val="22"/>
          <w:szCs w:val="22"/>
        </w:rPr>
        <w:t xml:space="preserve">Fixed create-checkout.js — removed Stripe metadata field that exceeded 500-char limit on full subscale payloads. The scores are still passed through the success_url query string, which is where the browser reads them back from.</w:t>
      </w:r>
    </w:p>
    <w:p>
      <w:pPr>
        <w:pStyle w:val="ListParagraph"/>
        <w:numPr>
          <w:ilvl w:val="0"/>
          <w:numId w:val="2"/>
        </w:numPr>
        <w:spacing w:after="80"/>
      </w:pPr>
      <w:r>
        <w:rPr>
          <w:rFonts w:ascii="Arial" w:cs="Arial" w:eastAsia="Arial" w:hAnsi="Arial"/>
          <w:sz w:val="22"/>
          <w:szCs w:val="22"/>
        </w:rPr>
        <w:t xml:space="preserve">Fixed book CTA on results page — now links to Amazon via Geni.us (previously linked to themessagebusiness.com)</w:t>
      </w:r>
    </w:p>
    <w:p>
      <w:pPr>
        <w:pStyle w:val="ListParagraph"/>
        <w:numPr>
          <w:ilvl w:val="0"/>
          <w:numId w:val="2"/>
        </w:numPr>
        <w:spacing w:after="80"/>
      </w:pPr>
      <w:r>
        <w:rPr>
          <w:rFonts w:ascii="Arial" w:cs="Arial" w:eastAsia="Arial" w:hAnsi="Arial"/>
          <w:sz w:val="22"/>
          <w:szCs w:val="22"/>
        </w:rPr>
        <w:t xml:space="preserve">Added Vercel environment variables: STRIPE_SECRET_KEY (test), STRIPE_PRICE_ID (test)</w:t>
      </w:r>
    </w:p>
    <w:p>
      <w:pPr>
        <w:pStyle w:val="ListParagraph"/>
        <w:numPr>
          <w:ilvl w:val="0"/>
          <w:numId w:val="2"/>
        </w:numPr>
        <w:spacing w:after="80"/>
      </w:pPr>
      <w:r>
        <w:rPr>
          <w:rFonts w:ascii="Arial" w:cs="Arial" w:eastAsia="Arial" w:hAnsi="Arial"/>
          <w:sz w:val="22"/>
          <w:szCs w:val="22"/>
        </w:rPr>
        <w:t xml:space="preserve">Added api/ folder with create-checkout.js and generate-report.js serverless functions</w:t>
      </w:r>
    </w:p>
    <w:p>
      <w:pPr>
        <w:pStyle w:val="ListParagraph"/>
        <w:numPr>
          <w:ilvl w:val="0"/>
          <w:numId w:val="2"/>
        </w:numPr>
        <w:spacing w:after="80"/>
      </w:pPr>
      <w:r>
        <w:rPr>
          <w:rFonts w:ascii="Arial" w:cs="Arial" w:eastAsia="Arial" w:hAnsi="Arial"/>
          <w:sz w:val="22"/>
          <w:szCs w:val="22"/>
        </w:rPr>
        <w:t xml:space="preserve">Added package.json with stripe and pdfkit dependencies</w:t>
      </w:r>
    </w:p>
    <w:p>
      <w:pPr>
        <w:pStyle w:val="ListParagraph"/>
        <w:numPr>
          <w:ilvl w:val="0"/>
          <w:numId w:val="2"/>
        </w:numPr>
        <w:spacing w:after="80"/>
      </w:pPr>
      <w:r>
        <w:rPr>
          <w:rFonts w:ascii="Arial" w:cs="Arial" w:eastAsia="Arial" w:hAnsi="Arial"/>
          <w:sz w:val="22"/>
          <w:szCs w:val="22"/>
        </w:rPr>
        <w:t xml:space="preserve">Updated vercel.json with functions configuration block</w:t>
      </w:r>
    </w:p>
    <w:p>
      <w:pPr>
        <w:pStyle w:val="ListParagraph"/>
        <w:numPr>
          <w:ilvl w:val="0"/>
          <w:numId w:val="2"/>
        </w:numPr>
        <w:spacing w:after="80"/>
      </w:pPr>
      <w:r>
        <w:rPr>
          <w:rFonts w:ascii="Arial" w:cs="Arial" w:eastAsia="Arial" w:hAnsi="Arial"/>
          <w:sz w:val="22"/>
          <w:szCs w:val="22"/>
        </w:rPr>
        <w:t xml:space="preserve">Added 28-day traffic baseline (276 users, 20.66% engagement rate) and initial analysis</w:t>
      </w:r>
    </w:p>
    <w:p>
      <w:pPr>
        <w:pStyle w:val="ListParagraph"/>
        <w:numPr>
          <w:ilvl w:val="0"/>
          <w:numId w:val="2"/>
        </w:numPr>
        <w:spacing w:after="80"/>
      </w:pPr>
      <w:r>
        <w:rPr>
          <w:rFonts w:ascii="Arial" w:cs="Arial" w:eastAsia="Arial" w:hAnsi="Arial"/>
          <w:sz w:val="22"/>
          <w:szCs w:val="22"/>
        </w:rPr>
        <w:t xml:space="preserve">Flagged Amazon affiliate tags missing in Geni.us as priority action item</w:t>
      </w:r>
    </w:p>
    <w:p>
      <w:pPr>
        <w:pStyle w:val="Heading2"/>
        <w:spacing w:after="140" w:before="280"/>
      </w:pPr>
      <w:r>
        <w:rPr>
          <w:rFonts w:ascii="Arial" w:cs="Arial" w:eastAsia="Arial" w:hAnsi="Arial"/>
          <w:b/>
          <w:bCs/>
          <w:color w:val="0F1F38"/>
          <w:sz w:val="26"/>
          <w:szCs w:val="26"/>
        </w:rPr>
        <w:t xml:space="preserve">Version 3 — earlier April 2026</w:t>
      </w:r>
    </w:p>
    <w:p>
      <w:pPr>
        <w:pStyle w:val="ListParagraph"/>
        <w:numPr>
          <w:ilvl w:val="0"/>
          <w:numId w:val="2"/>
        </w:numPr>
        <w:spacing w:after="80"/>
      </w:pPr>
      <w:r>
        <w:rPr>
          <w:rFonts w:ascii="Arial" w:cs="Arial" w:eastAsia="Arial" w:hAnsi="Arial"/>
          <w:sz w:val="22"/>
          <w:szCs w:val="22"/>
        </w:rPr>
        <w:t xml:space="preserve">Site live at opensourcecharisma.com</w:t>
      </w:r>
    </w:p>
    <w:p>
      <w:pPr>
        <w:pStyle w:val="ListParagraph"/>
        <w:numPr>
          <w:ilvl w:val="0"/>
          <w:numId w:val="2"/>
        </w:numPr>
        <w:spacing w:after="80"/>
      </w:pPr>
      <w:r>
        <w:rPr>
          <w:rFonts w:ascii="Arial" w:cs="Arial" w:eastAsia="Arial" w:hAnsi="Arial"/>
          <w:sz w:val="22"/>
          <w:szCs w:val="22"/>
        </w:rPr>
        <w:t xml:space="preserve">All redirects and DNS live</w:t>
      </w:r>
    </w:p>
    <w:p>
      <w:pPr>
        <w:pStyle w:val="ListParagraph"/>
        <w:numPr>
          <w:ilvl w:val="0"/>
          <w:numId w:val="2"/>
        </w:numPr>
        <w:spacing w:after="80"/>
      </w:pPr>
      <w:r>
        <w:rPr>
          <w:rFonts w:ascii="Arial" w:cs="Arial" w:eastAsia="Arial" w:hAnsi="Arial"/>
          <w:sz w:val="22"/>
          <w:szCs w:val="22"/>
        </w:rPr>
        <w:t xml:space="preserve">Stripe paid report integration built in cqci-assessment sandbox (test mode)</w:t>
      </w:r>
    </w:p>
    <w:p>
      <w:pPr>
        <w:pStyle w:val="Heading1"/>
        <w:spacing w:after="180" w:before="360"/>
      </w:pPr>
      <w:r>
        <w:rPr>
          <w:rFonts w:ascii="Arial" w:cs="Arial" w:eastAsia="Arial" w:hAnsi="Arial"/>
          <w:b/>
          <w:bCs/>
          <w:color w:val="0F1F38"/>
          <w:sz w:val="32"/>
          <w:szCs w:val="32"/>
        </w:rPr>
        <w:t xml:space="preserve">11. Lessons</w:t>
      </w:r>
    </w:p>
    <w:p>
      <w:pPr>
        <w:spacing w:after="160"/>
      </w:pPr>
      <w:r>
        <w:rPr>
          <w:rFonts w:ascii="Arial" w:cs="Arial" w:eastAsia="Arial" w:hAnsi="Arial"/>
          <w:sz w:val="22"/>
          <w:szCs w:val="22"/>
        </w:rPr>
        <w:t xml:space="preserve">Two worth keeping in mind for next time.</w:t>
      </w:r>
    </w:p>
    <w:p>
      <w:pPr>
        <w:pStyle w:val="Heading3"/>
        <w:spacing w:after="120" w:before="220"/>
      </w:pPr>
      <w:r>
        <w:rPr>
          <w:rFonts w:ascii="Arial" w:cs="Arial" w:eastAsia="Arial" w:hAnsi="Arial"/>
          <w:b/>
          <w:bCs/>
          <w:color w:val="0F1F38"/>
          <w:sz w:val="22"/>
          <w:szCs w:val="22"/>
        </w:rPr>
        <w:t xml:space="preserve">1. Test end-to-end in the sandbox before migrating</w:t>
      </w:r>
    </w:p>
    <w:p>
      <w:pPr>
        <w:spacing w:after="160"/>
      </w:pPr>
      <w:r>
        <w:rPr>
          <w:rFonts w:ascii="Arial" w:cs="Arial" w:eastAsia="Arial" w:hAnsi="Arial"/>
          <w:sz w:val="22"/>
          <w:szCs w:val="22"/>
        </w:rPr>
        <w:t xml:space="preserve">The Stripe metadata bug (500-char limit exceeded by full subscale payloads) had been sitting in the sandbox code for weeks. It only surfaced when a real user completed a real assessment with full scoring data. Quick curl tests with lighter payloads passed, which hid the problem. The lesson: complete a full, real transaction flow in the sandbox before migrating anything to production. A bug that takes 30 seconds to find in the sandbox takes an hour to debug across a freshly migrated production stack.</w:t>
      </w:r>
    </w:p>
    <w:p>
      <w:pPr>
        <w:pStyle w:val="Heading3"/>
        <w:spacing w:after="120" w:before="220"/>
      </w:pPr>
      <w:r>
        <w:rPr>
          <w:rFonts w:ascii="Arial" w:cs="Arial" w:eastAsia="Arial" w:hAnsi="Arial"/>
          <w:b/>
          <w:bCs/>
          <w:color w:val="0F1F38"/>
          <w:sz w:val="22"/>
          <w:szCs w:val="22"/>
        </w:rPr>
        <w:t xml:space="preserve">2. Two repos for one product is a bug, not a feature</w:t>
      </w:r>
    </w:p>
    <w:p>
      <w:pPr>
        <w:spacing w:after="160"/>
      </w:pPr>
      <w:r>
        <w:rPr>
          <w:rFonts w:ascii="Arial" w:cs="Arial" w:eastAsia="Arial" w:hAnsi="Arial"/>
          <w:sz w:val="22"/>
          <w:szCs w:val="22"/>
        </w:rPr>
        <w:t xml:space="preserve">The sandbox/production split caused the morning's confusion: GA4 events were deployed to the sandbox when they needed to be in the live site. The split was intentional once, when one version had Stripe and the other did not. Today that reason is gone. One product, one repo, one deploy target. Keep it that way.</w:t>
      </w:r>
    </w:p>
    <w:p>
      <w:pPr>
        <w:spacing w:after="0" w:before="480"/>
        <w:jc w:val="center"/>
      </w:pPr>
      <w:r>
        <w:rPr>
          <w:rFonts w:ascii="Arial" w:cs="Arial" w:eastAsia="Arial" w:hAnsi="Arial"/>
          <w:i/>
          <w:iCs/>
          <w:color w:val="888888"/>
          <w:sz w:val="18"/>
          <w:szCs w:val="18"/>
        </w:rPr>
        <w:t xml:space="preserve">© 2026 James G Harvey / Allcow Trading Co LTD. All rights reserved. Internal project document.</w:t>
      </w:r>
    </w:p>
    <w:sectPr>
      <w:footerReference w:type="default" r:id="rId7"/>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0F1F38"/>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0F1F38"/>
      <w:sz w:val="26"/>
      <w:szCs w:val="26"/>
    </w:rPr>
  </w:style>
  <w:style w:type="paragraph" w:styleId="Heading3">
    <w:name w:val="Heading 3"/>
    <w:basedOn w:val="Normal"/>
    <w:next w:val="Normal"/>
    <w:qFormat/>
    <w:pPr>
      <w:spacing w:after="120" w:before="220"/>
      <w:outlineLvl w:val="2"/>
    </w:pPr>
    <w:rPr>
      <w:rFonts w:ascii="Arial" w:cs="Arial" w:eastAsia="Arial" w:hAnsi="Arial"/>
      <w:b/>
      <w:bCs/>
      <w:color w:val="0F1F38"/>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OSCI Project Log — April 2026 v4</dc:title>
  <dc:creator>Jim Harvey</dc:creator>
  <cp:lastModifiedBy>Un-named</cp:lastModifiedBy>
  <cp:revision>1</cp:revision>
  <dcterms:created xsi:type="dcterms:W3CDTF">2026-04-22T21:37:28.437Z</dcterms:created>
  <dcterms:modified xsi:type="dcterms:W3CDTF">2026-04-22T21:37:28.438Z</dcterms:modified>
</cp:coreProperties>
</file>

<file path=docProps/custom.xml><?xml version="1.0" encoding="utf-8"?>
<Properties xmlns="http://schemas.openxmlformats.org/officeDocument/2006/custom-properties" xmlns:vt="http://schemas.openxmlformats.org/officeDocument/2006/docPropsVTypes"/>
</file>