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3B2EF">
      <w:pPr>
        <w:jc w:val="center"/>
        <w:rPr>
          <w:rFonts w:ascii="宋体" w:hAnsi="宋体"/>
          <w:sz w:val="30"/>
          <w:szCs w:val="30"/>
        </w:rPr>
      </w:pPr>
    </w:p>
    <w:p w14:paraId="48F43E8F">
      <w:pPr>
        <w:pStyle w:val="20"/>
        <w:pBdr>
          <w:left w:val="threeDEngrave" w:color="auto" w:sz="24" w:space="0"/>
          <w:right w:val="threeDEmboss" w:color="auto" w:sz="24" w:space="0"/>
        </w:pBdr>
        <w:rPr>
          <w:bCs w:val="0"/>
        </w:rPr>
      </w:pPr>
      <w:r>
        <w:rPr>
          <w:rFonts w:hint="eastAsia" w:ascii="Times New Roman" w:hAnsi="Times New Roman" w:cs="Times New Roman"/>
          <w:bCs w:val="0"/>
          <w:sz w:val="44"/>
          <w:szCs w:val="32"/>
        </w:rPr>
        <w:t>自研项目可行性分析报告</w:t>
      </w:r>
    </w:p>
    <w:p w14:paraId="5D10D594">
      <w:pPr>
        <w:pStyle w:val="21"/>
        <w:spacing w:before="24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 w:ascii="仿宋_GB2312" w:eastAsia="仿宋_GB2312"/>
          <w:bCs/>
          <w:iCs/>
          <w:color w:val="auto"/>
          <w:lang w:val="en-US" w:eastAsia="zh-CN"/>
        </w:rPr>
        <w:t>S</w:t>
      </w:r>
      <w:r>
        <w:rPr>
          <w:rFonts w:hint="eastAsia" w:ascii="仿宋_GB2312" w:eastAsia="仿宋_GB2312"/>
          <w:bCs/>
          <w:iCs/>
          <w:color w:val="auto"/>
        </w:rPr>
        <w:t>kyEmpower</w:t>
      </w:r>
      <w:r>
        <w:rPr>
          <w:rFonts w:ascii="仿宋_GB2312" w:eastAsia="仿宋_GB2312"/>
          <w:bCs/>
          <w:iCs/>
          <w:color w:val="auto"/>
        </w:rPr>
        <w:t>–</w:t>
      </w:r>
      <w:r>
        <w:rPr>
          <w:rFonts w:hint="eastAsia" w:ascii="仿宋_GB2312" w:eastAsia="仿宋_GB2312"/>
          <w:bCs/>
          <w:iCs/>
          <w:color w:val="auto"/>
        </w:rPr>
        <w:t>数据资源平台</w:t>
      </w:r>
      <w:r>
        <w:rPr>
          <w:rFonts w:hint="eastAsia"/>
          <w:sz w:val="28"/>
          <w:szCs w:val="28"/>
        </w:rPr>
        <w:t xml:space="preserve">]-项目可行性分析报告    V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</w:p>
    <w:p w14:paraId="69DE829A">
      <w:pPr>
        <w:pStyle w:val="21"/>
        <w:spacing w:before="240" w:after="120"/>
        <w:rPr>
          <w:sz w:val="30"/>
          <w:szCs w:val="30"/>
        </w:rPr>
      </w:pPr>
    </w:p>
    <w:p w14:paraId="1845471B">
      <w:pPr>
        <w:pStyle w:val="21"/>
        <w:spacing w:before="240" w:after="120"/>
        <w:rPr>
          <w:sz w:val="30"/>
          <w:szCs w:val="30"/>
        </w:rPr>
      </w:pPr>
    </w:p>
    <w:p w14:paraId="34C5A5A2">
      <w:pPr>
        <w:pStyle w:val="21"/>
        <w:spacing w:before="240" w:after="120"/>
        <w:rPr>
          <w:sz w:val="30"/>
          <w:szCs w:val="30"/>
        </w:rPr>
      </w:pPr>
    </w:p>
    <w:p w14:paraId="1D7014FD">
      <w:pPr>
        <w:pStyle w:val="21"/>
        <w:spacing w:before="240" w:after="120"/>
        <w:rPr>
          <w:sz w:val="30"/>
          <w:szCs w:val="30"/>
        </w:rPr>
      </w:pPr>
    </w:p>
    <w:tbl>
      <w:tblPr>
        <w:tblStyle w:val="14"/>
        <w:tblW w:w="0" w:type="auto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952"/>
        <w:gridCol w:w="1167"/>
        <w:gridCol w:w="2193"/>
      </w:tblGrid>
      <w:tr w14:paraId="42423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bottom w:val="single" w:color="auto" w:sz="4" w:space="0"/>
            </w:tcBorders>
            <w:shd w:val="clear" w:color="auto" w:fill="B3B3B3"/>
          </w:tcPr>
          <w:p w14:paraId="6FE1FF48">
            <w:pPr>
              <w:pStyle w:val="22"/>
              <w:tabs>
                <w:tab w:val="left" w:pos="102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952" w:type="dxa"/>
          </w:tcPr>
          <w:p w14:paraId="4C0B5109">
            <w:pPr>
              <w:pStyle w:val="22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赵联胜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B3B3B3"/>
          </w:tcPr>
          <w:p w14:paraId="6930A50D">
            <w:pPr>
              <w:pStyle w:val="2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193" w:type="dxa"/>
          </w:tcPr>
          <w:p w14:paraId="0A38DB50">
            <w:pPr>
              <w:pStyle w:val="22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04</w:t>
            </w:r>
            <w:r>
              <w:rPr>
                <w:sz w:val="24"/>
                <w:szCs w:val="24"/>
              </w:rPr>
              <w:t>-2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  <w:tr w14:paraId="63D5E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bottom w:val="single" w:color="auto" w:sz="4" w:space="0"/>
            </w:tcBorders>
            <w:shd w:val="clear" w:color="auto" w:fill="B3B3B3"/>
          </w:tcPr>
          <w:p w14:paraId="01F6E989">
            <w:pPr>
              <w:pStyle w:val="2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</w:p>
        </w:tc>
        <w:tc>
          <w:tcPr>
            <w:tcW w:w="1952" w:type="dxa"/>
          </w:tcPr>
          <w:p w14:paraId="7869CFE8">
            <w:pPr>
              <w:pStyle w:val="22"/>
              <w:rPr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color="auto" w:sz="4" w:space="0"/>
              <w:bottom w:val="single" w:color="auto" w:sz="4" w:space="0"/>
            </w:tcBorders>
            <w:shd w:val="clear" w:color="auto" w:fill="B3B3B3"/>
          </w:tcPr>
          <w:p w14:paraId="0E59FEC2">
            <w:pPr>
              <w:pStyle w:val="2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193" w:type="dxa"/>
          </w:tcPr>
          <w:p w14:paraId="2D8F0C41">
            <w:pPr>
              <w:rPr>
                <w:sz w:val="24"/>
              </w:rPr>
            </w:pPr>
          </w:p>
        </w:tc>
      </w:tr>
      <w:tr w14:paraId="6A987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559" w:type="dxa"/>
            <w:tcBorders>
              <w:top w:val="single" w:color="auto" w:sz="4" w:space="0"/>
            </w:tcBorders>
            <w:shd w:val="clear" w:color="auto" w:fill="B3B3B3"/>
          </w:tcPr>
          <w:p w14:paraId="1F1DBB04">
            <w:pPr>
              <w:pStyle w:val="2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</w:t>
            </w:r>
          </w:p>
        </w:tc>
        <w:tc>
          <w:tcPr>
            <w:tcW w:w="1952" w:type="dxa"/>
          </w:tcPr>
          <w:p w14:paraId="529C582D">
            <w:pPr>
              <w:pStyle w:val="22"/>
              <w:rPr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color="auto" w:sz="4" w:space="0"/>
            </w:tcBorders>
            <w:shd w:val="clear" w:color="auto" w:fill="B3B3B3"/>
          </w:tcPr>
          <w:p w14:paraId="52EF9A60">
            <w:pPr>
              <w:pStyle w:val="2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193" w:type="dxa"/>
          </w:tcPr>
          <w:p w14:paraId="4D024185">
            <w:pPr>
              <w:rPr>
                <w:sz w:val="24"/>
              </w:rPr>
            </w:pPr>
          </w:p>
        </w:tc>
      </w:tr>
    </w:tbl>
    <w:p w14:paraId="759B281C">
      <w:pPr>
        <w:pStyle w:val="21"/>
        <w:spacing w:before="480"/>
        <w:rPr>
          <w:sz w:val="32"/>
          <w:szCs w:val="32"/>
        </w:rPr>
      </w:pPr>
    </w:p>
    <w:p w14:paraId="5C5EC011">
      <w:pPr>
        <w:pStyle w:val="21"/>
        <w:spacing w:before="480"/>
        <w:rPr>
          <w:sz w:val="32"/>
          <w:szCs w:val="32"/>
        </w:rPr>
      </w:pPr>
    </w:p>
    <w:p w14:paraId="39FB3CCB">
      <w:pPr>
        <w:pStyle w:val="21"/>
        <w:spacing w:before="480"/>
        <w:rPr>
          <w:sz w:val="32"/>
          <w:szCs w:val="32"/>
        </w:rPr>
      </w:pPr>
    </w:p>
    <w:p w14:paraId="765811CF">
      <w:pPr>
        <w:pStyle w:val="21"/>
        <w:spacing w:before="120" w:after="120"/>
        <w:rPr>
          <w:sz w:val="28"/>
          <w:szCs w:val="28"/>
        </w:rPr>
      </w:pPr>
      <w:bookmarkStart w:id="0" w:name="CopName"/>
      <w:r>
        <w:rPr>
          <w:rFonts w:hint="eastAsia"/>
          <w:sz w:val="28"/>
          <w:szCs w:val="28"/>
        </w:rPr>
        <w:t>南京擎天科技有限公司</w:t>
      </w:r>
      <w:bookmarkEnd w:id="0"/>
    </w:p>
    <w:p w14:paraId="2BB018C7">
      <w:pPr>
        <w:widowControl/>
        <w:jc w:val="left"/>
        <w:rPr>
          <w:rFonts w:ascii="Arial" w:hAnsi="Arial" w:cs="Arial"/>
          <w:b/>
          <w:bCs/>
          <w:smallCaps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14:paraId="1DB35766">
      <w:pPr>
        <w:pStyle w:val="25"/>
      </w:pPr>
      <w:r>
        <w:rPr>
          <w:rFonts w:hint="eastAsia"/>
        </w:rPr>
        <w:t>变更记录</w:t>
      </w:r>
    </w:p>
    <w:tbl>
      <w:tblPr>
        <w:tblStyle w:val="14"/>
        <w:tblW w:w="802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733"/>
        <w:gridCol w:w="2877"/>
        <w:gridCol w:w="1080"/>
        <w:gridCol w:w="1330"/>
      </w:tblGrid>
      <w:tr w14:paraId="3595E3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08" w:type="dxa"/>
            <w:tcBorders>
              <w:top w:val="single" w:color="auto" w:sz="4" w:space="0"/>
              <w:bottom w:val="single" w:color="auto" w:sz="6" w:space="0"/>
            </w:tcBorders>
          </w:tcPr>
          <w:p w14:paraId="042C9403">
            <w:pPr>
              <w:pStyle w:val="24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733" w:type="dxa"/>
            <w:tcBorders>
              <w:top w:val="single" w:color="auto" w:sz="4" w:space="0"/>
              <w:bottom w:val="single" w:color="auto" w:sz="6" w:space="0"/>
            </w:tcBorders>
          </w:tcPr>
          <w:p w14:paraId="3D36F428">
            <w:pPr>
              <w:pStyle w:val="24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2877" w:type="dxa"/>
            <w:tcBorders>
              <w:top w:val="single" w:color="auto" w:sz="4" w:space="0"/>
              <w:bottom w:val="single" w:color="auto" w:sz="6" w:space="0"/>
            </w:tcBorders>
          </w:tcPr>
          <w:p w14:paraId="00417DCC">
            <w:pPr>
              <w:pStyle w:val="24"/>
              <w:rPr>
                <w:sz w:val="24"/>
              </w:rPr>
            </w:pPr>
            <w:r>
              <w:rPr>
                <w:rFonts w:hint="eastAsia"/>
                <w:sz w:val="24"/>
              </w:rPr>
              <w:t>变更内容描述</w:t>
            </w:r>
            <w:r>
              <w:rPr>
                <w:rFonts w:hint="eastAsia"/>
                <w:sz w:val="24"/>
              </w:rPr>
              <w:tab/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6" w:space="0"/>
            </w:tcBorders>
          </w:tcPr>
          <w:p w14:paraId="6B83B7B9">
            <w:pPr>
              <w:pStyle w:val="24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1330" w:type="dxa"/>
            <w:tcBorders>
              <w:top w:val="single" w:color="auto" w:sz="4" w:space="0"/>
              <w:bottom w:val="single" w:color="auto" w:sz="6" w:space="0"/>
            </w:tcBorders>
          </w:tcPr>
          <w:p w14:paraId="372C3263">
            <w:pPr>
              <w:pStyle w:val="24"/>
              <w:rPr>
                <w:sz w:val="24"/>
              </w:rPr>
            </w:pPr>
            <w:r>
              <w:rPr>
                <w:rFonts w:hint="eastAsia"/>
                <w:sz w:val="24"/>
              </w:rPr>
              <w:t>发布日期</w:t>
            </w:r>
          </w:p>
        </w:tc>
      </w:tr>
      <w:tr w14:paraId="6F25C1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08" w:type="dxa"/>
            <w:tcBorders>
              <w:top w:val="single" w:color="auto" w:sz="6" w:space="0"/>
            </w:tcBorders>
          </w:tcPr>
          <w:p w14:paraId="524CF470">
            <w:pPr>
              <w:pStyle w:val="22"/>
            </w:pPr>
          </w:p>
        </w:tc>
        <w:tc>
          <w:tcPr>
            <w:tcW w:w="1733" w:type="dxa"/>
            <w:tcBorders>
              <w:top w:val="single" w:color="auto" w:sz="6" w:space="0"/>
            </w:tcBorders>
          </w:tcPr>
          <w:p w14:paraId="6D4A3F2E">
            <w:pPr>
              <w:pStyle w:val="22"/>
            </w:pPr>
          </w:p>
        </w:tc>
        <w:tc>
          <w:tcPr>
            <w:tcW w:w="2877" w:type="dxa"/>
            <w:tcBorders>
              <w:top w:val="single" w:color="auto" w:sz="6" w:space="0"/>
            </w:tcBorders>
          </w:tcPr>
          <w:p w14:paraId="5466C763">
            <w:pPr>
              <w:pStyle w:val="22"/>
            </w:pPr>
          </w:p>
        </w:tc>
        <w:tc>
          <w:tcPr>
            <w:tcW w:w="1080" w:type="dxa"/>
            <w:tcBorders>
              <w:top w:val="single" w:color="auto" w:sz="6" w:space="0"/>
            </w:tcBorders>
          </w:tcPr>
          <w:p w14:paraId="05FC0E97">
            <w:pPr>
              <w:pStyle w:val="22"/>
            </w:pPr>
          </w:p>
        </w:tc>
        <w:tc>
          <w:tcPr>
            <w:tcW w:w="1330" w:type="dxa"/>
            <w:tcBorders>
              <w:top w:val="single" w:color="auto" w:sz="6" w:space="0"/>
            </w:tcBorders>
          </w:tcPr>
          <w:p w14:paraId="31C8605E">
            <w:pPr>
              <w:pStyle w:val="22"/>
            </w:pPr>
          </w:p>
        </w:tc>
      </w:tr>
      <w:tr w14:paraId="108C4A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08" w:type="dxa"/>
            <w:tcBorders>
              <w:top w:val="nil"/>
            </w:tcBorders>
          </w:tcPr>
          <w:p w14:paraId="1686C728">
            <w:pPr>
              <w:pStyle w:val="22"/>
            </w:pPr>
          </w:p>
        </w:tc>
        <w:tc>
          <w:tcPr>
            <w:tcW w:w="1733" w:type="dxa"/>
            <w:tcBorders>
              <w:top w:val="nil"/>
            </w:tcBorders>
          </w:tcPr>
          <w:p w14:paraId="4B930C4B">
            <w:pPr>
              <w:pStyle w:val="22"/>
            </w:pPr>
          </w:p>
        </w:tc>
        <w:tc>
          <w:tcPr>
            <w:tcW w:w="2877" w:type="dxa"/>
            <w:tcBorders>
              <w:top w:val="nil"/>
            </w:tcBorders>
          </w:tcPr>
          <w:p w14:paraId="634B6D04">
            <w:pPr>
              <w:pStyle w:val="22"/>
            </w:pPr>
          </w:p>
        </w:tc>
        <w:tc>
          <w:tcPr>
            <w:tcW w:w="1080" w:type="dxa"/>
            <w:tcBorders>
              <w:top w:val="nil"/>
            </w:tcBorders>
          </w:tcPr>
          <w:p w14:paraId="5FA20F23">
            <w:pPr>
              <w:pStyle w:val="22"/>
            </w:pPr>
          </w:p>
        </w:tc>
        <w:tc>
          <w:tcPr>
            <w:tcW w:w="1330" w:type="dxa"/>
            <w:tcBorders>
              <w:top w:val="nil"/>
            </w:tcBorders>
          </w:tcPr>
          <w:p w14:paraId="672BA600">
            <w:pPr>
              <w:pStyle w:val="22"/>
            </w:pPr>
          </w:p>
        </w:tc>
      </w:tr>
      <w:tr w14:paraId="497D34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08" w:type="dxa"/>
            <w:tcBorders>
              <w:top w:val="nil"/>
            </w:tcBorders>
          </w:tcPr>
          <w:p w14:paraId="7116F8C4">
            <w:pPr>
              <w:pStyle w:val="22"/>
            </w:pPr>
          </w:p>
        </w:tc>
        <w:tc>
          <w:tcPr>
            <w:tcW w:w="1733" w:type="dxa"/>
            <w:tcBorders>
              <w:top w:val="nil"/>
            </w:tcBorders>
          </w:tcPr>
          <w:p w14:paraId="19527CF4">
            <w:pPr>
              <w:pStyle w:val="22"/>
            </w:pPr>
          </w:p>
        </w:tc>
        <w:tc>
          <w:tcPr>
            <w:tcW w:w="2877" w:type="dxa"/>
            <w:tcBorders>
              <w:top w:val="nil"/>
            </w:tcBorders>
          </w:tcPr>
          <w:p w14:paraId="0C9058F6">
            <w:pPr>
              <w:pStyle w:val="22"/>
            </w:pPr>
          </w:p>
        </w:tc>
        <w:tc>
          <w:tcPr>
            <w:tcW w:w="1080" w:type="dxa"/>
            <w:tcBorders>
              <w:top w:val="nil"/>
            </w:tcBorders>
          </w:tcPr>
          <w:p w14:paraId="18B19150">
            <w:pPr>
              <w:pStyle w:val="22"/>
            </w:pPr>
          </w:p>
        </w:tc>
        <w:tc>
          <w:tcPr>
            <w:tcW w:w="1330" w:type="dxa"/>
            <w:tcBorders>
              <w:top w:val="nil"/>
            </w:tcBorders>
          </w:tcPr>
          <w:p w14:paraId="6F206986">
            <w:pPr>
              <w:pStyle w:val="22"/>
            </w:pPr>
          </w:p>
        </w:tc>
      </w:tr>
      <w:tr w14:paraId="3C54732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08" w:type="dxa"/>
            <w:tcBorders>
              <w:top w:val="nil"/>
            </w:tcBorders>
          </w:tcPr>
          <w:p w14:paraId="63450EE1">
            <w:pPr>
              <w:pStyle w:val="22"/>
            </w:pPr>
          </w:p>
        </w:tc>
        <w:tc>
          <w:tcPr>
            <w:tcW w:w="1733" w:type="dxa"/>
            <w:tcBorders>
              <w:top w:val="nil"/>
            </w:tcBorders>
          </w:tcPr>
          <w:p w14:paraId="6B58BF7A">
            <w:pPr>
              <w:pStyle w:val="22"/>
            </w:pPr>
          </w:p>
        </w:tc>
        <w:tc>
          <w:tcPr>
            <w:tcW w:w="2877" w:type="dxa"/>
            <w:tcBorders>
              <w:top w:val="nil"/>
            </w:tcBorders>
          </w:tcPr>
          <w:p w14:paraId="46B6A12F">
            <w:pPr>
              <w:pStyle w:val="22"/>
            </w:pPr>
          </w:p>
        </w:tc>
        <w:tc>
          <w:tcPr>
            <w:tcW w:w="1080" w:type="dxa"/>
            <w:tcBorders>
              <w:top w:val="nil"/>
            </w:tcBorders>
          </w:tcPr>
          <w:p w14:paraId="67525745">
            <w:pPr>
              <w:pStyle w:val="22"/>
            </w:pPr>
          </w:p>
        </w:tc>
        <w:tc>
          <w:tcPr>
            <w:tcW w:w="1330" w:type="dxa"/>
            <w:tcBorders>
              <w:top w:val="nil"/>
            </w:tcBorders>
          </w:tcPr>
          <w:p w14:paraId="5CEAF20B">
            <w:pPr>
              <w:pStyle w:val="22"/>
            </w:pPr>
          </w:p>
        </w:tc>
      </w:tr>
      <w:tr w14:paraId="484A51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08" w:type="dxa"/>
          </w:tcPr>
          <w:p w14:paraId="0ED17862">
            <w:pPr>
              <w:pStyle w:val="22"/>
            </w:pPr>
          </w:p>
        </w:tc>
        <w:tc>
          <w:tcPr>
            <w:tcW w:w="1733" w:type="dxa"/>
          </w:tcPr>
          <w:p w14:paraId="1503EE58">
            <w:pPr>
              <w:pStyle w:val="22"/>
            </w:pPr>
          </w:p>
        </w:tc>
        <w:tc>
          <w:tcPr>
            <w:tcW w:w="2877" w:type="dxa"/>
          </w:tcPr>
          <w:p w14:paraId="52DB55EC">
            <w:pPr>
              <w:pStyle w:val="22"/>
            </w:pPr>
          </w:p>
        </w:tc>
        <w:tc>
          <w:tcPr>
            <w:tcW w:w="1080" w:type="dxa"/>
          </w:tcPr>
          <w:p w14:paraId="437C222A">
            <w:pPr>
              <w:pStyle w:val="22"/>
            </w:pPr>
          </w:p>
        </w:tc>
        <w:tc>
          <w:tcPr>
            <w:tcW w:w="1330" w:type="dxa"/>
          </w:tcPr>
          <w:p w14:paraId="0C378086">
            <w:pPr>
              <w:pStyle w:val="22"/>
            </w:pPr>
          </w:p>
        </w:tc>
      </w:tr>
      <w:tr w14:paraId="1A60270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08" w:type="dxa"/>
          </w:tcPr>
          <w:p w14:paraId="661DA86C">
            <w:pPr>
              <w:pStyle w:val="22"/>
            </w:pPr>
          </w:p>
        </w:tc>
        <w:tc>
          <w:tcPr>
            <w:tcW w:w="1733" w:type="dxa"/>
          </w:tcPr>
          <w:p w14:paraId="1AD332F2">
            <w:pPr>
              <w:pStyle w:val="22"/>
            </w:pPr>
          </w:p>
        </w:tc>
        <w:tc>
          <w:tcPr>
            <w:tcW w:w="2877" w:type="dxa"/>
          </w:tcPr>
          <w:p w14:paraId="33561D1F">
            <w:pPr>
              <w:pStyle w:val="22"/>
            </w:pPr>
          </w:p>
        </w:tc>
        <w:tc>
          <w:tcPr>
            <w:tcW w:w="1080" w:type="dxa"/>
          </w:tcPr>
          <w:p w14:paraId="09A7F260">
            <w:pPr>
              <w:pStyle w:val="22"/>
            </w:pPr>
          </w:p>
        </w:tc>
        <w:tc>
          <w:tcPr>
            <w:tcW w:w="1330" w:type="dxa"/>
          </w:tcPr>
          <w:p w14:paraId="0B0A04A0">
            <w:pPr>
              <w:pStyle w:val="22"/>
            </w:pPr>
          </w:p>
        </w:tc>
      </w:tr>
    </w:tbl>
    <w:p w14:paraId="75C4D94D"/>
    <w:p w14:paraId="1BD168EB">
      <w:pPr>
        <w:widowControl/>
        <w:jc w:val="left"/>
        <w:rPr>
          <w:rFonts w:ascii="Arial" w:hAnsi="Arial" w:cs="Arial"/>
          <w:b/>
          <w:bCs/>
          <w:sz w:val="32"/>
          <w:szCs w:val="32"/>
        </w:rPr>
      </w:pPr>
      <w: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85223597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4BB2C248">
          <w:pPr>
            <w:pStyle w:val="34"/>
            <w:jc w:val="center"/>
          </w:pPr>
          <w:r>
            <w:rPr>
              <w:lang w:val="zh-CN"/>
            </w:rPr>
            <w:t>目录</w:t>
          </w:r>
        </w:p>
        <w:p w14:paraId="284D318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_Toc7400 </w:instrText>
          </w:r>
          <w:r>
            <w:fldChar w:fldCharType="separate"/>
          </w:r>
          <w:r>
            <w:t>1. 引言</w:t>
          </w:r>
          <w:r>
            <w:tab/>
          </w:r>
          <w:r>
            <w:fldChar w:fldCharType="begin"/>
          </w:r>
          <w:r>
            <w:instrText xml:space="preserve"> PAGEREF _Toc7400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1EEDE5D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_Toc12507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1.1. 项目背景</w:t>
          </w:r>
          <w:r>
            <w:tab/>
          </w:r>
          <w:r>
            <w:fldChar w:fldCharType="begin"/>
          </w:r>
          <w:r>
            <w:instrText xml:space="preserve"> PAGEREF _Toc12507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BA1355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_Toc18412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1.2. </w:t>
          </w:r>
          <w:r>
            <w:rPr>
              <w:rFonts w:hint="eastAsia"/>
              <w:szCs w:val="28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_Toc18412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CE65AC0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1.3. </w:t>
          </w:r>
          <w:r>
            <w:rPr>
              <w:rFonts w:hint="eastAsia"/>
              <w:szCs w:val="28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_Toc27502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EE10D1F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_Toc25214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项目进行的必要性</w:t>
          </w:r>
          <w:r>
            <w:tab/>
          </w:r>
          <w:r>
            <w:fldChar w:fldCharType="begin"/>
          </w:r>
          <w:r>
            <w:instrText xml:space="preserve"> PAGEREF _Toc25214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5783485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_Toc17786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与国内外同类产品的比较</w:t>
          </w:r>
          <w:r>
            <w:tab/>
          </w:r>
          <w:r>
            <w:fldChar w:fldCharType="begin"/>
          </w:r>
          <w:r>
            <w:instrText xml:space="preserve"> PAGEREF _Toc17786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26A444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_Toc15664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3.1. </w:t>
          </w:r>
          <w:r>
            <w:rPr>
              <w:rFonts w:hint="eastAsia"/>
              <w:szCs w:val="28"/>
            </w:rPr>
            <w:t>国内外同类产品情况</w:t>
          </w:r>
          <w:r>
            <w:tab/>
          </w:r>
          <w:r>
            <w:fldChar w:fldCharType="begin"/>
          </w:r>
          <w:r>
            <w:instrText xml:space="preserve"> PAGEREF _Toc15664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5997A1E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_Toc18558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3.2. </w:t>
          </w:r>
          <w:r>
            <w:rPr>
              <w:rFonts w:hint="eastAsia"/>
              <w:szCs w:val="28"/>
            </w:rPr>
            <w:t>主要竞争对手情况</w:t>
          </w:r>
          <w:r>
            <w:tab/>
          </w:r>
          <w:r>
            <w:fldChar w:fldCharType="begin"/>
          </w:r>
          <w:r>
            <w:instrText xml:space="preserve"> PAGEREF _Toc18558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BC6B50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_Toc4593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3.3. </w:t>
          </w:r>
          <w:r>
            <w:rPr>
              <w:rFonts w:hint="eastAsia"/>
              <w:szCs w:val="28"/>
            </w:rPr>
            <w:t>与国内外同类产品比较</w:t>
          </w:r>
          <w:r>
            <w:tab/>
          </w:r>
          <w:r>
            <w:fldChar w:fldCharType="begin"/>
          </w:r>
          <w:r>
            <w:instrText xml:space="preserve"> PAGEREF _Toc4593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80391F7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_Toc27506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项目实现方案分析</w:t>
          </w:r>
          <w:r>
            <w:tab/>
          </w:r>
          <w:r>
            <w:fldChar w:fldCharType="begin"/>
          </w:r>
          <w:r>
            <w:instrText xml:space="preserve"> PAGEREF _Toc27506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5A637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_Toc5524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4.1. </w:t>
          </w:r>
          <w:r>
            <w:rPr>
              <w:rFonts w:hint="eastAsia"/>
              <w:szCs w:val="28"/>
            </w:rPr>
            <w:t>产品概念、市场定位</w:t>
          </w:r>
          <w:r>
            <w:tab/>
          </w:r>
          <w:r>
            <w:fldChar w:fldCharType="begin"/>
          </w:r>
          <w:r>
            <w:instrText xml:space="preserve"> PAGEREF _Toc5524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58845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_Toc10922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4.2. </w:t>
          </w:r>
          <w:r>
            <w:rPr>
              <w:rFonts w:hint="eastAsia"/>
              <w:szCs w:val="28"/>
            </w:rPr>
            <w:t>项目主要研究内容：（拟实现目标，完成功能，拟采用技术）</w:t>
          </w:r>
          <w:r>
            <w:tab/>
          </w:r>
          <w:r>
            <w:fldChar w:fldCharType="begin"/>
          </w:r>
          <w:r>
            <w:instrText xml:space="preserve"> PAGEREF _Toc10922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D083768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4.3. </w:t>
          </w:r>
          <w:r>
            <w:rPr>
              <w:rFonts w:hint="eastAsia"/>
              <w:szCs w:val="28"/>
            </w:rPr>
            <w:t>项目软硬件环境</w:t>
          </w:r>
          <w:r>
            <w:tab/>
          </w:r>
          <w:r>
            <w:fldChar w:fldCharType="begin"/>
          </w:r>
          <w:r>
            <w:instrText xml:space="preserve"> PAGEREF _Toc19111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884449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_Toc16353 </w:instrText>
          </w:r>
          <w:r>
            <w:rPr>
              <w:bCs/>
              <w:lang w:val="zh-CN"/>
            </w:rPr>
            <w:fldChar w:fldCharType="separate"/>
          </w:r>
          <w:r>
            <w:rPr>
              <w:i w:val="0"/>
              <w:iCs w:val="0"/>
              <w:szCs w:val="28"/>
            </w:rPr>
            <w:t xml:space="preserve">4.4. </w:t>
          </w:r>
          <w:r>
            <w:rPr>
              <w:rFonts w:hint="eastAsia"/>
              <w:szCs w:val="28"/>
            </w:rPr>
            <w:t>项目的技术方案</w:t>
          </w:r>
          <w:r>
            <w:tab/>
          </w:r>
          <w:r>
            <w:fldChar w:fldCharType="begin"/>
          </w:r>
          <w:r>
            <w:instrText xml:space="preserve"> PAGEREF _Toc16353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62A44E0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_Toc18386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4.4.1. </w:t>
          </w:r>
          <w:r>
            <w:rPr>
              <w:rFonts w:hint="eastAsia"/>
              <w:szCs w:val="28"/>
            </w:rPr>
            <w:t>技术架构体系或模型</w:t>
          </w:r>
          <w:r>
            <w:tab/>
          </w:r>
          <w:r>
            <w:fldChar w:fldCharType="begin"/>
          </w:r>
          <w:r>
            <w:instrText xml:space="preserve"> PAGEREF _Toc18386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B955B3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_Toc912 </w:instrText>
          </w:r>
          <w:r>
            <w:rPr>
              <w:bCs/>
              <w:lang w:val="zh-CN"/>
            </w:rPr>
            <w:fldChar w:fldCharType="separate"/>
          </w:r>
          <w:r>
            <w:rPr>
              <w:i w:val="0"/>
              <w:iCs w:val="0"/>
              <w:szCs w:val="28"/>
            </w:rPr>
            <w:t xml:space="preserve">4.4.2. </w:t>
          </w:r>
          <w:r>
            <w:rPr>
              <w:rFonts w:hint="eastAsia"/>
              <w:szCs w:val="28"/>
            </w:rPr>
            <w:t>备选技术方案一</w:t>
          </w:r>
          <w:r>
            <w:tab/>
          </w:r>
          <w:r>
            <w:fldChar w:fldCharType="begin"/>
          </w:r>
          <w:r>
            <w:instrText xml:space="preserve"> PAGEREF _Toc912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7119C92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_Toc30294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4.4.2.1. </w:t>
          </w:r>
          <w:r>
            <w:rPr>
              <w:rFonts w:hint="eastAsia"/>
              <w:szCs w:val="24"/>
            </w:rPr>
            <w:t>方案描述</w:t>
          </w:r>
          <w:r>
            <w:tab/>
          </w:r>
          <w:r>
            <w:fldChar w:fldCharType="begin"/>
          </w:r>
          <w:r>
            <w:instrText xml:space="preserve"> PAGEREF _Toc30294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B549807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4.4.2.2. </w:t>
          </w:r>
          <w:r>
            <w:rPr>
              <w:rFonts w:hint="eastAsia"/>
              <w:szCs w:val="24"/>
            </w:rPr>
            <w:t>优缺点及投资费用估算</w:t>
          </w:r>
          <w:r>
            <w:tab/>
          </w:r>
          <w:r>
            <w:fldChar w:fldCharType="begin"/>
          </w:r>
          <w:r>
            <w:instrText xml:space="preserve"> PAGEREF _Toc2552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4248C0F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_Toc12646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4.4.3. </w:t>
          </w:r>
          <w:r>
            <w:rPr>
              <w:rFonts w:hint="eastAsia"/>
              <w:szCs w:val="28"/>
            </w:rPr>
            <w:t>备选技术方案二</w:t>
          </w:r>
          <w:r>
            <w:tab/>
          </w:r>
          <w:r>
            <w:fldChar w:fldCharType="begin"/>
          </w:r>
          <w:r>
            <w:instrText xml:space="preserve"> PAGEREF _Toc12646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2B5EB7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4.4.3.1. </w:t>
          </w:r>
          <w:r>
            <w:rPr>
              <w:rFonts w:hint="eastAsia"/>
              <w:szCs w:val="24"/>
            </w:rPr>
            <w:t>方案描述</w:t>
          </w:r>
          <w:r>
            <w:tab/>
          </w:r>
          <w:r>
            <w:fldChar w:fldCharType="begin"/>
          </w:r>
          <w:r>
            <w:instrText xml:space="preserve"> PAGEREF _Toc24972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2B4896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_Toc13684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4.4.3.2. </w:t>
          </w:r>
          <w:r>
            <w:rPr>
              <w:rFonts w:hint="eastAsia"/>
              <w:szCs w:val="24"/>
            </w:rPr>
            <w:t>优缺点及及投资费用估算</w:t>
          </w:r>
          <w:r>
            <w:tab/>
          </w:r>
          <w:r>
            <w:fldChar w:fldCharType="begin"/>
          </w:r>
          <w:r>
            <w:instrText xml:space="preserve"> PAGEREF _Toc13684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FAA272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4.4.4. </w:t>
          </w:r>
          <w:r>
            <w:rPr>
              <w:rFonts w:hint="eastAsia"/>
              <w:szCs w:val="28"/>
            </w:rPr>
            <w:t>备选技术方案X</w:t>
          </w:r>
          <w:r>
            <w:tab/>
          </w:r>
          <w:r>
            <w:fldChar w:fldCharType="begin"/>
          </w:r>
          <w:r>
            <w:instrText xml:space="preserve"> PAGEREF _Toc17825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68F82A9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_Toc1696 </w:instrText>
          </w:r>
          <w:r>
            <w:rPr>
              <w:bCs/>
              <w:lang w:val="zh-CN"/>
            </w:rPr>
            <w:fldChar w:fldCharType="separate"/>
          </w:r>
          <w:r>
            <w:rPr>
              <w:i w:val="0"/>
              <w:iCs w:val="0"/>
              <w:szCs w:val="24"/>
            </w:rPr>
            <w:t xml:space="preserve">4.4.4.1. </w:t>
          </w:r>
          <w:r>
            <w:rPr>
              <w:rFonts w:hint="eastAsia"/>
              <w:szCs w:val="24"/>
            </w:rPr>
            <w:t>方案描述</w:t>
          </w:r>
          <w:r>
            <w:tab/>
          </w:r>
          <w:r>
            <w:fldChar w:fldCharType="begin"/>
          </w:r>
          <w:r>
            <w:instrText xml:space="preserve"> PAGEREF _Toc1696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6A0C4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_Toc28545 </w:instrText>
          </w:r>
          <w:r>
            <w:rPr>
              <w:bCs/>
              <w:lang w:val="zh-CN"/>
            </w:rPr>
            <w:fldChar w:fldCharType="separate"/>
          </w:r>
          <w:r>
            <w:rPr>
              <w:i w:val="0"/>
              <w:iCs w:val="0"/>
              <w:szCs w:val="24"/>
            </w:rPr>
            <w:t xml:space="preserve">4.4.4.2. </w:t>
          </w:r>
          <w:r>
            <w:rPr>
              <w:rFonts w:hint="eastAsia"/>
              <w:szCs w:val="24"/>
            </w:rPr>
            <w:t>优缺点及及投资费用估算</w:t>
          </w:r>
          <w:r>
            <w:tab/>
          </w:r>
          <w:r>
            <w:fldChar w:fldCharType="begin"/>
          </w:r>
          <w:r>
            <w:instrText xml:space="preserve"> PAGEREF _Toc28545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2661F8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4.4.5. </w:t>
          </w:r>
          <w:r>
            <w:rPr>
              <w:rFonts w:hint="eastAsia"/>
              <w:szCs w:val="28"/>
            </w:rPr>
            <w:t>最终技术解决方案</w:t>
          </w:r>
          <w:r>
            <w:tab/>
          </w:r>
          <w:r>
            <w:fldChar w:fldCharType="begin"/>
          </w:r>
          <w:r>
            <w:instrText xml:space="preserve"> PAGEREF _Toc28655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BC8D1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_Toc16740 </w:instrText>
          </w:r>
          <w:r>
            <w:rPr>
              <w:bCs/>
              <w:lang w:val="zh-CN"/>
            </w:rPr>
            <w:fldChar w:fldCharType="separate"/>
          </w:r>
          <w:r>
            <w:rPr>
              <w:i w:val="0"/>
              <w:iCs w:val="0"/>
              <w:szCs w:val="28"/>
            </w:rPr>
            <w:t xml:space="preserve">4.5. </w:t>
          </w:r>
          <w:r>
            <w:rPr>
              <w:rFonts w:hint="eastAsia"/>
              <w:szCs w:val="28"/>
            </w:rPr>
            <w:t>项目组织方案</w:t>
          </w:r>
          <w:r>
            <w:tab/>
          </w:r>
          <w:r>
            <w:fldChar w:fldCharType="begin"/>
          </w:r>
          <w:r>
            <w:instrText xml:space="preserve"> PAGEREF _Toc16740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B6F60C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_Toc2296 </w:instrText>
          </w:r>
          <w:r>
            <w:rPr>
              <w:bCs/>
              <w:lang w:val="zh-CN"/>
            </w:rPr>
            <w:fldChar w:fldCharType="separate"/>
          </w:r>
          <w:r>
            <w:rPr>
              <w:i w:val="0"/>
              <w:iCs w:val="0"/>
              <w:szCs w:val="28"/>
            </w:rPr>
            <w:t xml:space="preserve">4.6. </w:t>
          </w:r>
          <w:r>
            <w:rPr>
              <w:rFonts w:hint="eastAsia"/>
              <w:szCs w:val="28"/>
            </w:rPr>
            <w:t>项目实施计划</w:t>
          </w:r>
          <w:r>
            <w:tab/>
          </w:r>
          <w:r>
            <w:fldChar w:fldCharType="begin"/>
          </w:r>
          <w:r>
            <w:instrText xml:space="preserve"> PAGEREF _Toc2296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DAC1DD8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_Toc8662 </w:instrText>
          </w:r>
          <w:r>
            <w:rPr>
              <w:bCs/>
              <w:lang w:val="zh-CN"/>
            </w:rPr>
            <w:fldChar w:fldCharType="separate"/>
          </w:r>
          <w:r>
            <w:rPr>
              <w:i w:val="0"/>
              <w:iCs w:val="0"/>
              <w:szCs w:val="28"/>
            </w:rPr>
            <w:t xml:space="preserve">4.7. </w:t>
          </w:r>
          <w:r>
            <w:rPr>
              <w:rFonts w:hint="eastAsia"/>
              <w:szCs w:val="28"/>
            </w:rPr>
            <w:t>项目投资估算</w:t>
          </w:r>
          <w:r>
            <w:tab/>
          </w:r>
          <w:r>
            <w:fldChar w:fldCharType="begin"/>
          </w:r>
          <w:r>
            <w:instrText xml:space="preserve"> PAGEREF _Toc8662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3C66C3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_Toc24095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经济与社会效益分析</w:t>
          </w:r>
          <w:r>
            <w:tab/>
          </w:r>
          <w:r>
            <w:fldChar w:fldCharType="begin"/>
          </w:r>
          <w:r>
            <w:instrText xml:space="preserve"> PAGEREF _Toc24095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1989A2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5.1. </w:t>
          </w:r>
          <w:r>
            <w:rPr>
              <w:rFonts w:hint="eastAsia"/>
              <w:szCs w:val="28"/>
            </w:rPr>
            <w:t>市场前景分析</w:t>
          </w:r>
          <w:r>
            <w:tab/>
          </w:r>
          <w:r>
            <w:fldChar w:fldCharType="begin"/>
          </w:r>
          <w:r>
            <w:instrText xml:space="preserve"> PAGEREF _Toc21387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38697F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5.1.1. </w:t>
          </w:r>
          <w:r>
            <w:rPr>
              <w:rFonts w:hint="eastAsia"/>
              <w:szCs w:val="28"/>
            </w:rPr>
            <w:t>产品销售市场前景分析</w:t>
          </w:r>
          <w:r>
            <w:tab/>
          </w:r>
          <w:r>
            <w:fldChar w:fldCharType="begin"/>
          </w:r>
          <w:r>
            <w:instrText xml:space="preserve"> PAGEREF _Toc30625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1290D4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5.1.2. </w:t>
          </w:r>
          <w:r>
            <w:rPr>
              <w:rFonts w:hint="eastAsia"/>
              <w:szCs w:val="28"/>
            </w:rPr>
            <w:t>技术转让前景分析</w:t>
          </w:r>
          <w:r>
            <w:tab/>
          </w:r>
          <w:r>
            <w:fldChar w:fldCharType="begin"/>
          </w:r>
          <w:r>
            <w:instrText xml:space="preserve"> PAGEREF _Toc13502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8B6EA1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5.2. </w:t>
          </w:r>
          <w:r>
            <w:rPr>
              <w:rFonts w:hint="eastAsia"/>
              <w:szCs w:val="28"/>
            </w:rPr>
            <w:t>经济效益分析</w:t>
          </w:r>
          <w:r>
            <w:tab/>
          </w:r>
          <w:r>
            <w:fldChar w:fldCharType="begin"/>
          </w:r>
          <w:r>
            <w:instrText xml:space="preserve"> PAGEREF _Toc7673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ACCCC28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_Toc27268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5.2.1. </w:t>
          </w:r>
          <w:r>
            <w:rPr>
              <w:rFonts w:hint="eastAsia"/>
              <w:szCs w:val="28"/>
            </w:rPr>
            <w:t>投资估算</w:t>
          </w:r>
          <w:r>
            <w:tab/>
          </w:r>
          <w:r>
            <w:fldChar w:fldCharType="begin"/>
          </w:r>
          <w:r>
            <w:instrText xml:space="preserve"> PAGEREF _Toc27268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417673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5.2.2. </w:t>
          </w:r>
          <w:r>
            <w:rPr>
              <w:rFonts w:hint="eastAsia"/>
              <w:szCs w:val="28"/>
            </w:rPr>
            <w:t>成本与销售定价</w:t>
          </w:r>
          <w:r>
            <w:tab/>
          </w:r>
          <w:r>
            <w:fldChar w:fldCharType="begin"/>
          </w:r>
          <w:r>
            <w:instrText xml:space="preserve"> PAGEREF _Toc28257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9ED9B9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_Toc24509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5.2.3. </w:t>
          </w:r>
          <w:r>
            <w:rPr>
              <w:rFonts w:hint="eastAsia"/>
              <w:szCs w:val="28"/>
            </w:rPr>
            <w:t>利润与收入预测</w:t>
          </w:r>
          <w:r>
            <w:tab/>
          </w:r>
          <w:r>
            <w:fldChar w:fldCharType="begin"/>
          </w:r>
          <w:r>
            <w:instrText xml:space="preserve"> PAGEREF _Toc24509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3E0669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_Toc10373 </w:instrText>
          </w:r>
          <w:r>
            <w:rPr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风险分析</w:t>
          </w:r>
          <w:r>
            <w:tab/>
          </w:r>
          <w:r>
            <w:fldChar w:fldCharType="begin"/>
          </w:r>
          <w:r>
            <w:instrText xml:space="preserve"> PAGEREF _Toc10373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030033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_Toc31880 </w:instrText>
          </w:r>
          <w:r>
            <w:rPr>
              <w:bCs/>
              <w:lang w:val="zh-CN"/>
            </w:rPr>
            <w:fldChar w:fldCharType="separate"/>
          </w:r>
          <w:r>
            <w:t xml:space="preserve">6.1. </w:t>
          </w:r>
          <w:r>
            <w:rPr>
              <w:rFonts w:hint="eastAsia"/>
              <w:szCs w:val="28"/>
            </w:rPr>
            <w:t>技术风险</w:t>
          </w:r>
          <w:r>
            <w:tab/>
          </w:r>
          <w:r>
            <w:fldChar w:fldCharType="begin"/>
          </w:r>
          <w:r>
            <w:instrText xml:space="preserve"> PAGEREF _Toc31880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03B6E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_Toc9887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6.2. </w:t>
          </w:r>
          <w:r>
            <w:rPr>
              <w:rFonts w:hint="eastAsia"/>
              <w:szCs w:val="28"/>
            </w:rPr>
            <w:t>管理风险</w:t>
          </w:r>
          <w:r>
            <w:tab/>
          </w:r>
          <w:r>
            <w:fldChar w:fldCharType="begin"/>
          </w:r>
          <w:r>
            <w:instrText xml:space="preserve"> PAGEREF _Toc9887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194DB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_Toc25192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6.3. </w:t>
          </w:r>
          <w:r>
            <w:rPr>
              <w:rFonts w:hint="eastAsia"/>
              <w:szCs w:val="28"/>
            </w:rPr>
            <w:t>市场风险</w:t>
          </w:r>
          <w:r>
            <w:tab/>
          </w:r>
          <w:r>
            <w:fldChar w:fldCharType="begin"/>
          </w:r>
          <w:r>
            <w:instrText xml:space="preserve"> PAGEREF _Toc25192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85655A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6.4. </w:t>
          </w:r>
          <w:r>
            <w:rPr>
              <w:rFonts w:hint="eastAsia"/>
              <w:szCs w:val="28"/>
            </w:rPr>
            <w:t>法律政策风险</w:t>
          </w:r>
          <w:r>
            <w:tab/>
          </w:r>
          <w:r>
            <w:fldChar w:fldCharType="begin"/>
          </w:r>
          <w:r>
            <w:instrText xml:space="preserve"> PAGEREF _Toc15250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03589D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_Toc6778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6.5. </w:t>
          </w:r>
          <w:r>
            <w:rPr>
              <w:rFonts w:hint="eastAsia"/>
              <w:szCs w:val="28"/>
            </w:rPr>
            <w:t>专利技术风险</w:t>
          </w:r>
          <w:r>
            <w:tab/>
          </w:r>
          <w:r>
            <w:fldChar w:fldCharType="begin"/>
          </w:r>
          <w:r>
            <w:instrText xml:space="preserve"> PAGEREF _Toc6778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7CE44B"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_Toc20158 </w:instrText>
          </w:r>
          <w:r>
            <w:rPr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</w:rPr>
            <w:t>可行性分析总结</w:t>
          </w:r>
          <w:r>
            <w:tab/>
          </w:r>
          <w:r>
            <w:fldChar w:fldCharType="begin"/>
          </w:r>
          <w:r>
            <w:instrText xml:space="preserve"> PAGEREF _Toc20158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4872401">
          <w:r>
            <w:rPr>
              <w:bCs/>
              <w:lang w:val="zh-CN"/>
            </w:rPr>
            <w:fldChar w:fldCharType="end"/>
          </w:r>
        </w:p>
      </w:sdtContent>
    </w:sdt>
    <w:p w14:paraId="2F7D2703">
      <w:pPr>
        <w:pStyle w:val="11"/>
        <w:numPr>
          <w:ilvl w:val="0"/>
          <w:numId w:val="1"/>
        </w:numPr>
        <w:jc w:val="both"/>
      </w:pPr>
      <w:r>
        <w:br w:type="page"/>
      </w:r>
      <w:bookmarkStart w:id="1" w:name="_Toc130812087"/>
      <w:bookmarkStart w:id="2" w:name="_Toc128973093"/>
      <w:bookmarkStart w:id="3" w:name="_Toc7400"/>
      <w:bookmarkStart w:id="4" w:name="_Toc293051399"/>
      <w:bookmarkStart w:id="5" w:name="_Toc130805363"/>
      <w:bookmarkStart w:id="6" w:name="_Toc130805724"/>
      <w:bookmarkStart w:id="7" w:name="_Toc130805934"/>
      <w:r>
        <w:t>引言</w:t>
      </w:r>
      <w:bookmarkEnd w:id="1"/>
      <w:bookmarkEnd w:id="2"/>
      <w:bookmarkEnd w:id="3"/>
      <w:bookmarkEnd w:id="4"/>
      <w:bookmarkEnd w:id="5"/>
      <w:bookmarkEnd w:id="6"/>
      <w:bookmarkEnd w:id="7"/>
    </w:p>
    <w:p w14:paraId="6F4E6019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8" w:name="_Toc130805727"/>
      <w:bookmarkStart w:id="9" w:name="_Toc130805366"/>
      <w:bookmarkStart w:id="10" w:name="_Toc128973096"/>
      <w:bookmarkStart w:id="11" w:name="_Toc130805937"/>
      <w:bookmarkStart w:id="12" w:name="_Toc293051400"/>
      <w:bookmarkStart w:id="13" w:name="_Toc130812090"/>
      <w:bookmarkStart w:id="14" w:name="_Toc12507"/>
      <w:r>
        <w:rPr>
          <w:b w:val="0"/>
          <w:sz w:val="28"/>
          <w:szCs w:val="28"/>
        </w:rPr>
        <w:t>项目背景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38C5E2C5">
      <w:pPr>
        <w:spacing w:line="360" w:lineRule="auto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Empower平台在数据治理、AI行业大模型与无代码产品交付等领域广泛应用。随着化工园区、退役军人等多个项目的深入实施，平台亟需针对数据质量、数据实时采集、编排可观测性和租户化能力进行全方位功能及架构升级，以提升平台竞争力和交付效率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1A9972AA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15" w:name="_Toc293051401"/>
      <w:bookmarkStart w:id="16" w:name="_Toc130805728"/>
      <w:bookmarkStart w:id="17" w:name="_Toc130805938"/>
      <w:bookmarkStart w:id="18" w:name="_Toc18412"/>
      <w:bookmarkStart w:id="19" w:name="_Toc128973097"/>
      <w:bookmarkStart w:id="20" w:name="_Toc130805367"/>
      <w:bookmarkStart w:id="21" w:name="_Toc130812091"/>
      <w:r>
        <w:rPr>
          <w:rFonts w:hint="eastAsia"/>
          <w:b w:val="0"/>
          <w:sz w:val="28"/>
          <w:szCs w:val="28"/>
        </w:rPr>
        <w:t>参考资料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2252B403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22" w:name="_Toc293051402"/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项目需求/交付反馈（江北新材料科技园、苏安晴、宁安晴等）</w:t>
      </w:r>
    </w:p>
    <w:p w14:paraId="63720AAB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国内外数据管理与数据中台平台白皮书/案例</w:t>
      </w:r>
    </w:p>
    <w:p w14:paraId="12CEB112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国产数据库、存储、云基础设施适配文档</w:t>
      </w:r>
    </w:p>
    <w:p w14:paraId="5ECD6D5E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23" w:name="_Toc27502"/>
      <w:r>
        <w:rPr>
          <w:rFonts w:hint="eastAsia"/>
          <w:b w:val="0"/>
          <w:sz w:val="28"/>
          <w:szCs w:val="28"/>
        </w:rPr>
        <w:t>术语定义</w:t>
      </w:r>
      <w:bookmarkEnd w:id="22"/>
      <w:bookmarkEnd w:id="23"/>
    </w:p>
    <w:p w14:paraId="568AF5CE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24" w:name="_Toc130805734"/>
      <w:bookmarkStart w:id="25" w:name="_Toc128973103"/>
      <w:bookmarkStart w:id="26" w:name="_Toc130805373"/>
      <w:bookmarkStart w:id="27" w:name="_Toc293051403"/>
      <w:bookmarkStart w:id="28" w:name="_Toc130812097"/>
      <w:bookmarkStart w:id="29" w:name="_Toc130805944"/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数据质量监控</w:t>
      </w:r>
      <w:r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：通过预设/自定义规则自动检测与修正数据异常</w:t>
      </w:r>
    </w:p>
    <w:p w14:paraId="45140511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数据背压：针对海量或高并发数据流，系统自动实现流控、削峰填谷保证实时性与稳定性</w:t>
      </w:r>
    </w:p>
    <w:p w14:paraId="6024EAFF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编排可观测性：对数据处理编排流程运行、资源消耗等详细的透明化监控</w:t>
      </w:r>
    </w:p>
    <w:p w14:paraId="38599727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多租户：一套平台支持多个租户独立/隔离运行及统一认证</w:t>
      </w:r>
    </w:p>
    <w:p w14:paraId="5D08528E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国产化适配：平台对国产数据库、存储及中间件的兼容、适配</w:t>
      </w:r>
    </w:p>
    <w:p w14:paraId="0E56001C">
      <w:pPr>
        <w:pStyle w:val="11"/>
        <w:numPr>
          <w:ilvl w:val="0"/>
          <w:numId w:val="1"/>
        </w:numPr>
        <w:jc w:val="both"/>
      </w:pPr>
      <w:bookmarkStart w:id="30" w:name="_Toc25214"/>
      <w:r>
        <w:rPr>
          <w:rFonts w:hint="eastAsia"/>
        </w:rPr>
        <w:t>项目进行的必要性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22D2808D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项目交付过程中，数据质量、高并发场景以及平台资源管控成为核心痛点</w:t>
      </w:r>
    </w:p>
    <w:p w14:paraId="53E72516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行业产品赋能与交付需平台统一、低成本、可持续扩展的技术基础</w:t>
      </w:r>
    </w:p>
    <w:p w14:paraId="5D7B6FDB">
      <w:pPr>
        <w:spacing w:line="360" w:lineRule="auto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适配国产环境响应国产化政策，满足政企客户合规要求</w:t>
      </w:r>
    </w:p>
    <w:p w14:paraId="637F1506">
      <w:pPr>
        <w:pStyle w:val="11"/>
        <w:numPr>
          <w:ilvl w:val="0"/>
          <w:numId w:val="1"/>
        </w:numPr>
        <w:jc w:val="both"/>
      </w:pPr>
      <w:bookmarkStart w:id="31" w:name="_Toc128973099"/>
      <w:bookmarkStart w:id="32" w:name="_Toc130805940"/>
      <w:bookmarkStart w:id="33" w:name="_Toc130812093"/>
      <w:bookmarkStart w:id="34" w:name="_Toc130805730"/>
      <w:bookmarkStart w:id="35" w:name="_Toc17786"/>
      <w:bookmarkStart w:id="36" w:name="_Toc293051404"/>
      <w:bookmarkStart w:id="37" w:name="_Toc130805369"/>
      <w:r>
        <w:rPr>
          <w:rFonts w:hint="eastAsia"/>
        </w:rPr>
        <w:t>与国内外同类产品的比较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1D5679AC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38" w:name="_Toc116788732"/>
      <w:bookmarkStart w:id="39" w:name="_Toc116788619"/>
      <w:bookmarkStart w:id="40" w:name="_Toc116788430"/>
      <w:bookmarkStart w:id="41" w:name="_Toc130812094"/>
      <w:bookmarkStart w:id="42" w:name="_Toc130805941"/>
      <w:bookmarkStart w:id="43" w:name="_Toc15664"/>
      <w:bookmarkStart w:id="44" w:name="_Toc293051405"/>
      <w:bookmarkStart w:id="45" w:name="_Toc130805731"/>
      <w:bookmarkStart w:id="46" w:name="_Toc128973100"/>
      <w:bookmarkStart w:id="47" w:name="_Toc130805370"/>
      <w:bookmarkStart w:id="48" w:name="_Toc126675052"/>
      <w:r>
        <w:rPr>
          <w:rFonts w:hint="eastAsia"/>
          <w:b w:val="0"/>
          <w:sz w:val="28"/>
          <w:szCs w:val="28"/>
        </w:rPr>
        <w:t>国内外同类产品情况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9E5B6F6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国外</w:t>
      </w: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：Informatica、Talend、AWS Glue、Databricks Data Quality等</w:t>
      </w:r>
    </w:p>
    <w:p w14:paraId="198683F1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国内：阿里DataWorks、腾讯数据中台、华为DataArts、星环、百分点等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588080D4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49" w:name="_Toc130805371"/>
      <w:bookmarkStart w:id="50" w:name="_Toc293051406"/>
      <w:bookmarkStart w:id="51" w:name="_Toc130805942"/>
      <w:bookmarkStart w:id="52" w:name="_Toc130812095"/>
      <w:bookmarkStart w:id="53" w:name="_Toc128973101"/>
      <w:bookmarkStart w:id="54" w:name="_Toc130805732"/>
      <w:bookmarkStart w:id="55" w:name="_Toc18558"/>
      <w:r>
        <w:rPr>
          <w:rFonts w:hint="eastAsia"/>
          <w:b w:val="0"/>
          <w:sz w:val="28"/>
          <w:szCs w:val="28"/>
        </w:rPr>
        <w:t>主要竞争对手情况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6D3D2195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阿里DataWorks</w:t>
      </w: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：数据治理、质量监控全流程，适配主流云生态，门槛高、定制受限</w:t>
      </w:r>
    </w:p>
    <w:p w14:paraId="6010CF9E">
      <w:pPr>
        <w:spacing w:line="360" w:lineRule="auto"/>
        <w:ind w:firstLine="480" w:firstLineChars="20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华为DataArts：政企市场口碑好，本地部署能力强，接口开放良好</w:t>
      </w:r>
    </w:p>
    <w:p w14:paraId="3DEF76A2">
      <w:pPr>
        <w:spacing w:line="360" w:lineRule="auto"/>
        <w:ind w:firstLine="480" w:firstLineChars="200"/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数梦：</w:t>
      </w: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政企市场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覆盖率广</w:t>
      </w:r>
    </w:p>
    <w:p w14:paraId="74B74F2D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星环/百分点：定位大数据中台，适合行业自定义需求，技术门槛高</w:t>
      </w:r>
    </w:p>
    <w:p w14:paraId="37656EDA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56" w:name="_Toc130805733"/>
      <w:bookmarkStart w:id="57" w:name="_Toc293051407"/>
      <w:bookmarkStart w:id="58" w:name="_Toc130812096"/>
      <w:bookmarkStart w:id="59" w:name="_Toc130805372"/>
      <w:bookmarkStart w:id="60" w:name="_Toc130805943"/>
      <w:bookmarkStart w:id="61" w:name="_Toc128973102"/>
      <w:bookmarkStart w:id="62" w:name="_Toc4593"/>
      <w:r>
        <w:rPr>
          <w:rFonts w:hint="eastAsia"/>
          <w:b w:val="0"/>
          <w:sz w:val="28"/>
          <w:szCs w:val="28"/>
        </w:rPr>
        <w:t>与国内外同类产品比较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6B20C3BF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Empower定位于深度定制和行业应用集成，在国产适配、背压能力、可观测性等方面有更强的针对性和灵活性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主要体现在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：</w:t>
      </w:r>
    </w:p>
    <w:p w14:paraId="276B41C6"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可以结合交付项目定制化开发</w:t>
      </w:r>
    </w:p>
    <w:p w14:paraId="5D955D7A"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可以针对化工行业针对性的性能优化</w:t>
      </w:r>
    </w:p>
    <w:p w14:paraId="21F69F29">
      <w:pPr>
        <w:numPr>
          <w:ilvl w:val="0"/>
          <w:numId w:val="2"/>
        </w:numPr>
        <w:spacing w:line="360" w:lineRule="auto"/>
        <w:ind w:firstLine="480" w:firstLineChars="200"/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自研可以降低公司自己的研发和实施成本</w:t>
      </w:r>
    </w:p>
    <w:p w14:paraId="495A84A0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多租户与架构统一，便于集团内部及对接多行业、SaaS市场的快速复制和低成本运维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主要体现在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5B0296E0">
      <w:pPr>
        <w:numPr>
          <w:ilvl w:val="0"/>
          <w:numId w:val="3"/>
        </w:numPr>
        <w:spacing w:line="360" w:lineRule="auto"/>
        <w:ind w:firstLine="480" w:firstLineChars="200"/>
        <w:rPr>
          <w:rFonts w:hint="default" w:ascii="宋体" w:hAnsi="宋体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多租户能力具备一套当多套用的效果，采购多租户版的数据治理产品成本会上升。</w:t>
      </w:r>
    </w:p>
    <w:p w14:paraId="361F5D31">
      <w:pPr>
        <w:numPr>
          <w:ilvl w:val="0"/>
          <w:numId w:val="3"/>
        </w:numPr>
        <w:spacing w:line="360" w:lineRule="auto"/>
        <w:ind w:firstLine="480" w:firstLineChars="200"/>
        <w:rPr>
          <w:rFonts w:hint="default" w:ascii="宋体" w:hAnsi="宋体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可以整合各个自研产品，提供统一规范，快速对接各个交付项目。</w:t>
      </w:r>
    </w:p>
    <w:p w14:paraId="309EC964">
      <w:pPr>
        <w:pStyle w:val="11"/>
        <w:numPr>
          <w:ilvl w:val="0"/>
          <w:numId w:val="1"/>
        </w:numPr>
        <w:jc w:val="both"/>
      </w:pPr>
      <w:bookmarkStart w:id="63" w:name="_Toc128973104"/>
      <w:bookmarkStart w:id="64" w:name="_Toc27506"/>
      <w:bookmarkStart w:id="65" w:name="_Toc130805945"/>
      <w:bookmarkStart w:id="66" w:name="_Toc130805735"/>
      <w:bookmarkStart w:id="67" w:name="_Toc130812098"/>
      <w:bookmarkStart w:id="68" w:name="_Toc293051408"/>
      <w:bookmarkStart w:id="69" w:name="_Toc130805374"/>
      <w:r>
        <w:rPr>
          <w:rFonts w:hint="eastAsia"/>
        </w:rPr>
        <w:t>项目实现方案分析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6A0BDF2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70" w:name="_Toc130812099"/>
      <w:bookmarkStart w:id="71" w:name="_Toc130805375"/>
      <w:bookmarkStart w:id="72" w:name="_Toc293051409"/>
      <w:bookmarkStart w:id="73" w:name="_Toc130805736"/>
      <w:bookmarkStart w:id="74" w:name="_Toc128973105"/>
      <w:bookmarkStart w:id="75" w:name="_Toc130805946"/>
      <w:bookmarkStart w:id="76" w:name="_Toc5524"/>
      <w:r>
        <w:rPr>
          <w:rFonts w:hint="eastAsia"/>
          <w:b w:val="0"/>
          <w:sz w:val="28"/>
          <w:szCs w:val="28"/>
        </w:rPr>
        <w:t>产品概念、市场定位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6FA3C4BA">
      <w:pPr>
        <w:spacing w:line="360" w:lineRule="auto"/>
        <w:ind w:firstLine="482" w:firstLineChars="200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产品概念：</w:t>
      </w:r>
    </w:p>
    <w:p w14:paraId="54B9EC6F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满足数据质量监管、高实时数据采集和分行业多租户SaaS需求的创新型平台。</w:t>
      </w:r>
    </w:p>
    <w:p w14:paraId="7BB04FD6">
      <w:pPr>
        <w:spacing w:line="360" w:lineRule="auto"/>
        <w:ind w:firstLine="482" w:firstLineChars="200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市场定位：</w:t>
      </w:r>
    </w:p>
    <w:p w14:paraId="64E85D73">
      <w:pPr>
        <w:spacing w:line="360" w:lineRule="auto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面向行业数据治理、AI大模型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的知识治理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、物联网等企业客户，支撑定制化和多平台集成交付。</w:t>
      </w:r>
    </w:p>
    <w:p w14:paraId="4155E43C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77" w:name="_Toc293051410"/>
      <w:bookmarkStart w:id="78" w:name="_Toc10922"/>
      <w:r>
        <w:rPr>
          <w:rFonts w:hint="eastAsia"/>
          <w:b w:val="0"/>
          <w:sz w:val="28"/>
          <w:szCs w:val="28"/>
        </w:rPr>
        <w:t>项目主要研究内容：（拟实现目标，完成功能，拟采用技术）</w:t>
      </w:r>
      <w:bookmarkEnd w:id="77"/>
      <w:bookmarkEnd w:id="78"/>
    </w:p>
    <w:p w14:paraId="6F0F5DA5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数据质量监控和自定义质量规则引擎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多角度监控数据质量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2C4C1F0E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支持高并发、高实时性数据采集与背压处理能力</w:t>
      </w:r>
    </w:p>
    <w:p w14:paraId="022E9B3A"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硬件环境：在企业测8c16g的虚拟机上</w:t>
      </w:r>
    </w:p>
    <w:p w14:paraId="5F7CACED"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性能要求：完成800点位的并发报警业务的运行，包括采集、计算、存储，其中计算涉及到千万级历史数据的比对</w:t>
      </w:r>
    </w:p>
    <w:p w14:paraId="60F2D289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平台编排和运行可观测性体系设计，实现端到端运行透明</w:t>
      </w:r>
    </w:p>
    <w:p w14:paraId="4DDA479A"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目标：监控关键链路与运行数据计算，减少实施和运维成本，降低运维门槛。</w:t>
      </w:r>
    </w:p>
    <w:p w14:paraId="0C654685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多租户、统一认证与资源整合架构</w:t>
      </w:r>
    </w:p>
    <w:p w14:paraId="17151560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国产数据库、数仓、存储中间件适配</w:t>
      </w:r>
    </w:p>
    <w:p w14:paraId="18053C3D"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目标：基于已知项目中的政务云人大金仓、达梦、神通等国产化数据库，RDS、MRS等中间进行版本升级适配</w:t>
      </w:r>
    </w:p>
    <w:p w14:paraId="038C5E7C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计费计量及能力PaaS化</w:t>
      </w:r>
    </w:p>
    <w:p w14:paraId="642A1875"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目标：AI产品使用大模型的计量和分账，不涉及财务系统</w:t>
      </w:r>
    </w:p>
    <w:p w14:paraId="3B116981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79" w:name="_Toc130805737"/>
      <w:bookmarkStart w:id="80" w:name="_Toc293051411"/>
      <w:bookmarkStart w:id="81" w:name="_Toc130805947"/>
      <w:bookmarkStart w:id="82" w:name="_Toc130805376"/>
      <w:bookmarkStart w:id="83" w:name="_Toc128973106"/>
      <w:bookmarkStart w:id="84" w:name="_Toc19111"/>
      <w:bookmarkStart w:id="85" w:name="_Toc130812100"/>
      <w:r>
        <w:rPr>
          <w:rFonts w:hint="eastAsia"/>
          <w:b w:val="0"/>
          <w:sz w:val="28"/>
          <w:szCs w:val="28"/>
        </w:rPr>
        <w:t>项目软硬件环境</w:t>
      </w:r>
      <w:bookmarkEnd w:id="79"/>
      <w:bookmarkEnd w:id="80"/>
      <w:bookmarkEnd w:id="81"/>
      <w:bookmarkEnd w:id="82"/>
      <w:bookmarkEnd w:id="83"/>
      <w:bookmarkEnd w:id="84"/>
      <w:bookmarkEnd w:id="85"/>
    </w:p>
    <w:p w14:paraId="26094505">
      <w:pPr>
        <w:spacing w:line="360" w:lineRule="auto"/>
        <w:ind w:firstLine="480" w:firstLineChars="200"/>
        <w:rPr>
          <w:rFonts w:hint="eastAsia" w:ascii="宋体" w:hAnsi="宋体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在公司内部现有环境中进行开发</w:t>
      </w:r>
      <w:r>
        <w:rPr>
          <w:rFonts w:hint="eastAsia" w:ascii="宋体" w:hAnsi="宋体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 w14:paraId="29A8710A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项目部署的基础实施要求：</w:t>
      </w:r>
    </w:p>
    <w:p w14:paraId="408D166E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数据计算引擎：8c16g 磁盘100G</w:t>
      </w:r>
    </w:p>
    <w:p w14:paraId="48537C3A">
      <w:pPr>
        <w:spacing w:line="360" w:lineRule="auto"/>
        <w:ind w:firstLine="480" w:firstLineChars="200"/>
        <w:rPr>
          <w:rFonts w:hint="default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配置库：2c4g 磁盘 200G</w:t>
      </w:r>
    </w:p>
    <w:p w14:paraId="4CA98B69">
      <w:pPr>
        <w:pStyle w:val="11"/>
        <w:numPr>
          <w:ilvl w:val="1"/>
          <w:numId w:val="1"/>
        </w:numPr>
        <w:jc w:val="both"/>
        <w:rPr>
          <w:rStyle w:val="29"/>
          <w:b w:val="0"/>
          <w:i w:val="0"/>
          <w:iCs w:val="0"/>
          <w:color w:val="auto"/>
          <w:sz w:val="28"/>
          <w:szCs w:val="28"/>
        </w:rPr>
      </w:pPr>
      <w:bookmarkStart w:id="86" w:name="_Toc16353"/>
      <w:bookmarkStart w:id="87" w:name="_Toc293051412"/>
      <w:bookmarkStart w:id="88" w:name="_Toc130805377"/>
      <w:bookmarkStart w:id="89" w:name="_Toc130812101"/>
      <w:bookmarkStart w:id="90" w:name="_Toc130805738"/>
      <w:bookmarkStart w:id="91" w:name="_Toc128973107"/>
      <w:bookmarkStart w:id="92" w:name="_Toc130805948"/>
      <w:r>
        <w:rPr>
          <w:rFonts w:hint="eastAsia"/>
          <w:b w:val="0"/>
          <w:sz w:val="28"/>
          <w:szCs w:val="28"/>
        </w:rPr>
        <w:t>项目的技术方案</w:t>
      </w:r>
      <w:bookmarkEnd w:id="86"/>
      <w:bookmarkEnd w:id="87"/>
      <w:bookmarkEnd w:id="88"/>
      <w:bookmarkEnd w:id="89"/>
      <w:bookmarkEnd w:id="90"/>
      <w:bookmarkEnd w:id="91"/>
      <w:bookmarkEnd w:id="92"/>
    </w:p>
    <w:p w14:paraId="1F5616A2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93" w:name="_Toc128973108"/>
      <w:bookmarkStart w:id="94" w:name="_Toc130805739"/>
      <w:bookmarkStart w:id="95" w:name="_Toc130812102"/>
      <w:bookmarkStart w:id="96" w:name="_Toc130805949"/>
      <w:bookmarkStart w:id="97" w:name="_Toc293051413"/>
      <w:bookmarkStart w:id="98" w:name="_Toc18386"/>
      <w:bookmarkStart w:id="99" w:name="_Toc130805378"/>
      <w:r>
        <w:rPr>
          <w:rFonts w:hint="eastAsia"/>
          <w:b w:val="0"/>
          <w:sz w:val="28"/>
          <w:szCs w:val="28"/>
        </w:rPr>
        <w:t>技术架构体系或模型</w:t>
      </w:r>
      <w:bookmarkEnd w:id="93"/>
      <w:bookmarkEnd w:id="94"/>
      <w:bookmarkEnd w:id="95"/>
      <w:bookmarkEnd w:id="96"/>
      <w:bookmarkEnd w:id="97"/>
      <w:bookmarkEnd w:id="98"/>
      <w:bookmarkEnd w:id="99"/>
    </w:p>
    <w:p w14:paraId="50075CF7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微服务架构，容器化部署，支持多租户与认证集成</w:t>
      </w:r>
    </w:p>
    <w:p w14:paraId="4EAF1E28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实现流程监控、资源消耗分析、计费计量组件</w:t>
      </w:r>
    </w:p>
    <w:p w14:paraId="56362B83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数据背压通过消息中间件、队列/流控和动态扩缩容实现</w:t>
      </w:r>
    </w:p>
    <w:p w14:paraId="178368FC">
      <w:pPr>
        <w:pStyle w:val="11"/>
        <w:numPr>
          <w:ilvl w:val="2"/>
          <w:numId w:val="1"/>
        </w:numPr>
        <w:jc w:val="both"/>
        <w:rPr>
          <w:rStyle w:val="29"/>
          <w:b w:val="0"/>
          <w:i w:val="0"/>
          <w:iCs w:val="0"/>
          <w:color w:val="auto"/>
          <w:sz w:val="28"/>
          <w:szCs w:val="28"/>
        </w:rPr>
      </w:pPr>
      <w:bookmarkStart w:id="100" w:name="_Toc130805950"/>
      <w:bookmarkStart w:id="101" w:name="_Toc130812103"/>
      <w:bookmarkStart w:id="102" w:name="_Toc128973109"/>
      <w:bookmarkStart w:id="103" w:name="_Toc130805379"/>
      <w:bookmarkStart w:id="104" w:name="_Toc130805740"/>
      <w:bookmarkStart w:id="105" w:name="_Toc293051414"/>
      <w:bookmarkStart w:id="106" w:name="_Toc912"/>
      <w:r>
        <w:rPr>
          <w:rFonts w:hint="eastAsia"/>
          <w:b w:val="0"/>
          <w:sz w:val="28"/>
          <w:szCs w:val="28"/>
        </w:rPr>
        <w:t>备选技术方案一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275F568D">
      <w:pPr>
        <w:pStyle w:val="11"/>
        <w:numPr>
          <w:ilvl w:val="3"/>
          <w:numId w:val="1"/>
        </w:numPr>
        <w:jc w:val="both"/>
        <w:rPr>
          <w:b w:val="0"/>
          <w:sz w:val="24"/>
          <w:szCs w:val="24"/>
        </w:rPr>
      </w:pPr>
      <w:bookmarkStart w:id="107" w:name="_Toc130805951"/>
      <w:bookmarkStart w:id="108" w:name="_Toc130805380"/>
      <w:bookmarkStart w:id="109" w:name="_Toc30294"/>
      <w:bookmarkStart w:id="110" w:name="_Toc130812104"/>
      <w:bookmarkStart w:id="111" w:name="_Toc293051415"/>
      <w:bookmarkStart w:id="112" w:name="_Toc130805741"/>
      <w:bookmarkStart w:id="113" w:name="_Toc128973110"/>
      <w:r>
        <w:rPr>
          <w:rFonts w:hint="eastAsia"/>
          <w:b w:val="0"/>
          <w:sz w:val="24"/>
          <w:szCs w:val="24"/>
        </w:rPr>
        <w:t>方案描述</w:t>
      </w:r>
      <w:bookmarkEnd w:id="107"/>
      <w:bookmarkEnd w:id="108"/>
      <w:bookmarkEnd w:id="109"/>
      <w:bookmarkEnd w:id="110"/>
      <w:bookmarkEnd w:id="111"/>
      <w:bookmarkEnd w:id="112"/>
      <w:bookmarkEnd w:id="113"/>
    </w:p>
    <w:p w14:paraId="0A05ED3D">
      <w:pPr>
        <w:pStyle w:val="35"/>
        <w:numPr>
          <w:ilvl w:val="0"/>
          <w:numId w:val="5"/>
        </w:numPr>
        <w:spacing w:line="360" w:lineRule="auto"/>
        <w:ind w:left="420" w:leftChars="0" w:hanging="420" w:firstLineChars="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基于现有Empower微服务架构，增量升级重点功能模块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206AE254">
      <w:pPr>
        <w:pStyle w:val="11"/>
        <w:numPr>
          <w:ilvl w:val="3"/>
          <w:numId w:val="1"/>
        </w:numPr>
        <w:jc w:val="both"/>
        <w:rPr>
          <w:b w:val="0"/>
          <w:sz w:val="24"/>
          <w:szCs w:val="24"/>
        </w:rPr>
      </w:pPr>
      <w:bookmarkStart w:id="114" w:name="_Toc130812105"/>
      <w:bookmarkStart w:id="115" w:name="_Toc293051416"/>
      <w:bookmarkStart w:id="116" w:name="_Toc130805952"/>
      <w:bookmarkStart w:id="117" w:name="_Toc128973111"/>
      <w:bookmarkStart w:id="118" w:name="_Toc2552"/>
      <w:bookmarkStart w:id="119" w:name="_Toc130805381"/>
      <w:bookmarkStart w:id="120" w:name="_Toc130805742"/>
      <w:r>
        <w:rPr>
          <w:rFonts w:hint="eastAsia"/>
          <w:b w:val="0"/>
          <w:sz w:val="24"/>
          <w:szCs w:val="24"/>
        </w:rPr>
        <w:t>优缺点及投资费用估算</w:t>
      </w:r>
      <w:bookmarkEnd w:id="114"/>
      <w:bookmarkEnd w:id="115"/>
      <w:bookmarkEnd w:id="116"/>
      <w:bookmarkEnd w:id="117"/>
      <w:bookmarkEnd w:id="118"/>
      <w:bookmarkEnd w:id="119"/>
      <w:bookmarkEnd w:id="120"/>
    </w:p>
    <w:p w14:paraId="6AAFB013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优点：迭代快，风险低，团队熟悉度高</w:t>
      </w:r>
    </w:p>
    <w:p w14:paraId="3CE15188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缺点：需克服历史遗留架构约束</w:t>
      </w:r>
    </w:p>
    <w:p w14:paraId="08AC700F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121" w:name="_Toc130805953"/>
      <w:bookmarkStart w:id="122" w:name="_Toc130812106"/>
      <w:bookmarkStart w:id="123" w:name="_Toc130805382"/>
      <w:bookmarkStart w:id="124" w:name="_Toc128973112"/>
      <w:bookmarkStart w:id="125" w:name="_Toc130805743"/>
      <w:bookmarkStart w:id="126" w:name="_Toc293051417"/>
      <w:bookmarkStart w:id="127" w:name="_Toc12646"/>
      <w:r>
        <w:rPr>
          <w:rFonts w:hint="eastAsia"/>
          <w:b w:val="0"/>
          <w:sz w:val="28"/>
          <w:szCs w:val="28"/>
        </w:rPr>
        <w:t>备选技术方案二</w:t>
      </w:r>
      <w:bookmarkEnd w:id="121"/>
      <w:bookmarkEnd w:id="122"/>
      <w:bookmarkEnd w:id="123"/>
      <w:bookmarkEnd w:id="124"/>
      <w:bookmarkEnd w:id="125"/>
      <w:bookmarkEnd w:id="126"/>
      <w:bookmarkEnd w:id="127"/>
    </w:p>
    <w:p w14:paraId="5A53A94B">
      <w:pPr>
        <w:pStyle w:val="11"/>
        <w:numPr>
          <w:ilvl w:val="3"/>
          <w:numId w:val="1"/>
        </w:numPr>
        <w:jc w:val="both"/>
        <w:rPr>
          <w:b w:val="0"/>
          <w:sz w:val="24"/>
          <w:szCs w:val="24"/>
        </w:rPr>
      </w:pPr>
      <w:bookmarkStart w:id="128" w:name="_Toc130805954"/>
      <w:bookmarkStart w:id="129" w:name="_Toc128973113"/>
      <w:bookmarkStart w:id="130" w:name="_Toc24972"/>
      <w:bookmarkStart w:id="131" w:name="_Toc130812107"/>
      <w:bookmarkStart w:id="132" w:name="_Toc130805383"/>
      <w:bookmarkStart w:id="133" w:name="_Toc293051418"/>
      <w:bookmarkStart w:id="134" w:name="_Toc130805744"/>
      <w:r>
        <w:rPr>
          <w:rFonts w:hint="eastAsia"/>
          <w:b w:val="0"/>
          <w:sz w:val="24"/>
          <w:szCs w:val="24"/>
        </w:rPr>
        <w:t>方案描述</w:t>
      </w:r>
      <w:bookmarkEnd w:id="128"/>
      <w:bookmarkEnd w:id="129"/>
      <w:bookmarkEnd w:id="130"/>
      <w:bookmarkEnd w:id="131"/>
      <w:bookmarkEnd w:id="132"/>
      <w:bookmarkEnd w:id="133"/>
      <w:bookmarkEnd w:id="134"/>
    </w:p>
    <w:p w14:paraId="5C7A0D76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构建新一代多租户底座，重构统一认证和资源整合</w:t>
      </w:r>
    </w:p>
    <w:p w14:paraId="51634E85">
      <w:pPr>
        <w:pStyle w:val="11"/>
        <w:numPr>
          <w:ilvl w:val="3"/>
          <w:numId w:val="1"/>
        </w:numPr>
        <w:jc w:val="both"/>
        <w:rPr>
          <w:b w:val="0"/>
          <w:sz w:val="24"/>
          <w:szCs w:val="24"/>
        </w:rPr>
      </w:pPr>
      <w:bookmarkStart w:id="135" w:name="_Toc130805955"/>
      <w:bookmarkStart w:id="136" w:name="_Toc130805745"/>
      <w:bookmarkStart w:id="137" w:name="_Toc128973114"/>
      <w:bookmarkStart w:id="138" w:name="_Toc13684"/>
      <w:bookmarkStart w:id="139" w:name="_Toc130805384"/>
      <w:bookmarkStart w:id="140" w:name="_Toc130812108"/>
      <w:bookmarkStart w:id="141" w:name="_Toc293051419"/>
      <w:r>
        <w:rPr>
          <w:rFonts w:hint="eastAsia"/>
          <w:b w:val="0"/>
          <w:sz w:val="24"/>
          <w:szCs w:val="24"/>
        </w:rPr>
        <w:t>优缺点及及投资费用估算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04327BC4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142" w:name="_Toc128973115"/>
      <w:bookmarkStart w:id="143" w:name="_Toc293051420"/>
      <w:bookmarkStart w:id="144" w:name="_Toc130805956"/>
      <w:bookmarkStart w:id="145" w:name="_Toc130805385"/>
      <w:bookmarkStart w:id="146" w:name="_Toc130812109"/>
      <w:bookmarkStart w:id="147" w:name="_Toc130805746"/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优点：架构先进，利于规模扩展</w:t>
      </w:r>
    </w:p>
    <w:p w14:paraId="04865579">
      <w:pPr>
        <w:numPr>
          <w:ilvl w:val="0"/>
          <w:numId w:val="4"/>
        </w:numPr>
        <w:spacing w:line="360" w:lineRule="auto"/>
        <w:ind w:left="420" w:leftChars="0" w:hanging="420" w:firstLineChars="0"/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缺点：初期开发投入大，迁移难度高</w:t>
      </w:r>
    </w:p>
    <w:bookmarkEnd w:id="142"/>
    <w:bookmarkEnd w:id="143"/>
    <w:bookmarkEnd w:id="144"/>
    <w:bookmarkEnd w:id="145"/>
    <w:bookmarkEnd w:id="146"/>
    <w:bookmarkEnd w:id="147"/>
    <w:p w14:paraId="14D56693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148" w:name="_Toc130805749"/>
      <w:bookmarkStart w:id="149" w:name="_Toc130805388"/>
      <w:bookmarkStart w:id="150" w:name="_Toc130812112"/>
      <w:bookmarkStart w:id="151" w:name="_Toc293051423"/>
      <w:bookmarkStart w:id="152" w:name="_Toc130805959"/>
      <w:bookmarkStart w:id="153" w:name="_Toc128973118"/>
      <w:bookmarkStart w:id="154" w:name="_Toc28655"/>
      <w:r>
        <w:rPr>
          <w:rFonts w:hint="eastAsia"/>
          <w:b w:val="0"/>
          <w:sz w:val="28"/>
          <w:szCs w:val="28"/>
        </w:rPr>
        <w:t>最终技术解决方案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2356CDFA">
      <w:pPr>
        <w:spacing w:line="360" w:lineRule="auto"/>
        <w:ind w:firstLine="480" w:firstLineChars="200"/>
        <w:rPr>
          <w:rStyle w:val="29"/>
          <w:rFonts w:ascii="宋体" w:hAnsi="宋体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建议基于现有Empower架构做增量升级，结合新一代多租户方案和国产适配模块，实现平滑迭代和高性价比升级。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393DC78E">
      <w:pPr>
        <w:pStyle w:val="11"/>
        <w:numPr>
          <w:ilvl w:val="1"/>
          <w:numId w:val="1"/>
        </w:numPr>
        <w:jc w:val="both"/>
        <w:rPr>
          <w:rStyle w:val="29"/>
          <w:b w:val="0"/>
          <w:i w:val="0"/>
          <w:iCs w:val="0"/>
          <w:color w:val="auto"/>
          <w:sz w:val="28"/>
          <w:szCs w:val="28"/>
        </w:rPr>
      </w:pPr>
      <w:bookmarkStart w:id="155" w:name="_Toc16740"/>
      <w:bookmarkStart w:id="156" w:name="_Toc293051424"/>
      <w:bookmarkStart w:id="157" w:name="_Toc130805960"/>
      <w:bookmarkStart w:id="158" w:name="_Toc128973119"/>
      <w:bookmarkStart w:id="159" w:name="_Toc130805750"/>
      <w:bookmarkStart w:id="160" w:name="_Toc130805389"/>
      <w:bookmarkStart w:id="161" w:name="_Toc130812113"/>
      <w:r>
        <w:rPr>
          <w:rFonts w:hint="eastAsia"/>
          <w:b w:val="0"/>
          <w:sz w:val="28"/>
          <w:szCs w:val="28"/>
        </w:rPr>
        <w:t>项目组织方案</w:t>
      </w:r>
      <w:bookmarkEnd w:id="155"/>
      <w:bookmarkEnd w:id="156"/>
    </w:p>
    <w:tbl>
      <w:tblPr>
        <w:tblStyle w:val="14"/>
        <w:tblpPr w:leftFromText="180" w:rightFromText="180" w:vertAnchor="text" w:horzAnchor="margin" w:tblpXSpec="center" w:tblpY="76"/>
        <w:tblOverlap w:val="never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1"/>
        <w:gridCol w:w="1985"/>
        <w:gridCol w:w="2835"/>
      </w:tblGrid>
      <w:tr w14:paraId="7E2BF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71" w:type="dxa"/>
            <w:vAlign w:val="center"/>
          </w:tcPr>
          <w:p w14:paraId="0D09D769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4D99926A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所属公司</w:t>
            </w:r>
          </w:p>
        </w:tc>
        <w:tc>
          <w:tcPr>
            <w:tcW w:w="1985" w:type="dxa"/>
            <w:vAlign w:val="center"/>
          </w:tcPr>
          <w:p w14:paraId="1792B9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所属部门</w:t>
            </w:r>
          </w:p>
        </w:tc>
        <w:tc>
          <w:tcPr>
            <w:tcW w:w="2835" w:type="dxa"/>
            <w:vAlign w:val="center"/>
          </w:tcPr>
          <w:p w14:paraId="72F5CB57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承担工作</w:t>
            </w:r>
          </w:p>
        </w:tc>
      </w:tr>
      <w:tr w14:paraId="64043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71" w:type="dxa"/>
            <w:vAlign w:val="center"/>
          </w:tcPr>
          <w:p w14:paraId="76EB3C78">
            <w:pPr>
              <w:spacing w:line="360" w:lineRule="auto"/>
              <w:jc w:val="center"/>
              <w:textAlignment w:val="baseline"/>
              <w:rPr>
                <w:rFonts w:hint="eastAsia" w:ascii="宋体" w:hAnsi="宋体" w:eastAsia="宋体"/>
                <w:sz w:val="24"/>
                <w:lang w:eastAsia="zh-CN"/>
              </w:rPr>
            </w:pPr>
            <w:bookmarkStart w:id="162" w:name="xm1"/>
            <w:bookmarkEnd w:id="162"/>
            <w:r>
              <w:rPr>
                <w:rFonts w:hint="eastAsia" w:ascii="宋体" w:hAnsi="宋体"/>
                <w:sz w:val="24"/>
              </w:rPr>
              <w:t>赵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联胜</w:t>
            </w:r>
          </w:p>
        </w:tc>
        <w:tc>
          <w:tcPr>
            <w:tcW w:w="1701" w:type="dxa"/>
            <w:vAlign w:val="center"/>
          </w:tcPr>
          <w:p w14:paraId="397BD1F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bookmarkStart w:id="163" w:name="dw1"/>
            <w:bookmarkEnd w:id="163"/>
            <w:bookmarkStart w:id="164" w:name="xb1"/>
            <w:bookmarkEnd w:id="164"/>
            <w:r>
              <w:rPr>
                <w:rFonts w:hint="eastAsia" w:ascii="宋体" w:hAnsi="宋体"/>
                <w:sz w:val="24"/>
              </w:rPr>
              <w:t>擎天科技</w:t>
            </w:r>
          </w:p>
        </w:tc>
        <w:tc>
          <w:tcPr>
            <w:tcW w:w="1985" w:type="dxa"/>
            <w:vAlign w:val="center"/>
          </w:tcPr>
          <w:p w14:paraId="5E339D44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bookmarkStart w:id="165" w:name="zc1"/>
            <w:bookmarkEnd w:id="165"/>
            <w:r>
              <w:rPr>
                <w:rFonts w:hint="eastAsia" w:ascii="宋体" w:hAnsi="宋体"/>
                <w:sz w:val="24"/>
                <w:lang w:val="en-US" w:eastAsia="zh-CN"/>
              </w:rPr>
              <w:t>产品与技术创新中心</w:t>
            </w:r>
          </w:p>
        </w:tc>
        <w:tc>
          <w:tcPr>
            <w:tcW w:w="2835" w:type="dxa"/>
            <w:vAlign w:val="center"/>
          </w:tcPr>
          <w:p w14:paraId="7D25290B">
            <w:pPr>
              <w:spacing w:line="360" w:lineRule="auto"/>
              <w:jc w:val="center"/>
              <w:textAlignment w:val="baseline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产品和业务设计拉通需求和开发推进落地应用</w:t>
            </w:r>
            <w:r>
              <w:rPr>
                <w:rFonts w:hint="eastAsia" w:ascii="宋体" w:hAnsi="宋体"/>
                <w:sz w:val="24"/>
                <w:lang w:eastAsia="zh-CN"/>
              </w:rPr>
              <w:t>；</w:t>
            </w:r>
          </w:p>
          <w:p w14:paraId="127E9743">
            <w:pPr>
              <w:spacing w:line="360" w:lineRule="auto"/>
              <w:jc w:val="center"/>
              <w:textAlignment w:val="baseline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技术框架设计</w:t>
            </w:r>
          </w:p>
        </w:tc>
        <w:bookmarkStart w:id="166" w:name="cdgz1"/>
        <w:bookmarkEnd w:id="166"/>
      </w:tr>
      <w:tr w14:paraId="7BAE2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71" w:type="dxa"/>
            <w:vAlign w:val="center"/>
          </w:tcPr>
          <w:p w14:paraId="4D47651F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bookmarkStart w:id="167" w:name="xm2"/>
            <w:bookmarkEnd w:id="167"/>
            <w:bookmarkStart w:id="168" w:name="xm4"/>
            <w:bookmarkEnd w:id="168"/>
            <w:r>
              <w:rPr>
                <w:rFonts w:hint="eastAsia" w:ascii="宋体" w:hAnsi="宋体"/>
                <w:sz w:val="24"/>
              </w:rPr>
              <w:t>宦盈</w:t>
            </w:r>
          </w:p>
        </w:tc>
        <w:tc>
          <w:tcPr>
            <w:tcW w:w="1701" w:type="dxa"/>
            <w:vAlign w:val="center"/>
          </w:tcPr>
          <w:p w14:paraId="46FF3C50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bookmarkStart w:id="169" w:name="dw4"/>
            <w:bookmarkEnd w:id="169"/>
            <w:bookmarkStart w:id="170" w:name="xb4"/>
            <w:bookmarkEnd w:id="170"/>
            <w:r>
              <w:rPr>
                <w:rFonts w:hint="eastAsia" w:ascii="宋体" w:hAnsi="宋体"/>
                <w:sz w:val="24"/>
              </w:rPr>
              <w:t>擎天科技</w:t>
            </w:r>
          </w:p>
        </w:tc>
        <w:tc>
          <w:tcPr>
            <w:tcW w:w="1985" w:type="dxa"/>
            <w:vAlign w:val="center"/>
          </w:tcPr>
          <w:p w14:paraId="48B9B209">
            <w:pPr>
              <w:spacing w:line="360" w:lineRule="auto"/>
              <w:jc w:val="center"/>
              <w:textAlignment w:val="baseline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171" w:name="zc4"/>
            <w:bookmarkEnd w:id="171"/>
            <w:r>
              <w:rPr>
                <w:rFonts w:hint="eastAsia" w:ascii="宋体" w:hAnsi="宋体"/>
                <w:sz w:val="24"/>
                <w:lang w:val="en-US" w:eastAsia="zh-CN"/>
              </w:rPr>
              <w:t>用户体验组</w:t>
            </w:r>
          </w:p>
        </w:tc>
        <w:tc>
          <w:tcPr>
            <w:tcW w:w="2835" w:type="dxa"/>
            <w:vAlign w:val="center"/>
          </w:tcPr>
          <w:p w14:paraId="16EFEF78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交互设计</w:t>
            </w:r>
          </w:p>
        </w:tc>
        <w:bookmarkStart w:id="172" w:name="cdgz4"/>
        <w:bookmarkEnd w:id="172"/>
      </w:tr>
      <w:tr w14:paraId="7FFB5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71" w:type="dxa"/>
            <w:vAlign w:val="center"/>
          </w:tcPr>
          <w:p w14:paraId="1D8B2DE0">
            <w:pPr>
              <w:spacing w:line="360" w:lineRule="auto"/>
              <w:jc w:val="center"/>
              <w:textAlignment w:val="baseline"/>
              <w:rPr>
                <w:rFonts w:hint="eastAsia" w:ascii="宋体" w:hAnsi="宋体"/>
                <w:sz w:val="24"/>
                <w:lang w:val="en-US" w:eastAsia="zh-CN"/>
              </w:rPr>
            </w:pPr>
            <w:bookmarkStart w:id="173" w:name="xm5"/>
            <w:bookmarkEnd w:id="173"/>
            <w:r>
              <w:rPr>
                <w:rFonts w:hint="eastAsia" w:ascii="宋体" w:hAnsi="宋体"/>
                <w:sz w:val="24"/>
                <w:lang w:val="en-US" w:eastAsia="zh-CN"/>
              </w:rPr>
              <w:t>吴振国</w:t>
            </w:r>
          </w:p>
          <w:p w14:paraId="65C1489E">
            <w:pPr>
              <w:spacing w:line="360" w:lineRule="auto"/>
              <w:jc w:val="center"/>
              <w:textAlignment w:val="baseline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汤殿洋</w:t>
            </w:r>
          </w:p>
          <w:p w14:paraId="23B8BD5B">
            <w:pPr>
              <w:spacing w:line="360" w:lineRule="auto"/>
              <w:jc w:val="center"/>
              <w:textAlignment w:val="baseline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徐非凡</w:t>
            </w:r>
          </w:p>
        </w:tc>
        <w:tc>
          <w:tcPr>
            <w:tcW w:w="1701" w:type="dxa"/>
            <w:vAlign w:val="center"/>
          </w:tcPr>
          <w:p w14:paraId="430BCE2F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bookmarkStart w:id="174" w:name="dw5"/>
            <w:bookmarkEnd w:id="174"/>
            <w:bookmarkStart w:id="175" w:name="xb5"/>
            <w:bookmarkEnd w:id="175"/>
            <w:r>
              <w:rPr>
                <w:rFonts w:hint="eastAsia" w:ascii="宋体" w:hAnsi="宋体"/>
                <w:sz w:val="24"/>
              </w:rPr>
              <w:t>擎天科技</w:t>
            </w:r>
          </w:p>
        </w:tc>
        <w:tc>
          <w:tcPr>
            <w:tcW w:w="1985" w:type="dxa"/>
            <w:vAlign w:val="center"/>
          </w:tcPr>
          <w:p w14:paraId="36F1B36C">
            <w:pPr>
              <w:spacing w:line="360" w:lineRule="auto"/>
              <w:jc w:val="center"/>
              <w:textAlignment w:val="baseline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176" w:name="zc5"/>
            <w:bookmarkEnd w:id="176"/>
            <w:r>
              <w:rPr>
                <w:rFonts w:hint="eastAsia" w:ascii="宋体" w:hAnsi="宋体"/>
                <w:sz w:val="24"/>
                <w:lang w:val="en-US" w:eastAsia="zh-CN"/>
              </w:rPr>
              <w:t>产品与技术创新中心</w:t>
            </w:r>
          </w:p>
        </w:tc>
        <w:tc>
          <w:tcPr>
            <w:tcW w:w="2835" w:type="dxa"/>
            <w:vAlign w:val="center"/>
          </w:tcPr>
          <w:p w14:paraId="717D019C">
            <w:pPr>
              <w:spacing w:line="360" w:lineRule="auto"/>
              <w:jc w:val="center"/>
              <w:textAlignment w:val="baseline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研发</w:t>
            </w:r>
          </w:p>
        </w:tc>
        <w:bookmarkStart w:id="177" w:name="cdgz5"/>
        <w:bookmarkEnd w:id="177"/>
      </w:tr>
      <w:tr w14:paraId="79C08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71" w:type="dxa"/>
            <w:vAlign w:val="center"/>
          </w:tcPr>
          <w:p w14:paraId="49500375">
            <w:pPr>
              <w:spacing w:line="360" w:lineRule="auto"/>
              <w:jc w:val="center"/>
              <w:textAlignment w:val="baseline"/>
              <w:rPr>
                <w:rFonts w:hint="eastAsia" w:ascii="宋体" w:hAnsi="宋体" w:eastAsia="宋体"/>
                <w:sz w:val="24"/>
                <w:lang w:eastAsia="zh-CN"/>
              </w:rPr>
            </w:pPr>
            <w:bookmarkStart w:id="178" w:name="xm9"/>
            <w:bookmarkEnd w:id="178"/>
            <w:bookmarkStart w:id="179" w:name="xm8"/>
            <w:bookmarkEnd w:id="179"/>
            <w:bookmarkStart w:id="180" w:name="xm7"/>
            <w:bookmarkEnd w:id="180"/>
            <w:bookmarkStart w:id="181" w:name="xm6"/>
            <w:bookmarkEnd w:id="181"/>
            <w:r>
              <w:rPr>
                <w:rFonts w:hint="eastAsia" w:ascii="宋体" w:hAnsi="宋体"/>
                <w:sz w:val="24"/>
                <w:lang w:val="en-US" w:eastAsia="zh-CN"/>
              </w:rPr>
              <w:t>柳顺顺</w:t>
            </w:r>
          </w:p>
        </w:tc>
        <w:tc>
          <w:tcPr>
            <w:tcW w:w="1701" w:type="dxa"/>
            <w:vAlign w:val="center"/>
          </w:tcPr>
          <w:p w14:paraId="1DA1881B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擎天科技</w:t>
            </w:r>
          </w:p>
        </w:tc>
        <w:tc>
          <w:tcPr>
            <w:tcW w:w="1985" w:type="dxa"/>
            <w:vAlign w:val="center"/>
          </w:tcPr>
          <w:p w14:paraId="58EF3D2A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产品与技术创新中心</w:t>
            </w:r>
          </w:p>
        </w:tc>
        <w:tc>
          <w:tcPr>
            <w:tcW w:w="2835" w:type="dxa"/>
            <w:vAlign w:val="center"/>
          </w:tcPr>
          <w:p w14:paraId="6D0A476D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运维</w:t>
            </w:r>
          </w:p>
        </w:tc>
      </w:tr>
      <w:tr w14:paraId="63E4D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71" w:type="dxa"/>
            <w:vAlign w:val="center"/>
          </w:tcPr>
          <w:p w14:paraId="697A47E9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吴笠华</w:t>
            </w:r>
          </w:p>
        </w:tc>
        <w:tc>
          <w:tcPr>
            <w:tcW w:w="1701" w:type="dxa"/>
            <w:vAlign w:val="center"/>
          </w:tcPr>
          <w:p w14:paraId="1325AA29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擎天科技</w:t>
            </w:r>
          </w:p>
        </w:tc>
        <w:tc>
          <w:tcPr>
            <w:tcW w:w="1985" w:type="dxa"/>
            <w:vAlign w:val="center"/>
          </w:tcPr>
          <w:p w14:paraId="26FDABAE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产品与技术创新中</w:t>
            </w:r>
            <w:r>
              <w:rPr>
                <w:rFonts w:hint="eastAsia" w:ascii="宋体" w:hAnsi="宋体"/>
                <w:sz w:val="24"/>
              </w:rPr>
              <w:t>心</w:t>
            </w:r>
          </w:p>
        </w:tc>
        <w:tc>
          <w:tcPr>
            <w:tcW w:w="2835" w:type="dxa"/>
            <w:vAlign w:val="center"/>
          </w:tcPr>
          <w:p w14:paraId="6CB0024F">
            <w:pPr>
              <w:spacing w:line="360" w:lineRule="auto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前端开发</w:t>
            </w:r>
          </w:p>
        </w:tc>
      </w:tr>
    </w:tbl>
    <w:p w14:paraId="4CE80C4E">
      <w:pPr>
        <w:pStyle w:val="6"/>
        <w:spacing w:line="360" w:lineRule="auto"/>
        <w:ind w:left="0" w:leftChars="0"/>
        <w:rPr>
          <w:rStyle w:val="29"/>
        </w:rPr>
      </w:pPr>
    </w:p>
    <w:p w14:paraId="0AD8C5AC">
      <w:pPr>
        <w:pStyle w:val="11"/>
        <w:numPr>
          <w:ilvl w:val="1"/>
          <w:numId w:val="1"/>
        </w:numPr>
        <w:jc w:val="both"/>
        <w:rPr>
          <w:rStyle w:val="29"/>
          <w:b w:val="0"/>
          <w:i w:val="0"/>
          <w:iCs w:val="0"/>
          <w:color w:val="auto"/>
          <w:sz w:val="28"/>
          <w:szCs w:val="28"/>
        </w:rPr>
      </w:pPr>
      <w:bookmarkStart w:id="182" w:name="_Toc2296"/>
      <w:bookmarkStart w:id="183" w:name="_Toc293051425"/>
      <w:r>
        <w:rPr>
          <w:rFonts w:hint="eastAsia"/>
          <w:b w:val="0"/>
          <w:sz w:val="28"/>
          <w:szCs w:val="28"/>
        </w:rPr>
        <w:t>项目实施计划</w:t>
      </w:r>
      <w:bookmarkEnd w:id="157"/>
      <w:bookmarkEnd w:id="158"/>
      <w:bookmarkEnd w:id="159"/>
      <w:bookmarkEnd w:id="160"/>
      <w:bookmarkEnd w:id="161"/>
      <w:bookmarkEnd w:id="182"/>
      <w:bookmarkEnd w:id="183"/>
    </w:p>
    <w:p w14:paraId="3AA73010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4月30日，完成架构升级的首个里程碑版本；完成基础平台，实现租户、认证功能。</w:t>
      </w:r>
    </w:p>
    <w:p w14:paraId="1923CF7D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5月30日，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通过江北新材料科技园项目的上线达成功能升级1、2的首个里程碑版本。</w:t>
      </w:r>
    </w:p>
    <w:p w14:paraId="67536F1B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6月30日，通过宁安晴架构升级，完成架构升级的第二个里程碑版本，实现Fabric2.0的SaaS化改造，以及与empower版本的集成。</w:t>
      </w:r>
    </w:p>
    <w:p w14:paraId="407C8A14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7月30日，编排运行的可观测性的首个里程碑版本上线，有效提升宁安晴、江北化工园区等线上环境的可维护性，并为系统背压能力及系统运行稳定性的升级，提供数据支撑。</w:t>
      </w:r>
    </w:p>
    <w:p w14:paraId="3A012BCB">
      <w:pPr>
        <w:pStyle w:val="11"/>
        <w:numPr>
          <w:ilvl w:val="1"/>
          <w:numId w:val="1"/>
        </w:numPr>
        <w:jc w:val="both"/>
        <w:rPr>
          <w:rStyle w:val="29"/>
          <w:b w:val="0"/>
          <w:i w:val="0"/>
          <w:iCs w:val="0"/>
          <w:color w:val="auto"/>
          <w:sz w:val="28"/>
          <w:szCs w:val="28"/>
        </w:rPr>
      </w:pPr>
      <w:bookmarkStart w:id="184" w:name="_Toc128973120"/>
      <w:bookmarkStart w:id="185" w:name="_Toc130812114"/>
      <w:bookmarkStart w:id="186" w:name="_Toc293051426"/>
      <w:bookmarkStart w:id="187" w:name="_Toc8662"/>
      <w:bookmarkStart w:id="188" w:name="_Toc130805751"/>
      <w:bookmarkStart w:id="189" w:name="_Toc130805961"/>
      <w:bookmarkStart w:id="190" w:name="_Toc130805390"/>
      <w:r>
        <w:rPr>
          <w:rFonts w:hint="eastAsia"/>
          <w:b w:val="0"/>
          <w:sz w:val="28"/>
          <w:szCs w:val="28"/>
        </w:rPr>
        <w:t>项目投资估算</w:t>
      </w:r>
      <w:bookmarkEnd w:id="184"/>
      <w:bookmarkEnd w:id="185"/>
      <w:bookmarkEnd w:id="186"/>
      <w:bookmarkEnd w:id="187"/>
      <w:bookmarkEnd w:id="188"/>
      <w:bookmarkEnd w:id="189"/>
      <w:bookmarkEnd w:id="190"/>
    </w:p>
    <w:p w14:paraId="25DC85CE"/>
    <w:p w14:paraId="180607CE">
      <w:pPr>
        <w:pStyle w:val="10"/>
        <w:adjustRightInd w:val="0"/>
        <w:snapToGrid w:val="0"/>
        <w:spacing w:before="0" w:beforeAutospacing="0" w:after="0" w:afterAutospacing="0" w:line="360" w:lineRule="auto"/>
        <w:ind w:right="41" w:firstLine="705"/>
        <w:jc w:val="center"/>
        <w:rPr>
          <w:b/>
          <w:bCs/>
        </w:rPr>
      </w:pPr>
      <w:r>
        <w:rPr>
          <w:rFonts w:hint="eastAsia"/>
          <w:b/>
          <w:bCs/>
        </w:rPr>
        <w:t>项目投资预算表</w:t>
      </w:r>
    </w:p>
    <w:tbl>
      <w:tblPr>
        <w:tblStyle w:val="14"/>
        <w:tblW w:w="79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1620"/>
        <w:gridCol w:w="2520"/>
      </w:tblGrid>
      <w:tr w14:paraId="4991C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780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A6626C1">
            <w:pPr>
              <w:pStyle w:val="5"/>
              <w:spacing w:line="400" w:lineRule="exact"/>
              <w:ind w:firstLine="0" w:firstLineChars="0"/>
              <w:jc w:val="center"/>
              <w:rPr>
                <w:rFonts w:ascii="黑体" w:eastAsia="黑体"/>
                <w:color w:val="000000"/>
                <w:position w:val="6"/>
                <w:sz w:val="24"/>
              </w:rPr>
            </w:pPr>
            <w:r>
              <w:rPr>
                <w:rFonts w:hint="eastAsia" w:ascii="黑体" w:eastAsia="黑体"/>
                <w:color w:val="000000"/>
                <w:position w:val="6"/>
                <w:sz w:val="24"/>
              </w:rPr>
              <w:t>科目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BE98770">
            <w:pPr>
              <w:pStyle w:val="5"/>
              <w:spacing w:line="400" w:lineRule="exact"/>
              <w:ind w:firstLine="0" w:firstLineChars="0"/>
              <w:jc w:val="center"/>
              <w:rPr>
                <w:rFonts w:ascii="黑体" w:eastAsia="黑体"/>
                <w:color w:val="000000"/>
                <w:position w:val="6"/>
                <w:sz w:val="24"/>
              </w:rPr>
            </w:pPr>
            <w:r>
              <w:rPr>
                <w:rFonts w:hint="eastAsia" w:ascii="黑体" w:eastAsia="黑体"/>
                <w:color w:val="000000"/>
                <w:position w:val="6"/>
                <w:sz w:val="24"/>
              </w:rPr>
              <w:t>预算金额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48FDBEE9">
            <w:pPr>
              <w:pStyle w:val="5"/>
              <w:spacing w:line="400" w:lineRule="exact"/>
              <w:ind w:firstLine="0" w:firstLineChars="0"/>
              <w:jc w:val="center"/>
              <w:rPr>
                <w:rFonts w:ascii="黑体" w:eastAsia="黑体"/>
                <w:color w:val="000000"/>
                <w:position w:val="6"/>
                <w:sz w:val="24"/>
              </w:rPr>
            </w:pPr>
            <w:r>
              <w:rPr>
                <w:rFonts w:hint="eastAsia" w:ascii="黑体" w:eastAsia="黑体"/>
                <w:color w:val="000000"/>
                <w:position w:val="6"/>
                <w:sz w:val="24"/>
              </w:rPr>
              <w:t>备注</w:t>
            </w:r>
          </w:p>
        </w:tc>
      </w:tr>
      <w:tr w14:paraId="17B71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AA4D5F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（一）直接费用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867302C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69AFC8CC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7A05A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6347B0F">
            <w:pPr>
              <w:pStyle w:val="5"/>
              <w:spacing w:line="400" w:lineRule="exact"/>
              <w:ind w:firstLine="480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1、人员工资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661D900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72CE93B6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69E78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707D243">
            <w:pPr>
              <w:pStyle w:val="5"/>
              <w:spacing w:line="400" w:lineRule="exact"/>
              <w:ind w:firstLine="480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 研发人月费用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21A347A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  <w:lang w:val="en-US" w:eastAsia="zh-CN"/>
              </w:rPr>
              <w:t>60</w:t>
            </w: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>万元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125BE186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  <w:lang w:val="en-US" w:eastAsia="zh-CN"/>
              </w:rPr>
              <w:t>2</w:t>
            </w:r>
            <w:r>
              <w:rPr>
                <w:rFonts w:ascii="仿宋_GB2312" w:eastAsia="仿宋_GB2312"/>
                <w:color w:val="000000"/>
                <w:position w:val="6"/>
                <w:sz w:val="24"/>
              </w:rPr>
              <w:t>0</w:t>
            </w: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>人</w:t>
            </w:r>
            <w:r>
              <w:rPr>
                <w:rFonts w:ascii="仿宋_GB2312" w:eastAsia="仿宋_GB2312"/>
                <w:color w:val="000000"/>
                <w:position w:val="6"/>
                <w:sz w:val="24"/>
              </w:rPr>
              <w:t>/</w:t>
            </w: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>月</w:t>
            </w:r>
          </w:p>
        </w:tc>
      </w:tr>
      <w:tr w14:paraId="15C55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EC1509C">
            <w:pPr>
              <w:pStyle w:val="5"/>
              <w:spacing w:line="400" w:lineRule="exact"/>
              <w:ind w:firstLine="480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93E5694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378C2071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318E9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F9278CE">
            <w:pPr>
              <w:pStyle w:val="5"/>
              <w:spacing w:line="400" w:lineRule="exact"/>
              <w:ind w:firstLine="480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2、（现有）设备折旧费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1314B0E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1B193839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51FD2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66677C6">
            <w:pPr>
              <w:pStyle w:val="5"/>
              <w:spacing w:line="400" w:lineRule="exact"/>
              <w:ind w:firstLine="480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3、业务费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40DAE42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7BE3172E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05BCE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8C98583">
            <w:pPr>
              <w:pStyle w:val="5"/>
              <w:spacing w:line="400" w:lineRule="exact"/>
              <w:ind w:firstLine="480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4、项目前期调研费用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613E621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24705D6D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109B5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ABC7314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 xml:space="preserve">  5、差旅交通费用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97A679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56DA527D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56A26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2D0155D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 xml:space="preserve">  6、办公费用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3D0641A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1C9D390D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6982F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F7FEEF5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 xml:space="preserve">  7、软件评审测试费用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9FEF41C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24E7BE79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273E8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102CB20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 xml:space="preserve">  8、其他直接费用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3377ACB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426E945D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09D73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5A9865A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（二）间接费用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393E8CF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0C573D4C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5C261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03B6F41">
            <w:pPr>
              <w:pStyle w:val="5"/>
              <w:spacing w:line="400" w:lineRule="exact"/>
              <w:ind w:firstLine="480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1、房租水电费用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327DB05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4B0A1074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3CC88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B52E619">
            <w:pPr>
              <w:pStyle w:val="5"/>
              <w:spacing w:line="400" w:lineRule="exact"/>
              <w:ind w:firstLine="480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2、其他间接费用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6521563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460B5BAB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411FD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4F30EC2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（三）（新增）设备费用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B8A2D07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6EEE2574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22E3E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CA28CA5">
            <w:pPr>
              <w:pStyle w:val="5"/>
              <w:spacing w:line="400" w:lineRule="exact"/>
              <w:ind w:firstLine="480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1、硬件费用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2FAA25C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6433662E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7109C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D020E29">
            <w:pPr>
              <w:pStyle w:val="5"/>
              <w:spacing w:line="400" w:lineRule="exact"/>
              <w:ind w:firstLine="480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2、软件费用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2E5FFC0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7C91662D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4AF20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0608A51">
            <w:pPr>
              <w:pStyle w:val="5"/>
              <w:spacing w:line="400" w:lineRule="exact"/>
              <w:ind w:firstLine="489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2A70497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 w14:paraId="4C67F36A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  <w:tr w14:paraId="2D051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0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 w14:paraId="42CA6FBE">
            <w:pPr>
              <w:pStyle w:val="5"/>
              <w:spacing w:line="400" w:lineRule="exact"/>
              <w:ind w:firstLine="489"/>
              <w:jc w:val="center"/>
              <w:rPr>
                <w:rFonts w:ascii="仿宋_GB2312" w:eastAsia="仿宋_GB2312"/>
                <w:b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合</w:t>
            </w:r>
            <w:r>
              <w:rPr>
                <w:rFonts w:ascii="仿宋_GB2312" w:eastAsia="仿宋_GB2312"/>
                <w:b/>
                <w:color w:val="000000"/>
                <w:position w:val="6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000000"/>
                <w:position w:val="6"/>
                <w:sz w:val="24"/>
              </w:rPr>
              <w:t>计</w:t>
            </w:r>
          </w:p>
        </w:tc>
        <w:tc>
          <w:tcPr>
            <w:tcW w:w="1620" w:type="dxa"/>
            <w:tcBorders>
              <w:top w:val="single" w:color="auto" w:sz="8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 w14:paraId="6B2DB1D9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position w:val="6"/>
                <w:sz w:val="24"/>
                <w:lang w:val="en-US" w:eastAsia="zh-CN"/>
              </w:rPr>
              <w:t>60</w:t>
            </w:r>
            <w:r>
              <w:rPr>
                <w:rFonts w:hint="eastAsia" w:ascii="仿宋_GB2312" w:eastAsia="仿宋_GB2312"/>
                <w:color w:val="000000"/>
                <w:position w:val="6"/>
                <w:sz w:val="24"/>
              </w:rPr>
              <w:t>万元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530CCC44">
            <w:pPr>
              <w:pStyle w:val="5"/>
              <w:spacing w:line="400" w:lineRule="exact"/>
              <w:ind w:firstLine="0" w:firstLineChars="0"/>
              <w:jc w:val="center"/>
              <w:rPr>
                <w:rFonts w:ascii="仿宋_GB2312" w:eastAsia="仿宋_GB2312"/>
                <w:color w:val="000000"/>
                <w:position w:val="6"/>
                <w:sz w:val="24"/>
              </w:rPr>
            </w:pPr>
          </w:p>
        </w:tc>
      </w:tr>
    </w:tbl>
    <w:p w14:paraId="3885011A">
      <w:pPr>
        <w:pStyle w:val="6"/>
        <w:spacing w:line="360" w:lineRule="auto"/>
        <w:rPr>
          <w:rStyle w:val="29"/>
        </w:rPr>
      </w:pPr>
    </w:p>
    <w:p w14:paraId="618811F1">
      <w:pPr>
        <w:pStyle w:val="11"/>
        <w:numPr>
          <w:ilvl w:val="0"/>
          <w:numId w:val="1"/>
        </w:numPr>
        <w:jc w:val="both"/>
      </w:pPr>
      <w:bookmarkStart w:id="191" w:name="_Toc130805753"/>
      <w:bookmarkStart w:id="192" w:name="_Toc128973122"/>
      <w:bookmarkStart w:id="193" w:name="_Toc130805392"/>
      <w:bookmarkStart w:id="194" w:name="_Toc130805963"/>
      <w:bookmarkStart w:id="195" w:name="_Toc293051427"/>
      <w:bookmarkStart w:id="196" w:name="_Toc130812116"/>
      <w:bookmarkStart w:id="197" w:name="_Toc24095"/>
      <w:r>
        <w:rPr>
          <w:rFonts w:hint="eastAsia"/>
        </w:rPr>
        <w:t>经济与社会效益分析</w:t>
      </w:r>
      <w:bookmarkEnd w:id="191"/>
      <w:bookmarkEnd w:id="192"/>
      <w:bookmarkEnd w:id="193"/>
      <w:bookmarkEnd w:id="194"/>
      <w:bookmarkEnd w:id="195"/>
      <w:bookmarkEnd w:id="196"/>
      <w:bookmarkEnd w:id="197"/>
    </w:p>
    <w:p w14:paraId="3C25400A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198" w:name="_Toc130812117"/>
      <w:bookmarkStart w:id="199" w:name="_Toc128973123"/>
      <w:bookmarkStart w:id="200" w:name="_Toc130805964"/>
      <w:bookmarkStart w:id="201" w:name="_Toc21387"/>
      <w:bookmarkStart w:id="202" w:name="_Toc130805754"/>
      <w:bookmarkStart w:id="203" w:name="_Toc130805393"/>
      <w:bookmarkStart w:id="204" w:name="_Toc293051428"/>
      <w:r>
        <w:rPr>
          <w:rFonts w:hint="eastAsia"/>
          <w:b w:val="0"/>
          <w:sz w:val="28"/>
          <w:szCs w:val="28"/>
        </w:rPr>
        <w:t>市场前景分析</w:t>
      </w:r>
      <w:bookmarkEnd w:id="198"/>
      <w:bookmarkEnd w:id="199"/>
      <w:bookmarkEnd w:id="200"/>
      <w:bookmarkEnd w:id="201"/>
      <w:bookmarkEnd w:id="202"/>
      <w:bookmarkEnd w:id="203"/>
      <w:bookmarkEnd w:id="204"/>
    </w:p>
    <w:p w14:paraId="08F6950C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205" w:name="_Toc130805755"/>
      <w:bookmarkStart w:id="206" w:name="_Toc130812118"/>
      <w:bookmarkStart w:id="207" w:name="_Toc128973124"/>
      <w:bookmarkStart w:id="208" w:name="_Toc293051429"/>
      <w:bookmarkStart w:id="209" w:name="_Toc130805394"/>
      <w:bookmarkStart w:id="210" w:name="_Toc130805965"/>
      <w:bookmarkStart w:id="211" w:name="_Toc30625"/>
      <w:r>
        <w:rPr>
          <w:rFonts w:hint="eastAsia"/>
          <w:b w:val="0"/>
          <w:sz w:val="28"/>
          <w:szCs w:val="28"/>
        </w:rPr>
        <w:t>产品销售市场前景分析</w:t>
      </w:r>
      <w:bookmarkEnd w:id="205"/>
      <w:bookmarkEnd w:id="206"/>
      <w:bookmarkEnd w:id="207"/>
      <w:bookmarkEnd w:id="208"/>
      <w:bookmarkEnd w:id="209"/>
      <w:bookmarkEnd w:id="210"/>
      <w:bookmarkEnd w:id="211"/>
    </w:p>
    <w:p w14:paraId="1043DFEC">
      <w:pPr>
        <w:spacing w:line="360" w:lineRule="auto"/>
        <w:ind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数据治理、AI和物联网行业对统一数据质量与多租户平台需求旺盛，市场持续扩展。</w:t>
      </w:r>
    </w:p>
    <w:p w14:paraId="76C0AC85">
      <w:pPr>
        <w:spacing w:line="360" w:lineRule="auto"/>
        <w:ind w:firstLine="480" w:firstLineChars="200"/>
        <w:rPr>
          <w:rFonts w:ascii="宋体" w:hAnsi="宋体"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Empower平台为行业化定制和生态扩展提供技术支持。</w:t>
      </w:r>
    </w:p>
    <w:p w14:paraId="58A76F3D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212" w:name="_Toc13502"/>
      <w:bookmarkStart w:id="213" w:name="_Toc128973125"/>
      <w:bookmarkStart w:id="214" w:name="_Toc130805395"/>
      <w:bookmarkStart w:id="215" w:name="_Toc130805756"/>
      <w:bookmarkStart w:id="216" w:name="_Toc130812119"/>
      <w:bookmarkStart w:id="217" w:name="_Toc293051430"/>
      <w:bookmarkStart w:id="218" w:name="_Toc130805966"/>
      <w:r>
        <w:rPr>
          <w:rFonts w:hint="eastAsia"/>
          <w:b w:val="0"/>
          <w:sz w:val="28"/>
          <w:szCs w:val="28"/>
        </w:rPr>
        <w:t>技术转让前景分析</w:t>
      </w:r>
      <w:bookmarkEnd w:id="212"/>
      <w:bookmarkEnd w:id="213"/>
      <w:bookmarkEnd w:id="214"/>
      <w:bookmarkEnd w:id="215"/>
      <w:bookmarkEnd w:id="216"/>
      <w:bookmarkEnd w:id="217"/>
      <w:bookmarkEnd w:id="218"/>
    </w:p>
    <w:p w14:paraId="2A6359FE">
      <w:pPr>
        <w:spacing w:line="360" w:lineRule="auto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可作为集团及生态伙伴数据底座转让输出，形成行业联合解决方案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40802F27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219" w:name="_Toc128973126"/>
      <w:bookmarkStart w:id="220" w:name="_Toc130805757"/>
      <w:bookmarkStart w:id="221" w:name="_Toc7673"/>
      <w:bookmarkStart w:id="222" w:name="_Toc130812120"/>
      <w:bookmarkStart w:id="223" w:name="_Toc130805396"/>
      <w:bookmarkStart w:id="224" w:name="_Toc130805967"/>
      <w:bookmarkStart w:id="225" w:name="_Toc293051431"/>
      <w:r>
        <w:rPr>
          <w:rFonts w:hint="eastAsia"/>
          <w:b w:val="0"/>
          <w:sz w:val="28"/>
          <w:szCs w:val="28"/>
        </w:rPr>
        <w:t>经济效益分析</w:t>
      </w:r>
      <w:bookmarkEnd w:id="219"/>
      <w:bookmarkEnd w:id="220"/>
      <w:bookmarkEnd w:id="221"/>
      <w:bookmarkEnd w:id="222"/>
      <w:bookmarkEnd w:id="223"/>
      <w:bookmarkEnd w:id="224"/>
      <w:bookmarkEnd w:id="225"/>
    </w:p>
    <w:p w14:paraId="102B68EF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226" w:name="_Toc128973127"/>
      <w:bookmarkStart w:id="227" w:name="_Toc130805968"/>
      <w:bookmarkStart w:id="228" w:name="_Toc130805758"/>
      <w:bookmarkStart w:id="229" w:name="_Toc130805397"/>
      <w:bookmarkStart w:id="230" w:name="_Toc293051432"/>
      <w:bookmarkStart w:id="231" w:name="_Toc27268"/>
      <w:bookmarkStart w:id="232" w:name="_Toc130812121"/>
      <w:r>
        <w:rPr>
          <w:rFonts w:hint="eastAsia"/>
          <w:b w:val="0"/>
          <w:sz w:val="28"/>
          <w:szCs w:val="28"/>
        </w:rPr>
        <w:t>投资估算</w:t>
      </w:r>
      <w:bookmarkEnd w:id="226"/>
      <w:bookmarkEnd w:id="227"/>
      <w:bookmarkEnd w:id="228"/>
      <w:bookmarkEnd w:id="229"/>
      <w:bookmarkEnd w:id="230"/>
      <w:bookmarkEnd w:id="231"/>
      <w:bookmarkEnd w:id="232"/>
    </w:p>
    <w:p w14:paraId="1D8858B4">
      <w:pPr>
        <w:spacing w:line="360" w:lineRule="auto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(一)研发成本</w:t>
      </w:r>
    </w:p>
    <w:p w14:paraId="7186FE05">
      <w:pPr>
        <w:spacing w:line="360" w:lineRule="auto"/>
        <w:ind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年度预算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60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万，长期因平台能力提升实现成本优化与规模效益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60CDC029"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(二)运营成本</w:t>
      </w:r>
    </w:p>
    <w:p w14:paraId="6C6563FA">
      <w:pPr>
        <w:pStyle w:val="6"/>
        <w:spacing w:line="360" w:lineRule="auto"/>
        <w:ind w:left="0" w:leftChars="0" w:firstLine="480" w:firstLineChars="200"/>
        <w:rPr>
          <w:rStyle w:val="29"/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技术人员的运维成本等。</w:t>
      </w:r>
    </w:p>
    <w:p w14:paraId="08B94EC8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233" w:name="_Toc128973128"/>
      <w:bookmarkStart w:id="234" w:name="_Toc130805969"/>
      <w:bookmarkStart w:id="235" w:name="_Toc130805759"/>
      <w:bookmarkStart w:id="236" w:name="_Toc130812122"/>
      <w:bookmarkStart w:id="237" w:name="_Toc130805398"/>
      <w:bookmarkStart w:id="238" w:name="_Toc293051433"/>
      <w:bookmarkStart w:id="239" w:name="_Toc28257"/>
      <w:r>
        <w:rPr>
          <w:rFonts w:hint="eastAsia"/>
          <w:b w:val="0"/>
          <w:sz w:val="28"/>
          <w:szCs w:val="28"/>
        </w:rPr>
        <w:t>成本与销售定价</w:t>
      </w:r>
      <w:bookmarkEnd w:id="233"/>
      <w:bookmarkEnd w:id="234"/>
      <w:bookmarkEnd w:id="235"/>
      <w:bookmarkEnd w:id="236"/>
      <w:bookmarkEnd w:id="237"/>
      <w:bookmarkEnd w:id="238"/>
      <w:bookmarkEnd w:id="239"/>
    </w:p>
    <w:p w14:paraId="481003EE">
      <w:pPr>
        <w:pStyle w:val="6"/>
        <w:spacing w:line="360" w:lineRule="auto"/>
        <w:ind w:left="0" w:leftChars="0" w:firstLine="480" w:firstLineChars="200"/>
        <w:rPr>
          <w:rFonts w:hint="eastAsia" w:ascii="宋体" w:hAnsi="宋体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平台可分模块、分行业打包，按SaaS租赁/一次性部署计价，毛利润空间大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已经有第一版报价明细</w:t>
      </w: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2973A0EC">
      <w:pPr>
        <w:pStyle w:val="11"/>
        <w:numPr>
          <w:ilvl w:val="2"/>
          <w:numId w:val="1"/>
        </w:numPr>
        <w:jc w:val="both"/>
        <w:rPr>
          <w:b w:val="0"/>
          <w:sz w:val="28"/>
          <w:szCs w:val="28"/>
        </w:rPr>
      </w:pPr>
      <w:bookmarkStart w:id="240" w:name="_Toc128973129"/>
      <w:bookmarkStart w:id="241" w:name="_Toc24509"/>
      <w:bookmarkStart w:id="242" w:name="_Toc130805760"/>
      <w:bookmarkStart w:id="243" w:name="_Toc130805970"/>
      <w:bookmarkStart w:id="244" w:name="_Toc130805399"/>
      <w:bookmarkStart w:id="245" w:name="_Toc293051434"/>
      <w:bookmarkStart w:id="246" w:name="_Toc130812123"/>
      <w:r>
        <w:rPr>
          <w:rFonts w:hint="eastAsia"/>
          <w:b w:val="0"/>
          <w:sz w:val="28"/>
          <w:szCs w:val="28"/>
        </w:rPr>
        <w:t>利润与收入预测</w:t>
      </w:r>
      <w:bookmarkEnd w:id="240"/>
      <w:bookmarkEnd w:id="241"/>
      <w:bookmarkEnd w:id="242"/>
      <w:bookmarkEnd w:id="243"/>
      <w:bookmarkEnd w:id="244"/>
      <w:bookmarkEnd w:id="245"/>
      <w:bookmarkEnd w:id="246"/>
    </w:p>
    <w:p w14:paraId="251411C3">
      <w:pPr>
        <w:pStyle w:val="35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/>
          <w:color w:val="000000"/>
          <w:sz w:val="24"/>
          <w:lang w:val="en-US" w:eastAsia="zh-CN"/>
        </w:rPr>
      </w:pPr>
      <w:bookmarkStart w:id="247" w:name="_Toc293051435"/>
      <w:bookmarkStart w:id="248" w:name="_Toc128973130"/>
      <w:bookmarkStart w:id="249" w:name="_Toc130805761"/>
      <w:bookmarkStart w:id="250" w:name="_Toc130805400"/>
      <w:bookmarkStart w:id="251" w:name="_Toc130805971"/>
      <w:bookmarkStart w:id="252" w:name="_Toc130812124"/>
      <w:r>
        <w:rPr>
          <w:rFonts w:hint="eastAsia" w:ascii="宋体" w:hAnsi="宋体"/>
          <w:color w:val="000000"/>
          <w:sz w:val="24"/>
          <w:lang w:val="en-US" w:eastAsia="zh-CN"/>
        </w:rPr>
        <w:t>满足江北新材料科技园、退役军人项目在数据治理能力上的要求。</w:t>
      </w:r>
    </w:p>
    <w:p w14:paraId="69555B21">
      <w:pPr>
        <w:pStyle w:val="11"/>
        <w:numPr>
          <w:ilvl w:val="0"/>
          <w:numId w:val="1"/>
        </w:numPr>
        <w:jc w:val="both"/>
      </w:pPr>
      <w:bookmarkStart w:id="253" w:name="_Toc10373"/>
      <w:r>
        <w:rPr>
          <w:rFonts w:hint="eastAsia"/>
        </w:rPr>
        <w:t>风险分析</w:t>
      </w:r>
      <w:bookmarkEnd w:id="247"/>
      <w:bookmarkEnd w:id="248"/>
      <w:bookmarkEnd w:id="249"/>
      <w:bookmarkEnd w:id="250"/>
      <w:bookmarkEnd w:id="251"/>
      <w:bookmarkEnd w:id="252"/>
      <w:bookmarkEnd w:id="253"/>
    </w:p>
    <w:p w14:paraId="49F02619">
      <w:pPr>
        <w:pStyle w:val="11"/>
        <w:numPr>
          <w:ilvl w:val="1"/>
          <w:numId w:val="1"/>
        </w:numPr>
        <w:jc w:val="both"/>
      </w:pPr>
      <w:bookmarkStart w:id="254" w:name="_Toc130805762"/>
      <w:bookmarkStart w:id="255" w:name="_Toc130812125"/>
      <w:bookmarkStart w:id="256" w:name="_Toc130805972"/>
      <w:bookmarkStart w:id="257" w:name="_Toc130805401"/>
      <w:bookmarkStart w:id="258" w:name="_Toc31880"/>
      <w:bookmarkStart w:id="259" w:name="_Toc128973131"/>
      <w:bookmarkStart w:id="260" w:name="_Toc293051436"/>
      <w:r>
        <w:rPr>
          <w:rFonts w:hint="eastAsia"/>
          <w:b w:val="0"/>
          <w:sz w:val="28"/>
          <w:szCs w:val="28"/>
        </w:rPr>
        <w:t>技术风险</w:t>
      </w:r>
      <w:bookmarkEnd w:id="254"/>
      <w:bookmarkEnd w:id="255"/>
      <w:bookmarkEnd w:id="256"/>
      <w:bookmarkEnd w:id="257"/>
      <w:bookmarkEnd w:id="258"/>
      <w:bookmarkEnd w:id="259"/>
      <w:bookmarkEnd w:id="260"/>
    </w:p>
    <w:p w14:paraId="2264538A">
      <w:pPr>
        <w:pStyle w:val="3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数据背压、高并发与大规模多租户性能挑战（比如应急行业有限服务器资源情况下的数据治理性能）</w:t>
      </w:r>
    </w:p>
    <w:p w14:paraId="3D25F946">
      <w:pPr>
        <w:pStyle w:val="35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/>
          <w:color w:val="000000"/>
          <w:sz w:val="24"/>
          <w:lang w:val="en-US" w:eastAsia="zh-CN"/>
        </w:rPr>
      </w:pPr>
      <w:r>
        <w:rPr>
          <w:rFonts w:hint="default" w:ascii="宋体" w:hAnsi="宋体"/>
          <w:color w:val="000000"/>
          <w:sz w:val="24"/>
          <w:lang w:val="en-US" w:eastAsia="zh-CN"/>
        </w:rPr>
        <w:t>国产化主流兼容持续性</w:t>
      </w:r>
      <w:r>
        <w:rPr>
          <w:rFonts w:hint="eastAsia" w:ascii="宋体" w:hAnsi="宋体"/>
          <w:color w:val="000000"/>
          <w:sz w:val="24"/>
          <w:lang w:val="en-US" w:eastAsia="zh-CN"/>
        </w:rPr>
        <w:t>（</w:t>
      </w: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政务云人大金仓、达梦、神通等国产化数据库，RDS、MRS等中间进行版本升级适配</w:t>
      </w:r>
      <w:r>
        <w:rPr>
          <w:rFonts w:hint="eastAsia" w:ascii="宋体" w:hAnsi="宋体"/>
          <w:color w:val="000000"/>
          <w:sz w:val="24"/>
          <w:lang w:val="en-US" w:eastAsia="zh-CN"/>
        </w:rPr>
        <w:t>）</w:t>
      </w:r>
    </w:p>
    <w:p w14:paraId="74BAE145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261" w:name="_Toc128973132"/>
      <w:bookmarkStart w:id="262" w:name="_Toc130812126"/>
      <w:bookmarkStart w:id="263" w:name="_Toc130805402"/>
      <w:bookmarkStart w:id="264" w:name="_Toc130805763"/>
      <w:bookmarkStart w:id="265" w:name="_Toc130805973"/>
      <w:bookmarkStart w:id="266" w:name="_Toc293051437"/>
      <w:bookmarkStart w:id="267" w:name="_Toc9887"/>
      <w:r>
        <w:rPr>
          <w:rFonts w:hint="eastAsia"/>
          <w:b w:val="0"/>
          <w:sz w:val="28"/>
          <w:szCs w:val="28"/>
        </w:rPr>
        <w:t>管理风险</w:t>
      </w:r>
      <w:bookmarkEnd w:id="261"/>
      <w:bookmarkEnd w:id="262"/>
      <w:bookmarkEnd w:id="263"/>
      <w:bookmarkEnd w:id="264"/>
      <w:bookmarkEnd w:id="265"/>
      <w:bookmarkEnd w:id="266"/>
      <w:bookmarkEnd w:id="267"/>
    </w:p>
    <w:p w14:paraId="40610E5A">
      <w:pPr>
        <w:pStyle w:val="6"/>
        <w:spacing w:line="360" w:lineRule="auto"/>
        <w:ind w:left="0" w:leftChars="0"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无</w:t>
      </w:r>
    </w:p>
    <w:p w14:paraId="667056F4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268" w:name="_Toc25192"/>
      <w:bookmarkStart w:id="269" w:name="_Toc130805974"/>
      <w:bookmarkStart w:id="270" w:name="_Toc293051438"/>
      <w:bookmarkStart w:id="271" w:name="_Toc130805403"/>
      <w:bookmarkStart w:id="272" w:name="_Toc128973133"/>
      <w:bookmarkStart w:id="273" w:name="_Toc130812127"/>
      <w:bookmarkStart w:id="274" w:name="_Toc130805764"/>
      <w:r>
        <w:rPr>
          <w:rFonts w:hint="eastAsia"/>
          <w:b w:val="0"/>
          <w:sz w:val="28"/>
          <w:szCs w:val="28"/>
        </w:rPr>
        <w:t>市场风险</w:t>
      </w:r>
      <w:bookmarkEnd w:id="268"/>
      <w:bookmarkEnd w:id="269"/>
      <w:bookmarkEnd w:id="270"/>
      <w:bookmarkEnd w:id="271"/>
      <w:bookmarkEnd w:id="272"/>
      <w:bookmarkEnd w:id="273"/>
      <w:bookmarkEnd w:id="274"/>
    </w:p>
    <w:p w14:paraId="7EC4BAAF">
      <w:pPr>
        <w:pStyle w:val="6"/>
        <w:spacing w:line="360" w:lineRule="auto"/>
        <w:ind w:left="0" w:leftChars="0" w:firstLine="480" w:firstLineChars="20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同类国产平台跟进快，客户粘性有待加强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 w14:paraId="69613164">
      <w:pPr>
        <w:pStyle w:val="6"/>
        <w:spacing w:line="360" w:lineRule="auto"/>
        <w:ind w:left="0" w:leftChars="0" w:firstLine="480" w:firstLineChars="200"/>
        <w:rPr>
          <w:rFonts w:hint="default" w:ascii="宋体" w:hAnsi="宋体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解决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措施的思路：利润中心、成本中心、产品中心三方通力协作，支撑自研产品的交付。</w:t>
      </w:r>
    </w:p>
    <w:p w14:paraId="5C3AC8EE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275" w:name="_Toc130805404"/>
      <w:bookmarkStart w:id="276" w:name="_Toc130805975"/>
      <w:bookmarkStart w:id="277" w:name="_Toc130812128"/>
      <w:bookmarkStart w:id="278" w:name="_Toc293051439"/>
      <w:bookmarkStart w:id="279" w:name="_Toc15250"/>
      <w:bookmarkStart w:id="280" w:name="_Toc130805765"/>
      <w:bookmarkStart w:id="281" w:name="_Toc128973134"/>
      <w:r>
        <w:rPr>
          <w:rFonts w:hint="eastAsia"/>
          <w:b w:val="0"/>
          <w:sz w:val="28"/>
          <w:szCs w:val="28"/>
        </w:rPr>
        <w:t>法律政策风险</w:t>
      </w:r>
      <w:bookmarkEnd w:id="275"/>
      <w:bookmarkEnd w:id="276"/>
      <w:bookmarkEnd w:id="277"/>
      <w:bookmarkEnd w:id="278"/>
      <w:bookmarkEnd w:id="279"/>
      <w:bookmarkEnd w:id="280"/>
      <w:bookmarkEnd w:id="281"/>
    </w:p>
    <w:p w14:paraId="563B27F4">
      <w:pPr>
        <w:pStyle w:val="6"/>
        <w:spacing w:line="360" w:lineRule="auto"/>
        <w:ind w:left="0" w:leftChars="0" w:firstLine="480" w:firstLineChars="2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数据合规和安全要求持续提升</w:t>
      </w:r>
      <w:bookmarkStart w:id="291" w:name="_GoBack"/>
      <w:bookmarkEnd w:id="291"/>
    </w:p>
    <w:p w14:paraId="24235DC4">
      <w:pPr>
        <w:pStyle w:val="6"/>
        <w:spacing w:line="360" w:lineRule="auto"/>
        <w:ind w:left="0" w:leftChars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解决措施的思路：数据治理平台作为中后台系统平台，主要承担向业务系统的数据治理结果支撑，目前主要实现目标是租户间数据隔离以及数据资源的分级管理，整体合规与安全需要与业务系统共同配合实现。</w:t>
      </w:r>
    </w:p>
    <w:p w14:paraId="36789F25">
      <w:pPr>
        <w:pStyle w:val="11"/>
        <w:numPr>
          <w:ilvl w:val="1"/>
          <w:numId w:val="1"/>
        </w:numPr>
        <w:jc w:val="both"/>
        <w:rPr>
          <w:b w:val="0"/>
          <w:sz w:val="28"/>
          <w:szCs w:val="28"/>
        </w:rPr>
      </w:pPr>
      <w:bookmarkStart w:id="282" w:name="_Toc130812129"/>
      <w:bookmarkStart w:id="283" w:name="_Toc128973135"/>
      <w:bookmarkStart w:id="284" w:name="_Toc130805976"/>
      <w:bookmarkStart w:id="285" w:name="_Toc293051440"/>
      <w:bookmarkStart w:id="286" w:name="_Toc130805766"/>
      <w:bookmarkStart w:id="287" w:name="_Toc6778"/>
      <w:bookmarkStart w:id="288" w:name="_Toc130805405"/>
      <w:r>
        <w:rPr>
          <w:rFonts w:hint="eastAsia"/>
          <w:b w:val="0"/>
          <w:sz w:val="28"/>
          <w:szCs w:val="28"/>
        </w:rPr>
        <w:t>专利技术风险</w:t>
      </w:r>
      <w:bookmarkEnd w:id="282"/>
      <w:bookmarkEnd w:id="283"/>
      <w:bookmarkEnd w:id="284"/>
      <w:bookmarkEnd w:id="285"/>
      <w:bookmarkEnd w:id="286"/>
      <w:bookmarkEnd w:id="287"/>
      <w:bookmarkEnd w:id="288"/>
    </w:p>
    <w:p w14:paraId="6B404A1C">
      <w:pPr>
        <w:pStyle w:val="6"/>
        <w:spacing w:line="360" w:lineRule="auto"/>
        <w:ind w:left="0" w:leftChars="0"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289" w:name="_Toc293051441"/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无</w:t>
      </w:r>
    </w:p>
    <w:p w14:paraId="201E1559">
      <w:pPr>
        <w:pStyle w:val="11"/>
        <w:numPr>
          <w:ilvl w:val="0"/>
          <w:numId w:val="1"/>
        </w:numPr>
        <w:jc w:val="both"/>
      </w:pPr>
      <w:bookmarkStart w:id="290" w:name="_Toc20158"/>
      <w:r>
        <w:rPr>
          <w:rFonts w:hint="eastAsia"/>
        </w:rPr>
        <w:t>可行性分析总结</w:t>
      </w:r>
      <w:bookmarkEnd w:id="289"/>
      <w:bookmarkEnd w:id="290"/>
    </w:p>
    <w:p w14:paraId="0EF299F3">
      <w:pPr>
        <w:pStyle w:val="6"/>
        <w:spacing w:line="360" w:lineRule="auto"/>
        <w:ind w:left="0" w:leftChars="0" w:firstLine="480" w:firstLineChars="200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本次Empower平台升级，聚焦在提升数据质量、实时数据采集与智能化运维可观测性，并采用多租户和国产适配的创新架构模式。匹配当前市场需求及公司多场景项目落地，具备高可行性及优秀ROI，也为下一代数据和AI底座方案搭建坚实基础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C73CE"/>
    <w:multiLevelType w:val="singleLevel"/>
    <w:tmpl w:val="812C73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953395"/>
    <w:multiLevelType w:val="singleLevel"/>
    <w:tmpl w:val="879533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1BE5A"/>
    <w:multiLevelType w:val="singleLevel"/>
    <w:tmpl w:val="FFD1BE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5D185B6"/>
    <w:multiLevelType w:val="multilevel"/>
    <w:tmpl w:val="05D185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24C134B2"/>
    <w:multiLevelType w:val="multilevel"/>
    <w:tmpl w:val="24C134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7B"/>
    <w:rsid w:val="0001717B"/>
    <w:rsid w:val="000274BA"/>
    <w:rsid w:val="00072873"/>
    <w:rsid w:val="000B241C"/>
    <w:rsid w:val="00137988"/>
    <w:rsid w:val="001601AD"/>
    <w:rsid w:val="001E5725"/>
    <w:rsid w:val="00246B4D"/>
    <w:rsid w:val="002B36A0"/>
    <w:rsid w:val="003078C0"/>
    <w:rsid w:val="00322C3D"/>
    <w:rsid w:val="00333682"/>
    <w:rsid w:val="00350620"/>
    <w:rsid w:val="003850D0"/>
    <w:rsid w:val="003860CF"/>
    <w:rsid w:val="003B7192"/>
    <w:rsid w:val="00403705"/>
    <w:rsid w:val="00405D3D"/>
    <w:rsid w:val="00406BA8"/>
    <w:rsid w:val="0046042D"/>
    <w:rsid w:val="00461420"/>
    <w:rsid w:val="004B79EF"/>
    <w:rsid w:val="004E2AFF"/>
    <w:rsid w:val="0050155F"/>
    <w:rsid w:val="005418C0"/>
    <w:rsid w:val="00541BD1"/>
    <w:rsid w:val="00546A18"/>
    <w:rsid w:val="005541B9"/>
    <w:rsid w:val="0055696F"/>
    <w:rsid w:val="00582FF0"/>
    <w:rsid w:val="005A458C"/>
    <w:rsid w:val="005E11DD"/>
    <w:rsid w:val="005E1DDF"/>
    <w:rsid w:val="005F66FF"/>
    <w:rsid w:val="00615D70"/>
    <w:rsid w:val="006D03A9"/>
    <w:rsid w:val="007339E6"/>
    <w:rsid w:val="00751033"/>
    <w:rsid w:val="0082640D"/>
    <w:rsid w:val="008318C9"/>
    <w:rsid w:val="008351B8"/>
    <w:rsid w:val="00852207"/>
    <w:rsid w:val="00855BD2"/>
    <w:rsid w:val="008612EF"/>
    <w:rsid w:val="008B5920"/>
    <w:rsid w:val="008D204F"/>
    <w:rsid w:val="008F1396"/>
    <w:rsid w:val="008F2DE1"/>
    <w:rsid w:val="00902E60"/>
    <w:rsid w:val="0091497B"/>
    <w:rsid w:val="00964A88"/>
    <w:rsid w:val="00970A5C"/>
    <w:rsid w:val="00971F72"/>
    <w:rsid w:val="00A214CD"/>
    <w:rsid w:val="00A27576"/>
    <w:rsid w:val="00A6111B"/>
    <w:rsid w:val="00A75FDC"/>
    <w:rsid w:val="00A933B5"/>
    <w:rsid w:val="00AE4503"/>
    <w:rsid w:val="00AF65FD"/>
    <w:rsid w:val="00B2759E"/>
    <w:rsid w:val="00B54457"/>
    <w:rsid w:val="00B9199D"/>
    <w:rsid w:val="00B95692"/>
    <w:rsid w:val="00BC0B78"/>
    <w:rsid w:val="00BC23E1"/>
    <w:rsid w:val="00BF52DF"/>
    <w:rsid w:val="00BF72CB"/>
    <w:rsid w:val="00C24A25"/>
    <w:rsid w:val="00C250A7"/>
    <w:rsid w:val="00C41F92"/>
    <w:rsid w:val="00C72DF2"/>
    <w:rsid w:val="00CC571D"/>
    <w:rsid w:val="00CD01BF"/>
    <w:rsid w:val="00CD4BD3"/>
    <w:rsid w:val="00CE582D"/>
    <w:rsid w:val="00CF6C5D"/>
    <w:rsid w:val="00D157C5"/>
    <w:rsid w:val="00D54C24"/>
    <w:rsid w:val="00D62BF8"/>
    <w:rsid w:val="00D6551A"/>
    <w:rsid w:val="00DB7549"/>
    <w:rsid w:val="00DE29B0"/>
    <w:rsid w:val="00DF627A"/>
    <w:rsid w:val="00E00354"/>
    <w:rsid w:val="00E242E1"/>
    <w:rsid w:val="00E2541F"/>
    <w:rsid w:val="00E542B4"/>
    <w:rsid w:val="00EB64C6"/>
    <w:rsid w:val="00EC0D3C"/>
    <w:rsid w:val="00EE3D3A"/>
    <w:rsid w:val="00EF3441"/>
    <w:rsid w:val="00F82643"/>
    <w:rsid w:val="00FB607A"/>
    <w:rsid w:val="00FF2E47"/>
    <w:rsid w:val="0511613C"/>
    <w:rsid w:val="06157363"/>
    <w:rsid w:val="0EF43BD4"/>
    <w:rsid w:val="0F1B0A98"/>
    <w:rsid w:val="0FE04359"/>
    <w:rsid w:val="1266419C"/>
    <w:rsid w:val="15B074DA"/>
    <w:rsid w:val="18932554"/>
    <w:rsid w:val="19642D36"/>
    <w:rsid w:val="1CFA193D"/>
    <w:rsid w:val="2D6C486D"/>
    <w:rsid w:val="2FF14360"/>
    <w:rsid w:val="3DDC71EA"/>
    <w:rsid w:val="43B855F6"/>
    <w:rsid w:val="44CF173A"/>
    <w:rsid w:val="55BF2349"/>
    <w:rsid w:val="5CFC2300"/>
    <w:rsid w:val="5EAA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37"/>
    <w:semiHidden/>
    <w:unhideWhenUsed/>
    <w:qFormat/>
    <w:uiPriority w:val="99"/>
    <w:pPr>
      <w:jc w:val="left"/>
    </w:pPr>
  </w:style>
  <w:style w:type="paragraph" w:styleId="4">
    <w:name w:val="Body Text Indent"/>
    <w:basedOn w:val="1"/>
    <w:link w:val="31"/>
    <w:semiHidden/>
    <w:unhideWhenUsed/>
    <w:qFormat/>
    <w:uiPriority w:val="99"/>
    <w:pPr>
      <w:spacing w:after="120"/>
      <w:ind w:left="420" w:leftChars="200"/>
    </w:pPr>
  </w:style>
  <w:style w:type="paragraph" w:styleId="5">
    <w:name w:val="Plain Text"/>
    <w:basedOn w:val="1"/>
    <w:link w:val="33"/>
    <w:qFormat/>
    <w:uiPriority w:val="0"/>
    <w:pPr>
      <w:spacing w:line="360" w:lineRule="atLeast"/>
      <w:ind w:firstLine="200" w:firstLineChars="200"/>
    </w:pPr>
    <w:rPr>
      <w:szCs w:val="20"/>
    </w:rPr>
  </w:style>
  <w:style w:type="paragraph" w:styleId="6">
    <w:name w:val="Body Text Indent 2"/>
    <w:basedOn w:val="1"/>
    <w:link w:val="30"/>
    <w:qFormat/>
    <w:uiPriority w:val="0"/>
    <w:pPr>
      <w:ind w:left="420" w:leftChars="2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1">
    <w:name w:val="Title"/>
    <w:basedOn w:val="1"/>
    <w:link w:val="28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2">
    <w:name w:val="annotation subject"/>
    <w:basedOn w:val="3"/>
    <w:next w:val="3"/>
    <w:link w:val="38"/>
    <w:semiHidden/>
    <w:unhideWhenUsed/>
    <w:qFormat/>
    <w:uiPriority w:val="99"/>
    <w:rPr>
      <w:b/>
      <w:bCs/>
    </w:rPr>
  </w:style>
  <w:style w:type="paragraph" w:styleId="13">
    <w:name w:val="Body Text First Indent 2"/>
    <w:basedOn w:val="4"/>
    <w:link w:val="32"/>
    <w:semiHidden/>
    <w:unhideWhenUsed/>
    <w:qFormat/>
    <w:uiPriority w:val="99"/>
    <w:pPr>
      <w:ind w:firstLine="420" w:firstLineChars="200"/>
    </w:p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7"/>
    <w:qFormat/>
    <w:uiPriority w:val="99"/>
    <w:rPr>
      <w:sz w:val="18"/>
      <w:szCs w:val="18"/>
    </w:rPr>
  </w:style>
  <w:style w:type="paragraph" w:customStyle="1" w:styleId="20">
    <w:name w:val="样式3"/>
    <w:basedOn w:val="1"/>
    <w:qFormat/>
    <w:uiPriority w:val="0"/>
    <w:pPr>
      <w:widowControl/>
      <w:pBdr>
        <w:top w:val="threeDEngrave" w:color="auto" w:sz="24" w:space="1"/>
        <w:left w:val="threeDEngrave" w:color="auto" w:sz="24" w:space="4"/>
        <w:bottom w:val="threeDEmboss" w:color="auto" w:sz="24" w:space="1"/>
        <w:right w:val="threeDEmboss" w:color="auto" w:sz="24" w:space="4"/>
      </w:pBdr>
      <w:spacing w:before="720" w:after="240"/>
      <w:jc w:val="center"/>
    </w:pPr>
    <w:rPr>
      <w:rFonts w:ascii="Arial" w:hAnsi="Arial" w:cs="Arial"/>
      <w:b/>
      <w:bCs/>
      <w:smallCaps/>
      <w:kern w:val="28"/>
      <w:sz w:val="48"/>
      <w:szCs w:val="48"/>
    </w:rPr>
  </w:style>
  <w:style w:type="paragraph" w:customStyle="1" w:styleId="21">
    <w:name w:val="Title - Revision"/>
    <w:basedOn w:val="1"/>
    <w:qFormat/>
    <w:uiPriority w:val="0"/>
    <w:pPr>
      <w:widowControl/>
      <w:spacing w:before="720" w:after="240"/>
      <w:jc w:val="center"/>
    </w:pPr>
    <w:rPr>
      <w:rFonts w:ascii="Arial" w:hAnsi="Arial" w:cs="Arial"/>
      <w:b/>
      <w:bCs/>
      <w:smallCaps/>
      <w:kern w:val="28"/>
      <w:sz w:val="36"/>
      <w:szCs w:val="36"/>
    </w:rPr>
  </w:style>
  <w:style w:type="paragraph" w:customStyle="1" w:styleId="22">
    <w:name w:val="Table - Text"/>
    <w:basedOn w:val="1"/>
    <w:qFormat/>
    <w:uiPriority w:val="0"/>
    <w:pPr>
      <w:widowControl/>
      <w:spacing w:before="60" w:after="60"/>
      <w:jc w:val="left"/>
    </w:pPr>
    <w:rPr>
      <w:kern w:val="0"/>
      <w:sz w:val="20"/>
      <w:szCs w:val="20"/>
    </w:rPr>
  </w:style>
  <w:style w:type="paragraph" w:customStyle="1" w:styleId="23">
    <w:name w:val="TableCell"/>
    <w:basedOn w:val="1"/>
    <w:qFormat/>
    <w:uiPriority w:val="0"/>
    <w:pPr>
      <w:widowControl/>
      <w:spacing w:before="60" w:after="60"/>
      <w:jc w:val="left"/>
    </w:pPr>
    <w:rPr>
      <w:rFonts w:ascii="Garamond" w:hAnsi="Garamond"/>
      <w:kern w:val="0"/>
      <w:sz w:val="20"/>
      <w:szCs w:val="20"/>
    </w:rPr>
  </w:style>
  <w:style w:type="paragraph" w:customStyle="1" w:styleId="24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 w:cs="Arial"/>
      <w:b/>
      <w:bCs/>
      <w:kern w:val="0"/>
      <w:sz w:val="18"/>
      <w:szCs w:val="18"/>
    </w:rPr>
  </w:style>
  <w:style w:type="paragraph" w:customStyle="1" w:styleId="25">
    <w:name w:val="Heading 1 - Format Only"/>
    <w:basedOn w:val="2"/>
    <w:qFormat/>
    <w:uiPriority w:val="0"/>
    <w:pPr>
      <w:keepNext w:val="0"/>
      <w:keepLines w:val="0"/>
      <w:pageBreakBefore/>
      <w:widowControl/>
      <w:pBdr>
        <w:bottom w:val="single" w:color="808080" w:sz="36" w:space="3"/>
      </w:pBdr>
      <w:spacing w:before="0" w:after="240" w:line="240" w:lineRule="auto"/>
      <w:jc w:val="left"/>
      <w:outlineLvl w:val="9"/>
    </w:pPr>
    <w:rPr>
      <w:rFonts w:ascii="Arial" w:hAnsi="Arial" w:cs="Arial"/>
      <w:smallCaps/>
      <w:kern w:val="0"/>
      <w:sz w:val="32"/>
      <w:szCs w:val="32"/>
    </w:rPr>
  </w:style>
  <w:style w:type="character" w:customStyle="1" w:styleId="26">
    <w:name w:val="标题 1 字符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7">
    <w:name w:val="样式正文首行缩进2.5"/>
    <w:basedOn w:val="13"/>
    <w:qFormat/>
    <w:uiPriority w:val="0"/>
    <w:pPr>
      <w:ind w:left="50" w:leftChars="50" w:firstLine="200"/>
    </w:pPr>
    <w:rPr>
      <w:sz w:val="24"/>
    </w:rPr>
  </w:style>
  <w:style w:type="character" w:customStyle="1" w:styleId="28">
    <w:name w:val="标题 字符"/>
    <w:basedOn w:val="15"/>
    <w:link w:val="11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29">
    <w:name w:val="样式 倾斜 蓝色"/>
    <w:basedOn w:val="15"/>
    <w:qFormat/>
    <w:uiPriority w:val="0"/>
    <w:rPr>
      <w:rFonts w:eastAsia="宋体"/>
      <w:i/>
      <w:iCs/>
      <w:color w:val="0000FF"/>
      <w:sz w:val="24"/>
    </w:rPr>
  </w:style>
  <w:style w:type="character" w:customStyle="1" w:styleId="30">
    <w:name w:val="正文文本缩进 2 字符"/>
    <w:basedOn w:val="15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1">
    <w:name w:val="正文文本缩进 字符"/>
    <w:basedOn w:val="15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2">
    <w:name w:val="正文文本首行缩进 2 字符"/>
    <w:basedOn w:val="31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纯文本 字符"/>
    <w:basedOn w:val="15"/>
    <w:link w:val="5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paragraph" w:customStyle="1" w:styleId="36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7">
    <w:name w:val="批注文字 字符"/>
    <w:basedOn w:val="15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8">
    <w:name w:val="批注主题 字符"/>
    <w:basedOn w:val="37"/>
    <w:link w:val="12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7641-A273-4A4E-9F38-E3059F7FCB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2138</Words>
  <Characters>2465</Characters>
  <Lines>82</Lines>
  <Paragraphs>23</Paragraphs>
  <TotalTime>0</TotalTime>
  <ScaleCrop>false</ScaleCrop>
  <LinksUpToDate>false</LinksUpToDate>
  <CharactersWithSpaces>2562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2020-08-10T01:07:00Z</dcterms:created>
  <dc:creator>OFFICE</dc:creator>
  <cp:lastModifiedBy>maxzhao</cp:lastModifiedBy>
  <dcterms:modified xsi:type="dcterms:W3CDTF">2025-05-06T09:13:24Z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eyJoZGlkIjoiMzFiNmZhMWE5ZjY4MjM0NjcxYTQxYTk3NDNiMWFkYTAiLCJ1c2VySWQiOiIyMDE3MDI2NjgifQ==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AFE4D5972EEC432FA6A71314743A2564_12</vt:lpwstr>
  </property>
</Properties>
</file>