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UXC工作汇报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【2023年第一季度】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部门自研产品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1"/>
        <w:gridCol w:w="35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ZY2022009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擎天企业级设计体系Skytech.Design</w:t>
            </w:r>
          </w:p>
        </w:tc>
        <w:tc>
          <w:tcPr>
            <w:tcW w:w="355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整体进度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2022-05-01至2023-05-27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项目周期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目前公司界面风格多样且分散，设计开发过程中没有统一的界面规范进行指导参考；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现有模式造成前端开发投入较大、成本较高，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构建“擎天企业级设计体系”，包含“原型组件库-UI组件库-前端组件库”，提供给设计及研发人员使用，提高其工作效率及界面产出质量。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最近里程碑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组件功能测试，后续特性增强和缺陷修复（已完成）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制作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设计体系官网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（已完成）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现有产物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设计组件库Axure - MasterGO 版本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前端组件库文档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设计体系官网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现有成效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设计组件库Axure版本在“SkyEmpower算法赋能平台”及“全国碳排一体化”项目原型绘制中使用，同时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P1-P4-P5-P7-P8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”团队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有部分项目经理在使用，已收集使用反馈并作了相应优化调整；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设计组件库MasterGO版本在UI团队全员推广使用，目前非涉密项目的系统端Web页面均使用此设计组件快速绘制，效率提高20%；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前端组件库在前端团队推广使用，目前有5个非涉密引入使用，表单和表格的效率提高50%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5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ZY2023001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擎天科技外网官网</w:t>
            </w:r>
          </w:p>
        </w:tc>
        <w:tc>
          <w:tcPr>
            <w:tcW w:w="355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整体进度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2023-03-13至2023-07-31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项目周期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通过官网改版，升级擎天的品牌形象，树立并深化擎天作为行业前沿企业的品牌印象；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更加全面直观的展示擎天的实力及优秀项目、产品；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获取更多目标客户，为潜在客户/合作伙伴/投资人建立更多的沟通机会和渠道。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最近里程碑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5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官网首页样式风格确认（已完成）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一个专题页需求内容确认（已完成）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现有产物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6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官网首页设计图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官网首页及专题页原型图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现有成效</w:t>
            </w:r>
          </w:p>
        </w:tc>
        <w:tc>
          <w:tcPr>
            <w:tcW w:w="63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暂无，项目现有整体进度为10%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5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1" w:type="dxa"/>
            <w:shd w:val="clear" w:color="auto" w:fill="F1F1F1" w:themeFill="background1" w:themeFillShade="F2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UXC-大屏素材库</w:t>
            </w:r>
          </w:p>
        </w:tc>
        <w:tc>
          <w:tcPr>
            <w:tcW w:w="355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整体进度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2022-12-01至2023-06-15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项目周期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将现有大屏项目积累的界面、动效及案例，进行标签化管理，提供统一的平台入口展示查看大屏项目相关内容，方便售前、项目经理查找大屏资源；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将大屏界面组件化，构建大屏素材库MasterGO版本，方便售前、项目经理绘制大屏界面原型。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最近里程碑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图表组件库（进行中）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大屏案例库（已完成）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前端大屏种子项目（已完成）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现有产物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大屏案例库网站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大屏组件库MasterGo版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前端大屏种子项目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现有成效</w:t>
            </w:r>
          </w:p>
        </w:tc>
        <w:tc>
          <w:tcPr>
            <w:tcW w:w="6391" w:type="dxa"/>
            <w:gridSpan w:val="2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大屏组件库MasterGO版通过内部测试，实现快速绘制大屏页面，经测试，设计师可在1小时内搭建单个大屏页面。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项目数据 </w:t>
      </w:r>
      <w:r>
        <w:rPr>
          <w:rFonts w:hint="eastAsia"/>
          <w:b w:val="0"/>
          <w:bCs/>
          <w:color w:val="7F7F7F" w:themeColor="background1" w:themeShade="80"/>
          <w:sz w:val="21"/>
          <w:szCs w:val="21"/>
          <w:lang w:val="en-US" w:eastAsia="zh-CN"/>
        </w:rPr>
        <w:t>2023-02-01至03-31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设计前端共支撑项目总数：97个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P1张军贤：11个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P2曲科：6个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P3谢嘉：11个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P4王伟：8个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P5姜翼琛：9个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P6张书畅：9个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P7骆袁伟：9个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P8王俊龄：9个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售前项目：6个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客户服务群：8个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擎工互联：3个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自研产品：8个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企宣设计——支撑保障了如下活动及事件的企宣物料：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年终表彰大会、妇女节、香港公司年报、校园招聘等活动物料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全税通年终表彰大会、军令状、LOGO墙、月刊等活动物料</w:t>
      </w:r>
    </w:p>
    <w:p>
      <w:pPr>
        <w:pStyle w:val="3"/>
        <w:numPr>
          <w:ilvl w:val="0"/>
          <w:numId w:val="9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工作量占比（人/日）</w:t>
      </w:r>
      <w:r>
        <w:rPr>
          <w:rFonts w:hint="eastAsia"/>
          <w:b w:val="0"/>
          <w:bCs/>
          <w:color w:val="7F7F7F" w:themeColor="background1" w:themeShade="80"/>
          <w:sz w:val="21"/>
          <w:szCs w:val="21"/>
          <w:lang w:val="en-US" w:eastAsia="zh-CN"/>
        </w:rPr>
        <w:t>2023-02-01至03-31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设计投入总时长：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395.95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共8人  月平均工时：24.7人/天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3.17% 12.26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P1张军贤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6.64% 25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P2曲科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6.11% 23.65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P3谢嘉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  <w:t>9.39% 36.33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  <w:t>P4王伟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3.26% 12.6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P5姜翼琛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C000"/>
                <w:vertAlign w:val="baseline"/>
                <w:lang w:val="en-US" w:eastAsia="zh-CN"/>
              </w:rPr>
              <w:t>8.48% 32.8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C000"/>
                <w:vertAlign w:val="baseline"/>
                <w:lang w:val="en-US" w:eastAsia="zh-CN"/>
              </w:rPr>
              <w:t>P6张书畅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7.78% 30.13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P7骆袁伟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6.65% 25.74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P8王俊龄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1.27% 4.8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S1严晓冬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1.31% 5.27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S7尹杰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0.7% 2.67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S6徐伟泰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8.16% 31.59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客户服务群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  <w:t>22.9% 88.72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  <w:t>自研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C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前端投入总时长：992.22  共20人  月平均工时：24.8人/天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C000"/>
                <w:vertAlign w:val="baseline"/>
                <w:lang w:val="en-US" w:eastAsia="zh-CN"/>
              </w:rPr>
              <w:t>16.35% 162.25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C000"/>
                <w:vertAlign w:val="baseline"/>
                <w:lang w:val="en-US" w:eastAsia="zh-CN"/>
              </w:rPr>
              <w:t>P1张军贤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5.51% 54.71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P2曲科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7.52% 74.6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P3谢嘉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  <w:t>18.16% 180.23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C000"/>
                <w:vertAlign w:val="baseline"/>
                <w:lang w:val="en-US" w:eastAsia="zh-CN"/>
              </w:rPr>
              <w:t>P4王伟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1.95% 19.36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P5姜翼琛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4.59% 45.51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P6张书畅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  <w:t>21.11% 209.48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  <w:t>P7骆袁伟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0.83% 25.8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P8王俊龄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5.07 0.16%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客户服务群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89.66 9.04%</w:t>
            </w:r>
          </w:p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自研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建设资金发放情况</w:t>
      </w:r>
      <w:r>
        <w:rPr>
          <w:rFonts w:hint="eastAsia"/>
          <w:b w:val="0"/>
          <w:bCs/>
          <w:color w:val="7F7F7F" w:themeColor="background1" w:themeShade="80"/>
          <w:sz w:val="21"/>
          <w:szCs w:val="21"/>
          <w:lang w:val="en-US" w:eastAsia="zh-CN"/>
        </w:rPr>
        <w:t>2023-02-01至03-31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已发放建设资金的项目：1个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5"/>
        <w:gridCol w:w="3024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RJ2021041泰州智慧应急（二期）</w:t>
            </w:r>
          </w:p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4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P2曲科</w:t>
            </w:r>
          </w:p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vertAlign w:val="baseline"/>
                <w:lang w:val="en-US" w:eastAsia="zh-CN"/>
              </w:rPr>
              <w:t>项目合伙人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UXC发放人员</w:t>
            </w:r>
          </w:p>
        </w:tc>
        <w:tc>
          <w:tcPr>
            <w:tcW w:w="516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930元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发放总金额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与项目合伙人团队的协作细节还需要再改进打磨，比如如何高效的进行需求澄清、前后端如何实现同步开发提高效率等。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首先明确职责归属，本着谁提供谁解释谁负责的原则，需求澄清属于项目经理等需求方必须要去做的事情，前后端分离同步开发，需要后端在展开代码开发之前，先进行接口设计向前端提供接口文档；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建立对应跟踪考评制度，确保规则落地实行，比如项目验收时核查有无接口文档，定期收集需求澄清等工作反馈，并作为一个考评项。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4A498"/>
    <w:multiLevelType w:val="singleLevel"/>
    <w:tmpl w:val="8004A4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275F97"/>
    <w:multiLevelType w:val="singleLevel"/>
    <w:tmpl w:val="90275F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5CD820C"/>
    <w:multiLevelType w:val="singleLevel"/>
    <w:tmpl w:val="95CD82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E509C17"/>
    <w:multiLevelType w:val="singleLevel"/>
    <w:tmpl w:val="9E509C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757B848"/>
    <w:multiLevelType w:val="singleLevel"/>
    <w:tmpl w:val="B757B8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C48611B"/>
    <w:multiLevelType w:val="singleLevel"/>
    <w:tmpl w:val="2C48611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F0E459E"/>
    <w:multiLevelType w:val="singleLevel"/>
    <w:tmpl w:val="3F0E459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7C2348B"/>
    <w:multiLevelType w:val="singleLevel"/>
    <w:tmpl w:val="67C234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20E43CF"/>
    <w:multiLevelType w:val="singleLevel"/>
    <w:tmpl w:val="720E43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FBA2504"/>
    <w:multiLevelType w:val="singleLevel"/>
    <w:tmpl w:val="7FBA2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3NDdiNTBjODc0MjFhY2M3NmNjMmU2YjhhZTJjODgifQ=="/>
  </w:docVars>
  <w:rsids>
    <w:rsidRoot w:val="00000000"/>
    <w:rsid w:val="006E6810"/>
    <w:rsid w:val="00F13D53"/>
    <w:rsid w:val="01212F1A"/>
    <w:rsid w:val="018E0C32"/>
    <w:rsid w:val="048A01A6"/>
    <w:rsid w:val="04D01AC7"/>
    <w:rsid w:val="04DA62F8"/>
    <w:rsid w:val="05C432DB"/>
    <w:rsid w:val="06396511"/>
    <w:rsid w:val="08E14650"/>
    <w:rsid w:val="0B1E10B7"/>
    <w:rsid w:val="0BB4307B"/>
    <w:rsid w:val="0DFE5677"/>
    <w:rsid w:val="10DC65FB"/>
    <w:rsid w:val="115B693C"/>
    <w:rsid w:val="11970A9B"/>
    <w:rsid w:val="14833BD4"/>
    <w:rsid w:val="182955EF"/>
    <w:rsid w:val="187A2E3E"/>
    <w:rsid w:val="1C3D1800"/>
    <w:rsid w:val="1C834952"/>
    <w:rsid w:val="1D447DA7"/>
    <w:rsid w:val="1E9C078E"/>
    <w:rsid w:val="1F162661"/>
    <w:rsid w:val="1FAD7597"/>
    <w:rsid w:val="20522B06"/>
    <w:rsid w:val="23E42993"/>
    <w:rsid w:val="24427546"/>
    <w:rsid w:val="28051C20"/>
    <w:rsid w:val="28B93C1F"/>
    <w:rsid w:val="299468F8"/>
    <w:rsid w:val="2BED6A56"/>
    <w:rsid w:val="2C043A01"/>
    <w:rsid w:val="2C105E30"/>
    <w:rsid w:val="2F02103F"/>
    <w:rsid w:val="2F683598"/>
    <w:rsid w:val="31086225"/>
    <w:rsid w:val="31B531B2"/>
    <w:rsid w:val="32A26D85"/>
    <w:rsid w:val="33A46636"/>
    <w:rsid w:val="35661905"/>
    <w:rsid w:val="35EC545C"/>
    <w:rsid w:val="36BE1ABE"/>
    <w:rsid w:val="37265B67"/>
    <w:rsid w:val="38556041"/>
    <w:rsid w:val="39526764"/>
    <w:rsid w:val="39AC2C8A"/>
    <w:rsid w:val="3E935F56"/>
    <w:rsid w:val="3E9502A0"/>
    <w:rsid w:val="3E977995"/>
    <w:rsid w:val="40E47DD8"/>
    <w:rsid w:val="420A0422"/>
    <w:rsid w:val="42DA59BA"/>
    <w:rsid w:val="454B4A03"/>
    <w:rsid w:val="45CD0EAF"/>
    <w:rsid w:val="45E437AD"/>
    <w:rsid w:val="46744E00"/>
    <w:rsid w:val="4A3D1407"/>
    <w:rsid w:val="4BD42F14"/>
    <w:rsid w:val="4C2F4D60"/>
    <w:rsid w:val="4C78744B"/>
    <w:rsid w:val="4C813EC6"/>
    <w:rsid w:val="4CE617C3"/>
    <w:rsid w:val="4F6C798B"/>
    <w:rsid w:val="512322CB"/>
    <w:rsid w:val="53D52FC5"/>
    <w:rsid w:val="53DB2D36"/>
    <w:rsid w:val="53E8662E"/>
    <w:rsid w:val="54005B4F"/>
    <w:rsid w:val="553C5417"/>
    <w:rsid w:val="5AF41078"/>
    <w:rsid w:val="5C3601ED"/>
    <w:rsid w:val="5C64154B"/>
    <w:rsid w:val="5CDC30C9"/>
    <w:rsid w:val="5D327B1E"/>
    <w:rsid w:val="65985F6F"/>
    <w:rsid w:val="69C30FED"/>
    <w:rsid w:val="6D912F04"/>
    <w:rsid w:val="6E9058BD"/>
    <w:rsid w:val="6EB348ED"/>
    <w:rsid w:val="6EE72CD6"/>
    <w:rsid w:val="6F9E3EA7"/>
    <w:rsid w:val="700F4D75"/>
    <w:rsid w:val="7019691C"/>
    <w:rsid w:val="72C9209B"/>
    <w:rsid w:val="73517776"/>
    <w:rsid w:val="74DC7231"/>
    <w:rsid w:val="74F00D61"/>
    <w:rsid w:val="768F2C13"/>
    <w:rsid w:val="796F0529"/>
    <w:rsid w:val="7AC5017B"/>
    <w:rsid w:val="7CC96AB2"/>
    <w:rsid w:val="7D934365"/>
    <w:rsid w:val="7DF22C25"/>
    <w:rsid w:val="7ED14AFB"/>
    <w:rsid w:val="7F2552D7"/>
    <w:rsid w:val="7F2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1433</Words>
  <Characters>1883</Characters>
  <Lines>0</Lines>
  <Paragraphs>0</Paragraphs>
  <TotalTime>58</TotalTime>
  <ScaleCrop>false</ScaleCrop>
  <LinksUpToDate>false</LinksUpToDate>
  <CharactersWithSpaces>1919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2023-04-04T09:09:00Z</dcterms:created>
  <dc:creator>40696</dc:creator>
  <cp:lastModifiedBy>拍拍</cp:lastModifiedBy>
  <dcterms:modified xsi:type="dcterms:W3CDTF">2023-04-07T11:24:03Z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4195B2CD9A1B48B48E1046218944B85F</vt:lpwstr>
  </property>
</Properties>
</file>