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Hideout launch calendar and sales plan</w:t>
      </w:r>
    </w:p>
    <w:p>
      <w:r>
        <w:t>20 October to 28 November 2026 | 39 days remaining on 20 October | 40 calendar dates including launch day and event day</w:t>
      </w:r>
    </w:p>
    <w:p>
      <w:r>
        <w:t>The immediate priority is to confirm the offer, make booking reliable and secure premium reservations before expanding promotion. This plan assigns work to suggested roles; Bama can combine roles where the team is small. Sales milestones are proposed planning targets, not forecasts or existing sales.</w:t>
      </w:r>
    </w:p>
    <w:p>
      <w:pPr>
        <w:pStyle w:val="Heading1"/>
      </w:pPr>
      <w:r>
        <w:t>Decisions required by 22 October</w:t>
      </w:r>
    </w:p>
    <w:p>
      <w:pPr>
        <w:pStyle w:val="ListBullet"/>
      </w:pPr>
      <w:r>
        <w:t>Confirm venue permission in writing, exact location or controlled location-disclosure process, opening and closing times, approved guest capacity, pool capacity and noise limits.</w:t>
      </w:r>
    </w:p>
    <w:p>
      <w:pPr>
        <w:pStyle w:val="ListBullet"/>
      </w:pPr>
      <w:r>
        <w:t>The ₦15k offer requires presentation of a physical voter’s card. Confirm the entry-check process and communicate it alongside the price. Confirm whether Couple includes reserved seating as shown in the visuals. Define VVIP and Cabana guest counts, reserved area, service and all inclusions or exclusions. VIP is a table of two.</w:t>
      </w:r>
    </w:p>
    <w:p>
      <w:pPr>
        <w:pStyle w:val="ListBullet"/>
      </w:pPr>
      <w:r>
        <w:t>Confirm furniture stock, what the ticket guarantees, payment recipient, refund/transfer rules, weather/postponement policy and any deposit terms. Do not offer deposits until approved.</w:t>
      </w:r>
    </w:p>
    <w:p>
      <w:pPr>
        <w:pStyle w:val="ListBullet"/>
      </w:pPr>
      <w:r>
        <w:t>Adopt and publish an age policy. If alcohol is served, ensure adult-only marketing and suitable service checks. Confirm qualified lifeguards, first aid, security, non-slip access, toilets, changing facilities and safe parking.</w:t>
      </w:r>
    </w:p>
    <w:p>
      <w:pPr>
        <w:pStyle w:val="ListBullet"/>
      </w:pPr>
      <w:r>
        <w:t>Keep the original VybeCheck logo as an unchanged image asset. Use separate editable text for title, prices, contacts and sponsor placements.</w:t>
      </w:r>
    </w:p>
    <w:tbl>
      <w:tblPr>
        <w:tblW w:type="auto" w:w="0"/>
        <w:tblLayout w:type="fixed"/>
        <w:tblLook w:firstColumn="1" w:firstRow="1" w:lastColumn="0" w:lastRow="0" w:noHBand="0" w:noVBand="1" w:val="04A0"/>
      </w:tblPr>
      <w:tblGrid>
        <w:gridCol w:w="2088"/>
        <w:gridCol w:w="1440"/>
        <w:gridCol w:w="5832"/>
      </w:tblGrid>
      <w:tr>
        <w:trPr>
          <w:cantSplit/>
          <w:tblHeader/>
        </w:trPr>
        <w:tc>
          <w:tcPr>
            <w:tcW w:type="dxa" w:w="2088"/>
            <w:tcBorders>
              <w:top w:val="single" w:sz="4" w:color="D9D9D9"/>
              <w:left w:val="single" w:sz="4" w:color="D9D9D9"/>
              <w:bottom w:val="single" w:sz="4" w:color="D9D9D9"/>
              <w:right w:val="single" w:sz="4" w:color="D9D9D9"/>
            </w:tcBorders>
            <w:shd w:fill="333333"/>
          </w:tcPr>
          <w:p>
            <w:pPr>
              <w:spacing w:before="100" w:after="100"/>
            </w:pPr>
            <w:r>
              <w:rPr>
                <w:b/>
                <w:color w:val="FFFFFF"/>
                <w:sz w:val="18"/>
              </w:rPr>
              <w:t>Category</w:t>
            </w:r>
          </w:p>
        </w:tc>
        <w:tc>
          <w:tcPr>
            <w:tcW w:type="dxa" w:w="1440"/>
            <w:tcBorders>
              <w:top w:val="single" w:sz="4" w:color="D9D9D9"/>
              <w:left w:val="single" w:sz="4" w:color="D9D9D9"/>
              <w:bottom w:val="single" w:sz="4" w:color="D9D9D9"/>
              <w:right w:val="single" w:sz="4" w:color="D9D9D9"/>
            </w:tcBorders>
            <w:shd w:fill="333333"/>
          </w:tcPr>
          <w:p>
            <w:pPr>
              <w:spacing w:before="100" w:after="100"/>
            </w:pPr>
            <w:r>
              <w:rPr>
                <w:b/>
                <w:color w:val="FFFFFF"/>
                <w:sz w:val="18"/>
              </w:rPr>
              <w:t>Price</w:t>
            </w:r>
          </w:p>
        </w:tc>
        <w:tc>
          <w:tcPr>
            <w:tcW w:type="dxa" w:w="5832"/>
            <w:tcBorders>
              <w:top w:val="single" w:sz="4" w:color="D9D9D9"/>
              <w:left w:val="single" w:sz="4" w:color="D9D9D9"/>
              <w:bottom w:val="single" w:sz="4" w:color="D9D9D9"/>
              <w:right w:val="single" w:sz="4" w:color="D9D9D9"/>
            </w:tcBorders>
            <w:shd w:fill="333333"/>
          </w:tcPr>
          <w:p>
            <w:pPr>
              <w:spacing w:before="100" w:after="100"/>
            </w:pPr>
            <w:r>
              <w:rPr>
                <w:b/>
                <w:color w:val="FFFFFF"/>
                <w:sz w:val="18"/>
              </w:rPr>
              <w:t>Sales readiness</w:t>
            </w:r>
          </w:p>
        </w:tc>
      </w:tr>
      <w:tr>
        <w:trPr>
          <w:cantSplit/>
        </w:trPr>
        <w:tc>
          <w:tcPr>
            <w:tcW w:type="dxa" w:w="2088"/>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With physical voter’s card</w:t>
            </w:r>
          </w:p>
        </w:tc>
        <w:tc>
          <w:tcPr>
            <w:tcW w:type="dxa" w:w="144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₦15,000</w:t>
            </w:r>
          </w:p>
        </w:tc>
        <w:tc>
          <w:tcPr>
            <w:tcW w:type="dxa" w:w="583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Physical voter’s card presented at entry; visual check only</w:t>
            </w:r>
          </w:p>
        </w:tc>
      </w:tr>
      <w:tr>
        <w:trPr>
          <w:cantSplit/>
        </w:trPr>
        <w:tc>
          <w:tcPr>
            <w:tcW w:type="dxa" w:w="2088"/>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Access</w:t>
            </w:r>
          </w:p>
        </w:tc>
        <w:tc>
          <w:tcPr>
            <w:tcW w:type="dxa" w:w="144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₦25,000</w:t>
            </w:r>
          </w:p>
        </w:tc>
        <w:tc>
          <w:tcPr>
            <w:tcW w:type="dxa" w:w="583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Define admission and pool access conditions</w:t>
            </w:r>
          </w:p>
        </w:tc>
      </w:tr>
      <w:tr>
        <w:trPr>
          <w:cantSplit/>
        </w:trPr>
        <w:tc>
          <w:tcPr>
            <w:tcW w:type="dxa" w:w="2088"/>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Couple</w:t>
            </w:r>
          </w:p>
        </w:tc>
        <w:tc>
          <w:tcPr>
            <w:tcW w:type="dxa" w:w="144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₦45,000</w:t>
            </w:r>
          </w:p>
        </w:tc>
        <w:tc>
          <w:tcPr>
            <w:tcW w:type="dxa" w:w="583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Confirm two admissions and seating guarantee</w:t>
            </w:r>
          </w:p>
        </w:tc>
      </w:tr>
      <w:tr>
        <w:trPr>
          <w:cantSplit/>
        </w:trPr>
        <w:tc>
          <w:tcPr>
            <w:tcW w:type="dxa" w:w="2088"/>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VIP table of 2</w:t>
            </w:r>
          </w:p>
        </w:tc>
        <w:tc>
          <w:tcPr>
            <w:tcW w:type="dxa" w:w="144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₦100,000</w:t>
            </w:r>
          </w:p>
        </w:tc>
        <w:tc>
          <w:tcPr>
            <w:tcW w:type="dxa" w:w="583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Two-person table; specify included service</w:t>
            </w:r>
          </w:p>
        </w:tc>
      </w:tr>
      <w:tr>
        <w:trPr>
          <w:cantSplit/>
        </w:trPr>
        <w:tc>
          <w:tcPr>
            <w:tcW w:type="dxa" w:w="2088"/>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VVIP</w:t>
            </w:r>
          </w:p>
        </w:tc>
        <w:tc>
          <w:tcPr>
            <w:tcW w:type="dxa" w:w="144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₦250,000</w:t>
            </w:r>
          </w:p>
        </w:tc>
        <w:tc>
          <w:tcPr>
            <w:tcW w:type="dxa" w:w="583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Beside DJ set; guest count and inclusions pending</w:t>
            </w:r>
          </w:p>
        </w:tc>
      </w:tr>
      <w:tr>
        <w:trPr>
          <w:cantSplit/>
        </w:trPr>
        <w:tc>
          <w:tcPr>
            <w:tcW w:type="dxa" w:w="2088"/>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Cabana</w:t>
            </w:r>
          </w:p>
        </w:tc>
        <w:tc>
          <w:tcPr>
            <w:tcW w:type="dxa" w:w="144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₦1,000,000</w:t>
            </w:r>
          </w:p>
        </w:tc>
        <w:tc>
          <w:tcPr>
            <w:tcW w:type="dxa" w:w="583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Gazebo lounge; guest count and inclusions pending</w:t>
            </w:r>
          </w:p>
        </w:tc>
      </w:tr>
    </w:tbl>
    <w:p>
      <w:pPr>
        <w:pStyle w:val="Heading1"/>
      </w:pPr>
      <w:r>
        <w:t>Premium buyers and how to reach them</w:t>
      </w:r>
    </w:p>
    <w:p>
      <w:r>
        <w:t>Sell the real experience: an organised arrival, a confirmed seating area, a clear view, good music and dependable hosting. Higher-spending buyers need certainty and personal attention. Avoid describing people publicly as “heavy spenders” or guessing wealth from sensitive information.</w:t>
      </w:r>
    </w:p>
    <w:tbl>
      <w:tblPr>
        <w:tblW w:type="auto" w:w="0"/>
        <w:tblLayout w:type="fixed"/>
        <w:tblLook w:firstColumn="1" w:firstRow="1" w:lastColumn="0" w:lastRow="0" w:noHBand="0" w:noVBand="1" w:val="04A0"/>
      </w:tblPr>
      <w:tblGrid>
        <w:gridCol w:w="1872"/>
        <w:gridCol w:w="3240"/>
        <w:gridCol w:w="4248"/>
      </w:tblGrid>
      <w:tr>
        <w:trPr>
          <w:cantSplit/>
          <w:tblHeader/>
        </w:trPr>
        <w:tc>
          <w:tcPr>
            <w:tcW w:type="dxa" w:w="1872"/>
            <w:tcBorders>
              <w:top w:val="single" w:sz="4" w:color="D9D9D9"/>
              <w:left w:val="single" w:sz="4" w:color="D9D9D9"/>
              <w:bottom w:val="single" w:sz="4" w:color="D9D9D9"/>
              <w:right w:val="single" w:sz="4" w:color="D9D9D9"/>
            </w:tcBorders>
            <w:shd w:fill="333333"/>
          </w:tcPr>
          <w:p>
            <w:pPr>
              <w:spacing w:before="100" w:after="100"/>
            </w:pPr>
            <w:r>
              <w:rPr>
                <w:b/>
                <w:color w:val="FFFFFF"/>
                <w:sz w:val="18"/>
              </w:rPr>
              <w:t>Buyer group</w:t>
            </w:r>
          </w:p>
        </w:tc>
        <w:tc>
          <w:tcPr>
            <w:tcW w:type="dxa" w:w="3240"/>
            <w:tcBorders>
              <w:top w:val="single" w:sz="4" w:color="D9D9D9"/>
              <w:left w:val="single" w:sz="4" w:color="D9D9D9"/>
              <w:bottom w:val="single" w:sz="4" w:color="D9D9D9"/>
              <w:right w:val="single" w:sz="4" w:color="D9D9D9"/>
            </w:tcBorders>
            <w:shd w:fill="333333"/>
          </w:tcPr>
          <w:p>
            <w:pPr>
              <w:spacing w:before="100" w:after="100"/>
            </w:pPr>
            <w:r>
              <w:rPr>
                <w:b/>
                <w:color w:val="FFFFFF"/>
                <w:sz w:val="18"/>
              </w:rPr>
              <w:t>Route in</w:t>
            </w:r>
          </w:p>
        </w:tc>
        <w:tc>
          <w:tcPr>
            <w:tcW w:type="dxa" w:w="4248"/>
            <w:tcBorders>
              <w:top w:val="single" w:sz="4" w:color="D9D9D9"/>
              <w:left w:val="single" w:sz="4" w:color="D9D9D9"/>
              <w:bottom w:val="single" w:sz="4" w:color="D9D9D9"/>
              <w:right w:val="single" w:sz="4" w:color="D9D9D9"/>
            </w:tcBorders>
            <w:shd w:fill="333333"/>
          </w:tcPr>
          <w:p>
            <w:pPr>
              <w:spacing w:before="100" w:after="100"/>
            </w:pPr>
            <w:r>
              <w:rPr>
                <w:b/>
                <w:color w:val="FFFFFF"/>
                <w:sz w:val="18"/>
              </w:rPr>
              <w:t>What to show</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Existing patrons and friend groups</w:t>
            </w:r>
          </w:p>
        </w:tc>
        <w:tc>
          <w:tcPr>
            <w:tcW w:type="dxa" w:w="324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Ask trusted regulars for opt-in introductions</w:t>
            </w:r>
          </w:p>
        </w:tc>
        <w:tc>
          <w:tcPr>
            <w:tcW w:type="dxa" w:w="4248"/>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Actual setup video, seating plan, exact guest allowance and booking terms</w:t>
            </w:r>
          </w:p>
        </w:tc>
      </w:tr>
      <w:tr>
        <w:trPr>
          <w:cantSplit/>
        </w:trPr>
        <w:tc>
          <w:tcPr>
            <w:tcW w:type="dxa" w:w="187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Founders and professional hosts</w:t>
            </w:r>
          </w:p>
        </w:tc>
        <w:tc>
          <w:tcPr>
            <w:tcW w:type="dxa" w:w="324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Warm introductions through business and creative networks</w:t>
            </w:r>
          </w:p>
        </w:tc>
        <w:tc>
          <w:tcPr>
            <w:tcW w:type="dxa" w:w="4248"/>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A Cabana or VVIP gathering for a team or friends, with confirmed inclusions</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Concierge and hospitality contacts</w:t>
            </w:r>
          </w:p>
        </w:tc>
        <w:tc>
          <w:tcPr>
            <w:tcW w:type="dxa" w:w="324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Approach hotel concierges and event planners through business channels</w:t>
            </w:r>
          </w:p>
        </w:tc>
        <w:tc>
          <w:tcPr>
            <w:tcW w:type="dxa" w:w="4248"/>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One-page category card and named booking host; documented referral terms</w:t>
            </w:r>
          </w:p>
        </w:tc>
      </w:tr>
      <w:tr>
        <w:trPr>
          <w:cantSplit/>
        </w:trPr>
        <w:tc>
          <w:tcPr>
            <w:tcW w:type="dxa" w:w="187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Lifestyle partners</w:t>
            </w:r>
          </w:p>
        </w:tc>
        <w:tc>
          <w:tcPr>
            <w:tcW w:type="dxa" w:w="324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Existing car showroom, fashion, fitness and lounge relationships</w:t>
            </w:r>
          </w:p>
        </w:tc>
        <w:tc>
          <w:tcPr>
            <w:tcW w:type="dxa" w:w="4248"/>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Co-hosted invitation or small preview; track source codes, not inflated reach</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Brand teams</w:t>
            </w:r>
          </w:p>
        </w:tc>
        <w:tc>
          <w:tcPr>
            <w:tcW w:type="dxa" w:w="324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Marketing or partnerships contact</w:t>
            </w:r>
          </w:p>
        </w:tc>
        <w:tc>
          <w:tcPr>
            <w:tcW w:type="dxa" w:w="4248"/>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Written activation scope, inventory, reporting and a meeting request</w:t>
            </w:r>
          </w:p>
        </w:tc>
      </w:tr>
    </w:tbl>
    <w:p>
      <w:pPr>
        <w:pStyle w:val="Heading1"/>
      </w:pPr>
      <w:r>
        <w:t>Booking process and follow up</w:t>
      </w:r>
    </w:p>
    <w:p>
      <w:r>
        <w:t>Assign one concierge to +2348131173415. Ask group size, preferred category and any access needs, then send the relevant real setup video and price. Record the enquiry source, category, follow-up date, paid amount and reservation ID. Verify payment in the authorised account before issuing confirmation. Keep guest data restricted to the team members who need it.</w:t>
      </w:r>
    </w:p>
    <w:p>
      <w:r>
        <w:t>Recommended cadence: personal invitation; follow up after 48 hours with the actual seating preview; after another three days answer the key objection; then one availability update based on real inventory. Stop promotional follow-up if the person declines. No fake sold-out claims, artificial scarcity or unapproved discounts.</w:t>
      </w:r>
    </w:p>
    <w:p>
      <w:r>
        <w:t>Sample premium invitation: “Hey [Name], I’m hosting The Hideout on November 28 at a hilltop spot in Abuja. I thought of you and your crew for the [VVIP/Cabana] setup. It’s ₦[price]. Can I send you the actual view, seating setup and full inclusions?”</w:t>
      </w:r>
    </w:p>
    <w:p>
      <w:r>
        <w:t>Sample closing message: “Here’s the confirmed setup for [guest count], the total price and what’s included. If it works for your group, I’ll send the payment instructions and booking terms. Your reservation is confirmed once payment is verified.”</w:t>
      </w:r>
    </w:p>
    <w:p>
      <w:pPr>
        <w:pStyle w:val="Heading1"/>
      </w:pPr>
      <w:r>
        <w:t>Targets and spending controls</w:t>
      </w:r>
    </w:p>
    <w:p>
      <w:r>
        <w:t>After confirming safe sellable inventory, use paid inventory milestones of 20% by 1 November, 45% by 8 November, 65% by 15 November, 85% by 22 November and the remaining approved inventory by 27 November. Review premium units separately from admissions, and count table guest allocations in the total occupancy limit. Adjust targets after the first sales week.</w:t>
      </w:r>
    </w:p>
    <w:p>
      <w:r>
        <w:t>Example only: two Cabanas + four VVIP reservations + six VIP tables = ₦3,600,000 gross ticket revenue, before costs, fees and taxes. This is a scenario, not a sales forecast. Do not release that inventory until the seating and guest capacity support it.</w:t>
      </w:r>
    </w:p>
    <w:p>
      <w:r>
        <w:t>Build the cost sheet first: venue, sound, DJ, furniture, media, staff, security, lifeguards, power, pool cleaning, toilets, transport, contingency and refunds. Break-even ticket revenue equals total costs minus confirmed cash sponsorship and other net contribution. In-kind sponsorship only reduces the specific cost it replaces.</w:t>
      </w:r>
    </w:p>
    <w:p>
      <w:r>
        <w:t>Set an approved advertising ceiling. Test a small share first, compare two real-venue creative angles, and scale only when verified paid bookings justify acquisition cost. Track spend, qualified conversations, paid bookings, revenue by category and refunds. Likes and messages alone are not sales. Use click-to-WhatsApp ads only if the booking number is WhatsApp-enabled and properly connected; otherwise use a verified booking page or call CTA.</w:t>
      </w:r>
    </w:p>
    <w:p>
      <w:pPr>
        <w:pStyle w:val="Heading1"/>
      </w:pPr>
      <w:r>
        <w:t>Daily action calendar</w:t>
      </w:r>
    </w:p>
    <w:p>
      <w:r>
        <w:t>Every day: a 15-minute team check-in; reconcile bank receipts and ticket inventory; reply to enquiries during published business hours; update the sales tracker; record blockers. Each row below adds the day’s priority task. Owner roles are proposed assignments.</w:t>
      </w:r>
    </w:p>
    <w:tbl>
      <w:tblPr>
        <w:tblW w:type="auto" w:w="0"/>
        <w:tblLayout w:type="fixed"/>
        <w:tblLook w:firstColumn="1" w:firstRow="1" w:lastColumn="0" w:lastRow="0" w:noHBand="0" w:noVBand="1" w:val="04A0"/>
      </w:tblPr>
      <w:tblGrid>
        <w:gridCol w:w="792"/>
        <w:gridCol w:w="1512"/>
        <w:gridCol w:w="3456"/>
        <w:gridCol w:w="3600"/>
      </w:tblGrid>
      <w:tr>
        <w:trPr>
          <w:cantSplit/>
          <w:tblHeader/>
        </w:trPr>
        <w:tc>
          <w:tcPr>
            <w:tcW w:type="dxa" w:w="792"/>
            <w:tcBorders>
              <w:top w:val="single" w:sz="4" w:color="D9D9D9"/>
              <w:left w:val="single" w:sz="4" w:color="D9D9D9"/>
              <w:bottom w:val="single" w:sz="4" w:color="D9D9D9"/>
              <w:right w:val="single" w:sz="4" w:color="D9D9D9"/>
            </w:tcBorders>
            <w:shd w:fill="333333"/>
          </w:tcPr>
          <w:p>
            <w:pPr>
              <w:spacing w:before="100" w:after="100"/>
            </w:pPr>
            <w:r>
              <w:rPr>
                <w:b/>
                <w:color w:val="FFFFFF"/>
                <w:sz w:val="18"/>
              </w:rPr>
              <w:t>Date</w:t>
            </w:r>
          </w:p>
        </w:tc>
        <w:tc>
          <w:tcPr>
            <w:tcW w:type="dxa" w:w="1512"/>
            <w:tcBorders>
              <w:top w:val="single" w:sz="4" w:color="D9D9D9"/>
              <w:left w:val="single" w:sz="4" w:color="D9D9D9"/>
              <w:bottom w:val="single" w:sz="4" w:color="D9D9D9"/>
              <w:right w:val="single" w:sz="4" w:color="D9D9D9"/>
            </w:tcBorders>
            <w:shd w:fill="333333"/>
          </w:tcPr>
          <w:p>
            <w:pPr>
              <w:spacing w:before="100" w:after="100"/>
            </w:pPr>
            <w:r>
              <w:rPr>
                <w:b/>
                <w:color w:val="FFFFFF"/>
                <w:sz w:val="18"/>
              </w:rPr>
              <w:t>Owner</w:t>
            </w:r>
          </w:p>
        </w:tc>
        <w:tc>
          <w:tcPr>
            <w:tcW w:type="dxa" w:w="3456"/>
            <w:tcBorders>
              <w:top w:val="single" w:sz="4" w:color="D9D9D9"/>
              <w:left w:val="single" w:sz="4" w:color="D9D9D9"/>
              <w:bottom w:val="single" w:sz="4" w:color="D9D9D9"/>
              <w:right w:val="single" w:sz="4" w:color="D9D9D9"/>
            </w:tcBorders>
            <w:shd w:fill="333333"/>
          </w:tcPr>
          <w:p>
            <w:pPr>
              <w:spacing w:before="100" w:after="100"/>
            </w:pPr>
            <w:r>
              <w:rPr>
                <w:b/>
                <w:color w:val="FFFFFF"/>
                <w:sz w:val="18"/>
              </w:rPr>
              <w:t>Delivery priority</w:t>
            </w:r>
          </w:p>
        </w:tc>
        <w:tc>
          <w:tcPr>
            <w:tcW w:type="dxa" w:w="3600"/>
            <w:tcBorders>
              <w:top w:val="single" w:sz="4" w:color="D9D9D9"/>
              <w:left w:val="single" w:sz="4" w:color="D9D9D9"/>
              <w:bottom w:val="single" w:sz="4" w:color="D9D9D9"/>
              <w:right w:val="single" w:sz="4" w:color="D9D9D9"/>
            </w:tcBorders>
            <w:shd w:fill="333333"/>
          </w:tcPr>
          <w:p>
            <w:pPr>
              <w:spacing w:before="100" w:after="100"/>
            </w:pPr>
            <w:r>
              <w:rPr>
                <w:b/>
                <w:color w:val="FFFFFF"/>
                <w:sz w:val="18"/>
              </w:rPr>
              <w:t>Sales and marketing action</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20 Oct</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Bama / producer</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Confirm venue, capacity, times and all ticket inclusions; confirm physical voter’s-card entry checks.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Create approved offer sheet and shortlist 50 warm premium prospects.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21 Oct</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Operations / finance</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Get written venue terms; budget and break-even; inventory by seating zone.</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Set authorised payment account, receipt and reservation process.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22 Oct</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Sales / operations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Confirm guest allowances, policies, age rules and lifeguard/security plan.</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Build category cards and invite first 10 warm prospects personally.</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23 Oct</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Media / Bama</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Film actual venue, sunset, seating mockups and direct-to-camera invitation.</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Send 10 premium introductions and request three site-preview appointments.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24 Oct</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Media / sales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Edit and QA hero commercial; test booking flow end to end.</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Publish launch reel, pin date/contact and send opt-in WhatsApp announcement.</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25 Oct</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Sales / partnerships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Review launch enquiries and objections.</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Follow up first prospects; contact five hospitality or lifestyle referral partners.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26 Oct</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Partnerships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Prepare five tailored sponsor letters and a deliverables sheet.</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Send sponsor approaches to verified business contacts; log next action.</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27 Oct</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Operations / sales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Approve furniture quotes and actual seat layouts.</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Publish real venue walkthrough and first seating-category explanation.</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28 Oct</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Media / Bama</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Record a short music-led teaser during the regular recording workflow.</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Share creator collaboration kit; give each collaborator a trackable source code.</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29 Oct</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Sales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Review concierge response speed and payment conversion.</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Release Couple/VIP cards; follow up 10 qualified enquiries with relevant setup.</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30 Oct</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Partnerships / Bama</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Hold sponsor calls and confirm cash versus in-kind needs.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Privately invite prospective Cabana hosts to a venue preview.</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31 Oct</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Operations / sales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Run small venue preview if permissions allow; document actual setups.</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Host qualified buyers personally and send written package details afterward.</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1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Finance / sales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Review costs and 20% proposed paid-inventory milestone.</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Identify stalled buyers; fix unclear inclusions before increasing ad spend.</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Media / ads lead</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Prepare two real-footage ad variants and approved test budget.</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Launch limited local tests to eligible adults; route enquiries to booking host.</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3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Partnerships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Complete first sponsor meetings and scope proposals.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Send tailored activation options with quantities and approval deadlines.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4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Media / Bama</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Record games and networking invitation content.</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Publish a conversational invitation; answer the three most common questions.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5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Sales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Update seating plan with confirmed paid reservations only.</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Approach five group hosts through warm introductions, not mass spam.</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6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Ads / finance</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Audit qualified leads, spend and paid-booking attribution.</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Pause weak ads; retain creatives that produce bookings at an affordable cost.</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7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Operations / sales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Hold second private preview or video call.</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Show real VVIP/DJ position and Cabana location; close interested group hosts.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8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Bama / finance</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Review proposed 45% paid-inventory milestone and cash commitments.</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Decide remaining inventory priorities and assign one owner per warm buyer.</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9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Partnerships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Seek sponsor decisions; draft agreements and placement plans.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Follow up only agreed sponsor next steps, with production deadlines.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10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Operations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Reconfirm DJ, sound, power, furniture and staff availability.</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Publish clear “what your ticket includes” content approved by operations.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11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Media / Bama</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Shoot genuine social proof or approved buyer testimonials.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Publish music-led reel and real setup photos; never imply concept art is attendance.</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12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Sales / media</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Approve final premium setup visuals and concierge FAQ.</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Release fresh Bama invitation; personally contact 10 remaining warm premium buyers.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13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Operations / finance</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Pay only approved vendor milestones; check cancellation exposure.</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Issue verified booking confirmations and reconcile names/counts.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14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Sales / partnerships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Run final scheduled site-preview session.</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Invite referral partners to close remaining group enquiries with actual availability.</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15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Bama / finance</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Review proposed 65% paid-inventory milestone.</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Shift spend to best-converting category; do not add inventory beyond capacity.</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16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Partnerships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Close sponsor production approvals and product logistics.</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Announce only signed partners, using approved logos and wording.</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17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Operations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Inspect venue, pool readiness, weather fallback, parking and emergency access.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Prepare factual arrival information and the permitted location-sharing process.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18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Media / Bama</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Record final promotional mix excerpt and setup explainer.</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Publish “10 days to go”; send optional upgrade invitations to eligible buyers.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19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Sales / finance</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Audit outstanding approved deposits, if offered, and due dates.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Send agreed balance reminders and release holds only under written terms.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20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Operations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Rehearse check-in, duplicate-ticket checks and emergency communications.</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Publish practical FAQ and booking contact; protect guest details.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21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Media / sales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Collect creator deliverables and review remaining sellable seats.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Run true-availability category stories and personal final invitations.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22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Bama / finance</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Review proposed 85% paid-inventory milestone; lock staffing numbers.</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Focus concierge effort on qualified buyers already discussing packages.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23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Operations</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Confirm vendor delivery windows and sponsor items; finalise run of show.</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Send booked guests first arrival note with times and policies once confirmed.</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24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Sales / finance</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Reconcile guest list by ticket, table, headcount and payment.</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Close remaining premium enquiries; no unapproved promises or last-minute price cuts.</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25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Operations / media</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Inspect power isolation, pool barriers, signage, waste and toilets.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Publish real production update; distribute partner reminder assets.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26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Bama / operations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Final briefing for DJ, hosts, security, lifeguards, medics and check-in team.</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Send 48-hour reminder with confirmed arrival, parking, access and weather information.</w:t>
            </w:r>
          </w:p>
        </w:tc>
      </w:tr>
      <w:tr>
        <w:trPr>
          <w:cantSplit/>
        </w:trPr>
        <w:tc>
          <w:tcPr>
            <w:tcW w:type="dxa" w:w="79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27 Nov</w:t>
            </w:r>
          </w:p>
        </w:tc>
        <w:tc>
          <w:tcPr>
            <w:tcW w:type="dxa" w:w="1512"/>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Producer / finance</w:t>
            </w:r>
          </w:p>
        </w:tc>
        <w:tc>
          <w:tcPr>
            <w:tcW w:type="dxa" w:w="3456"/>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Oversee setup, sound check and dry run; verify all bookings and backup lists.</w:t>
            </w:r>
          </w:p>
        </w:tc>
        <w:tc>
          <w:tcPr>
            <w:tcW w:type="dxa" w:w="3600"/>
            <w:tcBorders>
              <w:top w:val="single" w:sz="4" w:color="D9D9D9"/>
              <w:left w:val="single" w:sz="4" w:color="D9D9D9"/>
              <w:bottom w:val="single" w:sz="4" w:color="D9D9D9"/>
              <w:right w:val="single" w:sz="4" w:color="D9D9D9"/>
            </w:tcBorders>
            <w:shd w:fill="FFFFFF"/>
          </w:tcPr>
          <w:p>
            <w:pPr>
              <w:spacing w:before="100" w:after="100"/>
            </w:pPr>
            <w:r>
              <w:rPr>
                <w:b w:val="0"/>
                <w:color w:val="000000"/>
                <w:sz w:val="18"/>
              </w:rPr>
              <w:t>Close online inventory at approved cutoff; send named concierge confirmations.</w:t>
            </w:r>
          </w:p>
        </w:tc>
      </w:tr>
      <w:tr>
        <w:trPr>
          <w:cantSplit/>
        </w:trPr>
        <w:tc>
          <w:tcPr>
            <w:tcW w:type="dxa" w:w="79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28 Nov</w:t>
            </w:r>
          </w:p>
        </w:tc>
        <w:tc>
          <w:tcPr>
            <w:tcW w:type="dxa" w:w="1512"/>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All leads</w:t>
            </w:r>
          </w:p>
        </w:tc>
        <w:tc>
          <w:tcPr>
            <w:tcW w:type="dxa" w:w="3456"/>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Inspect pool and site, test sound, brief crew, open safely, run event and reconcile sales.</w:t>
            </w:r>
          </w:p>
        </w:tc>
        <w:tc>
          <w:tcPr>
            <w:tcW w:type="dxa" w:w="3600"/>
            <w:tcBorders>
              <w:top w:val="single" w:sz="4" w:color="D9D9D9"/>
              <w:left w:val="single" w:sz="4" w:color="D9D9D9"/>
              <w:bottom w:val="single" w:sz="4" w:color="D9D9D9"/>
              <w:right w:val="single" w:sz="4" w:color="D9D9D9"/>
            </w:tcBorders>
            <w:shd w:fill="F3F3F3"/>
          </w:tcPr>
          <w:p>
            <w:pPr>
              <w:spacing w:before="100" w:after="100"/>
            </w:pPr>
            <w:r>
              <w:rPr>
                <w:b w:val="0"/>
                <w:color w:val="000000"/>
                <w:sz w:val="18"/>
              </w:rPr>
              <w:t>Welcome premium hosts personally; capture consented content and fulfil sponsor placements.</w:t>
            </w:r>
          </w:p>
        </w:tc>
      </w:tr>
    </w:tbl>
    <w:p>
      <w:pPr>
        <w:pStyle w:val="Heading1"/>
      </w:pPr>
      <w:r>
        <w:t>Event day timing and aftercare</w:t>
      </w:r>
    </w:p>
    <w:p>
      <w:r>
        <w:t>Once opening time is agreed, work backwards: crew call at least six hours before doors; site and pool inspection before any guests; sound check and power inspection before doors; all staff briefed one hour before doors; concierge ready before first arrivals. Reserve the golden-hour window for the main music/photo moment after checking the actual local sunset time. Do not invent the sunset time in published material.</w:t>
      </w:r>
    </w:p>
    <w:p>
      <w:r>
        <w:t>29 November: thank guests and partners, reconcile revenue, incidents and refunds. By 1 December: send agreed photo previews and complete vendor reconciliation. By 5 December: deliver sponsor evidence report with verified outcomes, content links and a renewal conversation. Record lessons for the next event.</w:t>
      </w:r>
    </w:p>
    <w:p>
      <w:pPr>
        <w:pStyle w:val="Heading1"/>
      </w:pPr>
      <w:r>
        <w:t>Sponsor meeting checklist</w:t>
      </w:r>
    </w:p>
    <w:p>
      <w:r>
        <w:t>Ask the brand’s objective, target customer, budget and approval date. Offer only inventory you control. Agree deliverable counts, placement sizes, activation footprint, power needs, hospitality, product quantities, reporting date and approval owner. Keep exclusivity narrow and time-bound in writing. Keep ticket revenue, sponsorship cash and in-kind value separate.</w:t>
      </w:r>
    </w:p>
    <w:p>
      <w:pPr>
        <w:pStyle w:val="Heading1"/>
      </w:pPr>
      <w:r>
        <w:t>Research notes</w:t>
      </w:r>
    </w:p>
    <w:p>
      <w:r>
        <w:t>The recommendations combine the event information supplied with operational planning judgment. Current platform guidance supports direct messaging campaigns and clearly differentiated VIP offers; it does not guarantee sales. Sources checked 20 October 2026:</w:t>
      </w:r>
    </w:p>
    <w:p>
      <w:r>
        <w:t>Eventbrite, VIP Packages: How to Sell More Tickets to Your Next Event — https://www.eventbrite.com/blog/vip-package-ds00/</w:t>
      </w:r>
    </w:p>
    <w:p>
      <w:r>
        <w:t>Eventbrite, How to Find and Win Sponsors for Your Event — https://www.eventbrite.com/blog/how-to-find-sponsors-ds00/</w:t>
      </w:r>
    </w:p>
    <w:p>
      <w:r>
        <w:t>Meta Blueprint, Reach your customers with ads that click to WhatsApp — https://www.facebookblueprint.com/student/path/253067-smb-ads-click-whatsapp-course</w:t>
      </w:r>
    </w:p>
    <w:p>
      <w:r>
        <w:t>Voter’s-card offer: communicate it as a nonpartisan admission discount, not a condition about voting, political support or turnout. Recommend visual inspection only. Do not photograph, copy or retain voter numbers, card details or political preferences. Let guests know the requirement before payment and publish the process for an unmet discount condition before tickets go on sale.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