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B0EB1" w14:textId="77777777" w:rsidR="00856093" w:rsidRDefault="00000000">
      <w:pPr>
        <w:pStyle w:val="Title"/>
      </w:pPr>
      <w:r>
        <w:rPr>
          <w:rFonts w:ascii="Arial" w:hAnsi="Arial"/>
        </w:rPr>
        <w:t>GUID Service Integration — Proposal Overview</w:t>
      </w:r>
    </w:p>
    <w:p w14:paraId="34DF7637" w14:textId="77777777" w:rsidR="00856093" w:rsidRDefault="00000000">
      <w:pPr>
        <w:pStyle w:val="Heading1"/>
      </w:pPr>
      <w:r>
        <w:rPr>
          <w:rFonts w:ascii="Arial" w:hAnsi="Arial"/>
        </w:rPr>
        <w:t>Purpose</w:t>
      </w:r>
    </w:p>
    <w:p w14:paraId="7BC6F49E" w14:textId="77777777" w:rsidR="00856093" w:rsidRDefault="00000000">
      <w:r>
        <w:t>This document outlines the proposed approach for integrating with the DWP GUID Translation Service from the Power Platform. The GUID service translates between National Insurance Numbers (NINOs) and DWP GUIDs, allowing the system to work with GUIDs internally while exchanging NINOs with external data sources.</w:t>
      </w:r>
    </w:p>
    <w:p w14:paraId="1AA34D08" w14:textId="77777777" w:rsidR="00856093" w:rsidRDefault="00000000">
      <w:r>
        <w:t>There are two distinct use cases:</w:t>
      </w:r>
    </w:p>
    <w:tbl>
      <w:tblPr>
        <w:tblStyle w:val="TableGrid"/>
        <w:tblW w:w="0" w:type="auto"/>
        <w:tblLook w:val="04A0" w:firstRow="1" w:lastRow="0" w:firstColumn="1" w:lastColumn="0" w:noHBand="0" w:noVBand="1"/>
      </w:tblPr>
      <w:tblGrid>
        <w:gridCol w:w="2340"/>
        <w:gridCol w:w="2340"/>
        <w:gridCol w:w="2340"/>
        <w:gridCol w:w="2340"/>
      </w:tblGrid>
      <w:tr w:rsidR="00856093" w14:paraId="540E35E4" w14:textId="77777777">
        <w:tc>
          <w:tcPr>
            <w:tcW w:w="2340" w:type="dxa"/>
            <w:shd w:val="clear" w:color="auto" w:fill="003078"/>
          </w:tcPr>
          <w:p w14:paraId="05CEFAA9" w14:textId="77777777" w:rsidR="00856093" w:rsidRDefault="00000000">
            <w:pPr>
              <w:spacing w:before="40" w:after="40"/>
            </w:pPr>
            <w:r>
              <w:rPr>
                <w:b/>
                <w:color w:val="FFFFFF"/>
                <w:sz w:val="20"/>
              </w:rPr>
              <w:t>Use Case</w:t>
            </w:r>
          </w:p>
        </w:tc>
        <w:tc>
          <w:tcPr>
            <w:tcW w:w="2340" w:type="dxa"/>
            <w:shd w:val="clear" w:color="auto" w:fill="003078"/>
          </w:tcPr>
          <w:p w14:paraId="7072D532" w14:textId="77777777" w:rsidR="00856093" w:rsidRDefault="00000000">
            <w:pPr>
              <w:spacing w:before="40" w:after="40"/>
            </w:pPr>
            <w:r>
              <w:rPr>
                <w:b/>
                <w:color w:val="FFFFFF"/>
                <w:sz w:val="20"/>
              </w:rPr>
              <w:t>Trigger</w:t>
            </w:r>
          </w:p>
        </w:tc>
        <w:tc>
          <w:tcPr>
            <w:tcW w:w="2340" w:type="dxa"/>
            <w:shd w:val="clear" w:color="auto" w:fill="003078"/>
          </w:tcPr>
          <w:p w14:paraId="0069DB06" w14:textId="77777777" w:rsidR="00856093" w:rsidRDefault="00000000">
            <w:pPr>
              <w:spacing w:before="40" w:after="40"/>
            </w:pPr>
            <w:r>
              <w:rPr>
                <w:b/>
                <w:color w:val="FFFFFF"/>
                <w:sz w:val="20"/>
              </w:rPr>
              <w:t>Volume</w:t>
            </w:r>
          </w:p>
        </w:tc>
        <w:tc>
          <w:tcPr>
            <w:tcW w:w="2340" w:type="dxa"/>
            <w:shd w:val="clear" w:color="auto" w:fill="003078"/>
          </w:tcPr>
          <w:p w14:paraId="78043265" w14:textId="77777777" w:rsidR="00856093" w:rsidRDefault="00000000">
            <w:pPr>
              <w:spacing w:before="40" w:after="40"/>
            </w:pPr>
            <w:r>
              <w:rPr>
                <w:b/>
                <w:color w:val="FFFFFF"/>
                <w:sz w:val="20"/>
              </w:rPr>
              <w:t>API Used</w:t>
            </w:r>
          </w:p>
        </w:tc>
      </w:tr>
      <w:tr w:rsidR="00856093" w14:paraId="3DB97B73" w14:textId="77777777">
        <w:tc>
          <w:tcPr>
            <w:tcW w:w="2340" w:type="dxa"/>
          </w:tcPr>
          <w:p w14:paraId="403654F4" w14:textId="77777777" w:rsidR="00856093" w:rsidRDefault="00000000">
            <w:pPr>
              <w:spacing w:before="40" w:after="40"/>
            </w:pPr>
            <w:r>
              <w:rPr>
                <w:b/>
                <w:sz w:val="20"/>
              </w:rPr>
              <w:t>Bulk Data Import</w:t>
            </w:r>
          </w:p>
        </w:tc>
        <w:tc>
          <w:tcPr>
            <w:tcW w:w="2340" w:type="dxa"/>
          </w:tcPr>
          <w:p w14:paraId="7F65E868" w14:textId="77777777" w:rsidR="00856093" w:rsidRDefault="00000000">
            <w:pPr>
              <w:spacing w:before="40" w:after="40"/>
            </w:pPr>
            <w:r>
              <w:rPr>
                <w:sz w:val="20"/>
              </w:rPr>
              <w:t>User uploads a CSV file via the Canvas App</w:t>
            </w:r>
          </w:p>
        </w:tc>
        <w:tc>
          <w:tcPr>
            <w:tcW w:w="2340" w:type="dxa"/>
          </w:tcPr>
          <w:p w14:paraId="0391E0D6" w14:textId="77777777" w:rsidR="00856093" w:rsidRDefault="00000000">
            <w:pPr>
              <w:spacing w:before="40" w:after="40"/>
            </w:pPr>
            <w:r>
              <w:rPr>
                <w:sz w:val="20"/>
              </w:rPr>
              <w:t>Up to 50,000 records per file</w:t>
            </w:r>
          </w:p>
        </w:tc>
        <w:tc>
          <w:tcPr>
            <w:tcW w:w="2340" w:type="dxa"/>
          </w:tcPr>
          <w:p w14:paraId="0E6B1962" w14:textId="77777777" w:rsidR="00856093" w:rsidRDefault="00000000">
            <w:pPr>
              <w:spacing w:before="40" w:after="40"/>
            </w:pPr>
            <w:r>
              <w:rPr>
                <w:sz w:val="20"/>
              </w:rPr>
              <w:t>Bulk Translation API</w:t>
            </w:r>
          </w:p>
        </w:tc>
      </w:tr>
      <w:tr w:rsidR="00856093" w14:paraId="21D09250" w14:textId="77777777">
        <w:tc>
          <w:tcPr>
            <w:tcW w:w="2340" w:type="dxa"/>
            <w:shd w:val="clear" w:color="auto" w:fill="F3F2F1"/>
          </w:tcPr>
          <w:p w14:paraId="0FC1C31F" w14:textId="77777777" w:rsidR="00856093" w:rsidRDefault="00000000">
            <w:pPr>
              <w:spacing w:before="40" w:after="40"/>
            </w:pPr>
            <w:r>
              <w:rPr>
                <w:b/>
                <w:sz w:val="20"/>
              </w:rPr>
              <w:t>Case Assurance View</w:t>
            </w:r>
          </w:p>
        </w:tc>
        <w:tc>
          <w:tcPr>
            <w:tcW w:w="2340" w:type="dxa"/>
            <w:shd w:val="clear" w:color="auto" w:fill="F3F2F1"/>
          </w:tcPr>
          <w:p w14:paraId="176735A9" w14:textId="77777777" w:rsidR="00856093" w:rsidRDefault="00000000">
            <w:pPr>
              <w:spacing w:before="40" w:after="40"/>
            </w:pPr>
            <w:r>
              <w:rPr>
                <w:sz w:val="20"/>
              </w:rPr>
              <w:t>Case assurance officer opens a record</w:t>
            </w:r>
          </w:p>
        </w:tc>
        <w:tc>
          <w:tcPr>
            <w:tcW w:w="2340" w:type="dxa"/>
            <w:shd w:val="clear" w:color="auto" w:fill="F3F2F1"/>
          </w:tcPr>
          <w:p w14:paraId="6D824D1D" w14:textId="77777777" w:rsidR="00856093" w:rsidRDefault="00000000">
            <w:pPr>
              <w:spacing w:before="40" w:after="40"/>
            </w:pPr>
            <w:r>
              <w:rPr>
                <w:sz w:val="20"/>
              </w:rPr>
              <w:t>Single record per view</w:t>
            </w:r>
          </w:p>
        </w:tc>
        <w:tc>
          <w:tcPr>
            <w:tcW w:w="2340" w:type="dxa"/>
            <w:shd w:val="clear" w:color="auto" w:fill="F3F2F1"/>
          </w:tcPr>
          <w:p w14:paraId="3AD53EA2" w14:textId="77777777" w:rsidR="00856093" w:rsidRDefault="00000000">
            <w:pPr>
              <w:spacing w:before="40" w:after="40"/>
            </w:pPr>
            <w:r>
              <w:rPr>
                <w:sz w:val="20"/>
              </w:rPr>
              <w:t>Single Lookup API</w:t>
            </w:r>
          </w:p>
        </w:tc>
      </w:tr>
    </w:tbl>
    <w:p w14:paraId="5989C926" w14:textId="77777777" w:rsidR="00856093" w:rsidRDefault="00856093"/>
    <w:p w14:paraId="15F69897" w14:textId="77777777" w:rsidR="00856093" w:rsidRDefault="00000000">
      <w:pPr>
        <w:pStyle w:val="Heading1"/>
      </w:pPr>
      <w:r>
        <w:rPr>
          <w:rFonts w:ascii="Arial" w:hAnsi="Arial"/>
        </w:rPr>
        <w:t>Use Case 1: Bulk Data Import</w:t>
      </w:r>
    </w:p>
    <w:p w14:paraId="30488DE8" w14:textId="77777777" w:rsidR="00856093" w:rsidRDefault="00000000">
      <w:r>
        <w:t>When a user uploads a CSV file containing NINOs, the system needs to translate every NINO into a DWP GUID before importing the data into Dataverse. This is a three-phase process.</w:t>
      </w:r>
    </w:p>
    <w:p w14:paraId="6A78C7D5" w14:textId="77777777" w:rsidR="00856093" w:rsidRDefault="00000000">
      <w:pPr>
        <w:pStyle w:val="Heading2"/>
      </w:pPr>
      <w:r>
        <w:rPr>
          <w:rFonts w:ascii="Arial" w:hAnsi="Arial"/>
        </w:rPr>
        <w:t>Phase 1 — File Validation (Synchronous)</w:t>
      </w:r>
    </w:p>
    <w:p w14:paraId="36972C51" w14:textId="77777777" w:rsidR="00856093" w:rsidRDefault="00000000">
      <w:r>
        <w:t xml:space="preserve">The user uploads a CSV file through the Canvas App. The system immediately validates the file and returns the result to the user </w:t>
      </w:r>
      <w:r>
        <w:rPr>
          <w:b/>
        </w:rPr>
        <w:t>within approximately 2 minutes</w:t>
      </w:r>
      <w:r>
        <w:t>. This means the user knows straight away whether their file is accepted or rejected.</w:t>
      </w:r>
    </w:p>
    <w:p w14:paraId="608BF584" w14:textId="77777777" w:rsidR="00856093" w:rsidRDefault="00000000">
      <w:r>
        <w:t>Validation checks include:</w:t>
      </w:r>
    </w:p>
    <w:p w14:paraId="7456BDD7" w14:textId="77777777" w:rsidR="00856093" w:rsidRDefault="00000000">
      <w:pPr>
        <w:pStyle w:val="ListBullet"/>
      </w:pPr>
      <w:r>
        <w:t>CSV headers match the expected format</w:t>
      </w:r>
    </w:p>
    <w:p w14:paraId="3EBDC8BB" w14:textId="77777777" w:rsidR="00856093" w:rsidRDefault="00000000">
      <w:pPr>
        <w:pStyle w:val="ListBullet"/>
      </w:pPr>
      <w:r>
        <w:t>Configuration records are present and correct</w:t>
      </w:r>
    </w:p>
    <w:p w14:paraId="11CA8FDE" w14:textId="77777777" w:rsidR="00856093" w:rsidRDefault="00000000">
      <w:pPr>
        <w:pStyle w:val="ListBullet"/>
      </w:pPr>
      <w:r>
        <w:t>Date ranges in the file have not already been imported</w:t>
      </w:r>
    </w:p>
    <w:p w14:paraId="04850188" w14:textId="77777777" w:rsidR="00856093" w:rsidRDefault="00000000">
      <w:r>
        <w:lastRenderedPageBreak/>
        <w:t>If validation fails, the user sees a clear error message and can correct and re-upload.</w:t>
      </w:r>
    </w:p>
    <w:p w14:paraId="7D98685D" w14:textId="77777777" w:rsidR="00856093" w:rsidRDefault="00000000">
      <w:pPr>
        <w:pStyle w:val="Heading2"/>
      </w:pPr>
      <w:r>
        <w:rPr>
          <w:rFonts w:ascii="Arial" w:hAnsi="Arial"/>
        </w:rPr>
        <w:t>Phase 2 — NINO to GUID Translation (Asynchronous)</w:t>
      </w:r>
    </w:p>
    <w:p w14:paraId="5AE8AD32" w14:textId="77777777" w:rsidR="00856093" w:rsidRDefault="00000000">
      <w:r>
        <w:t>Once validation passes, the file is handed off to an Azure Function for processing. The user does not need to wait — they are notified that processing has started.</w:t>
      </w:r>
    </w:p>
    <w:p w14:paraId="2B494948" w14:textId="77777777" w:rsidR="00856093" w:rsidRDefault="00000000">
      <w:r>
        <w:t>The Azure Function:</w:t>
      </w:r>
    </w:p>
    <w:p w14:paraId="358D1B22" w14:textId="77777777" w:rsidR="00856093" w:rsidRDefault="00000000">
      <w:pPr>
        <w:pStyle w:val="ListBullet"/>
      </w:pPr>
      <w:r>
        <w:t>Extracts all NINOs from the specified column</w:t>
      </w:r>
    </w:p>
    <w:p w14:paraId="0156C83D" w14:textId="77777777" w:rsidR="00856093" w:rsidRDefault="00000000">
      <w:pPr>
        <w:pStyle w:val="ListBullet"/>
      </w:pPr>
      <w:r>
        <w:t>Splits them into batches of 5,000</w:t>
      </w:r>
    </w:p>
    <w:p w14:paraId="794C7A50" w14:textId="77777777" w:rsidR="00856093" w:rsidRDefault="00000000">
      <w:pPr>
        <w:pStyle w:val="ListBullet"/>
      </w:pPr>
      <w:r>
        <w:t>Calls the DWP Bulk GUID Translation API for each batch</w:t>
      </w:r>
    </w:p>
    <w:p w14:paraId="05FD4B13" w14:textId="77777777" w:rsidR="00856093" w:rsidRDefault="00000000">
      <w:pPr>
        <w:pStyle w:val="ListBullet"/>
      </w:pPr>
      <w:r>
        <w:t>Replaces every NINO with the corresponding DWP GUID</w:t>
      </w:r>
    </w:p>
    <w:p w14:paraId="6135C83B" w14:textId="77777777" w:rsidR="00856093" w:rsidRDefault="00000000">
      <w:pPr>
        <w:pStyle w:val="ListBullet"/>
      </w:pPr>
      <w:r>
        <w:t>Returns the modified CSV with GUIDs in place of NINOs</w:t>
      </w:r>
    </w:p>
    <w:p w14:paraId="674F5F57" w14:textId="77777777" w:rsidR="00856093" w:rsidRDefault="00000000">
      <w:r>
        <w:t>This runs in Python on Azure, which can process 50,000 records in a fraction of the time it would take using Power Automate loops.</w:t>
      </w:r>
    </w:p>
    <w:p w14:paraId="6B0979A0" w14:textId="77777777" w:rsidR="00856093" w:rsidRDefault="00000000">
      <w:pPr>
        <w:pStyle w:val="Heading2"/>
      </w:pPr>
      <w:r>
        <w:rPr>
          <w:rFonts w:ascii="Arial" w:hAnsi="Arial"/>
        </w:rPr>
        <w:t>Phase 3 — Data Import (Asynchronous)</w:t>
      </w:r>
    </w:p>
    <w:p w14:paraId="658BD3FA" w14:textId="77777777" w:rsidR="00856093" w:rsidRDefault="00000000">
      <w:r>
        <w:t>The modified CSV (now containing GUIDs instead of NINOs) is fed into the standard Dataverse import pipeline using the out-of-the-box import actions:</w:t>
      </w:r>
    </w:p>
    <w:p w14:paraId="40500A8B" w14:textId="77777777" w:rsidR="00856093" w:rsidRDefault="00000000">
      <w:pPr>
        <w:pStyle w:val="ListBullet"/>
      </w:pPr>
      <w:r>
        <w:rPr>
          <w:b/>
        </w:rPr>
        <w:t>ParseImport</w:t>
      </w:r>
      <w:r>
        <w:t xml:space="preserve"> — parses the CSV structure</w:t>
      </w:r>
    </w:p>
    <w:p w14:paraId="59B13F7A" w14:textId="77777777" w:rsidR="00856093" w:rsidRDefault="00000000">
      <w:pPr>
        <w:pStyle w:val="ListBullet"/>
      </w:pPr>
      <w:r>
        <w:rPr>
          <w:b/>
        </w:rPr>
        <w:t>TransformImport</w:t>
      </w:r>
      <w:r>
        <w:t xml:space="preserve"> — maps columns to Dataverse fields</w:t>
      </w:r>
    </w:p>
    <w:p w14:paraId="7FDD0202" w14:textId="77777777" w:rsidR="00856093" w:rsidRDefault="00000000">
      <w:pPr>
        <w:pStyle w:val="ListBullet"/>
      </w:pPr>
      <w:r>
        <w:rPr>
          <w:b/>
        </w:rPr>
        <w:t>ImportRecordsImport</w:t>
      </w:r>
      <w:r>
        <w:t xml:space="preserve"> — creates the records in Dataverse</w:t>
      </w:r>
    </w:p>
    <w:p w14:paraId="5CA30CFF" w14:textId="77777777" w:rsidR="00856093" w:rsidRDefault="00000000">
      <w:r>
        <w:t>This leverages proven, supported Dataverse functionality rather than custom record creation logic.</w:t>
      </w:r>
    </w:p>
    <w:p w14:paraId="76367FA8" w14:textId="19790E5A" w:rsidR="00856093" w:rsidRDefault="00000000">
      <w:pPr>
        <w:pStyle w:val="Heading2"/>
      </w:pPr>
      <w:r>
        <w:rPr>
          <w:rFonts w:ascii="Arial" w:hAnsi="Arial"/>
        </w:rPr>
        <w:lastRenderedPageBreak/>
        <w:t>Phase 1 Validation</w:t>
      </w:r>
    </w:p>
    <w:p w14:paraId="23CC34E3" w14:textId="5BBA69C8" w:rsidR="00856093" w:rsidRDefault="00000000">
      <w:pPr>
        <w:jc w:val="center"/>
      </w:pPr>
      <w:r>
        <w:rPr>
          <w:noProof/>
        </w:rPr>
        <w:drawing>
          <wp:inline distT="0" distB="0" distL="0" distR="0" wp14:anchorId="31173830" wp14:editId="62611914">
            <wp:extent cx="4703245" cy="74676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validation.png"/>
                    <pic:cNvPicPr/>
                  </pic:nvPicPr>
                  <pic:blipFill>
                    <a:blip r:embed="rId8"/>
                    <a:stretch>
                      <a:fillRect/>
                    </a:stretch>
                  </pic:blipFill>
                  <pic:spPr>
                    <a:xfrm>
                      <a:off x="0" y="0"/>
                      <a:ext cx="4731279" cy="7512110"/>
                    </a:xfrm>
                    <a:prstGeom prst="rect">
                      <a:avLst/>
                    </a:prstGeom>
                  </pic:spPr>
                </pic:pic>
              </a:graphicData>
            </a:graphic>
          </wp:inline>
        </w:drawing>
      </w:r>
    </w:p>
    <w:p w14:paraId="6C15AED2" w14:textId="77777777" w:rsidR="00856093" w:rsidRDefault="00000000">
      <w:pPr>
        <w:jc w:val="center"/>
      </w:pPr>
      <w:r>
        <w:rPr>
          <w:i/>
          <w:color w:val="505A5F"/>
          <w:sz w:val="18"/>
        </w:rPr>
        <w:t>Figure 1: Phase 1 Validation</w:t>
      </w:r>
    </w:p>
    <w:p w14:paraId="420C26B2" w14:textId="77777777" w:rsidR="00856093" w:rsidRDefault="00000000">
      <w:pPr>
        <w:pStyle w:val="Heading2"/>
      </w:pPr>
      <w:r>
        <w:rPr>
          <w:rFonts w:ascii="Arial" w:hAnsi="Arial"/>
        </w:rPr>
        <w:lastRenderedPageBreak/>
        <w:t>Phase 2 Translation</w:t>
      </w:r>
    </w:p>
    <w:p w14:paraId="67354225" w14:textId="77777777" w:rsidR="00856093" w:rsidRDefault="00000000">
      <w:pPr>
        <w:jc w:val="center"/>
      </w:pPr>
      <w:r>
        <w:rPr>
          <w:noProof/>
        </w:rPr>
        <w:drawing>
          <wp:inline distT="0" distB="0" distL="0" distR="0" wp14:anchorId="6312E6C6" wp14:editId="7CC3A2BE">
            <wp:extent cx="4253230" cy="7366161"/>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2-translation.png"/>
                    <pic:cNvPicPr/>
                  </pic:nvPicPr>
                  <pic:blipFill>
                    <a:blip r:embed="rId9"/>
                    <a:stretch>
                      <a:fillRect/>
                    </a:stretch>
                  </pic:blipFill>
                  <pic:spPr>
                    <a:xfrm>
                      <a:off x="0" y="0"/>
                      <a:ext cx="4258733" cy="7375692"/>
                    </a:xfrm>
                    <a:prstGeom prst="rect">
                      <a:avLst/>
                    </a:prstGeom>
                  </pic:spPr>
                </pic:pic>
              </a:graphicData>
            </a:graphic>
          </wp:inline>
        </w:drawing>
      </w:r>
    </w:p>
    <w:p w14:paraId="01376A39" w14:textId="77777777" w:rsidR="00856093" w:rsidRDefault="00000000">
      <w:pPr>
        <w:jc w:val="center"/>
      </w:pPr>
      <w:r>
        <w:rPr>
          <w:i/>
          <w:color w:val="505A5F"/>
          <w:sz w:val="18"/>
        </w:rPr>
        <w:t>Figure 2: Phase 2 Translation</w:t>
      </w:r>
    </w:p>
    <w:p w14:paraId="0E86E872" w14:textId="77777777" w:rsidR="00856093" w:rsidRDefault="00000000">
      <w:pPr>
        <w:pStyle w:val="Heading2"/>
      </w:pPr>
      <w:r>
        <w:rPr>
          <w:rFonts w:ascii="Arial" w:hAnsi="Arial"/>
        </w:rPr>
        <w:lastRenderedPageBreak/>
        <w:t>Phase 3 Import</w:t>
      </w:r>
    </w:p>
    <w:p w14:paraId="68902112" w14:textId="77777777" w:rsidR="00856093" w:rsidRDefault="00000000">
      <w:pPr>
        <w:jc w:val="center"/>
      </w:pPr>
      <w:r>
        <w:rPr>
          <w:noProof/>
        </w:rPr>
        <w:drawing>
          <wp:inline distT="0" distB="0" distL="0" distR="0" wp14:anchorId="22806CE9" wp14:editId="7D5E9B06">
            <wp:extent cx="5034280" cy="75149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3-import.png"/>
                    <pic:cNvPicPr/>
                  </pic:nvPicPr>
                  <pic:blipFill>
                    <a:blip r:embed="rId10"/>
                    <a:stretch>
                      <a:fillRect/>
                    </a:stretch>
                  </pic:blipFill>
                  <pic:spPr>
                    <a:xfrm>
                      <a:off x="0" y="0"/>
                      <a:ext cx="5058453" cy="7551024"/>
                    </a:xfrm>
                    <a:prstGeom prst="rect">
                      <a:avLst/>
                    </a:prstGeom>
                  </pic:spPr>
                </pic:pic>
              </a:graphicData>
            </a:graphic>
          </wp:inline>
        </w:drawing>
      </w:r>
    </w:p>
    <w:p w14:paraId="7C51B090" w14:textId="77777777" w:rsidR="00856093" w:rsidRDefault="00000000">
      <w:pPr>
        <w:jc w:val="center"/>
      </w:pPr>
      <w:r>
        <w:rPr>
          <w:i/>
          <w:color w:val="505A5F"/>
          <w:sz w:val="18"/>
        </w:rPr>
        <w:t>Figure 3: Phase 3 Import</w:t>
      </w:r>
    </w:p>
    <w:p w14:paraId="64EF7C45" w14:textId="77777777" w:rsidR="00856093" w:rsidRDefault="00856093"/>
    <w:p w14:paraId="527F5BED" w14:textId="77777777" w:rsidR="00856093" w:rsidRDefault="00000000">
      <w:pPr>
        <w:pStyle w:val="Heading2"/>
      </w:pPr>
      <w:r>
        <w:rPr>
          <w:rFonts w:ascii="Arial" w:hAnsi="Arial"/>
        </w:rPr>
        <w:t>Detailed Interaction Flow</w:t>
      </w:r>
    </w:p>
    <w:p w14:paraId="7AF66C69" w14:textId="77777777" w:rsidR="00856093" w:rsidRDefault="00000000">
      <w:pPr>
        <w:jc w:val="center"/>
      </w:pPr>
      <w:r>
        <w:rPr>
          <w:noProof/>
        </w:rPr>
        <w:drawing>
          <wp:inline distT="0" distB="0" distL="0" distR="0" wp14:anchorId="0ACC819F" wp14:editId="629570F9">
            <wp:extent cx="5486400" cy="67747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ed-interaction-flow.png"/>
                    <pic:cNvPicPr/>
                  </pic:nvPicPr>
                  <pic:blipFill>
                    <a:blip r:embed="rId11"/>
                    <a:stretch>
                      <a:fillRect/>
                    </a:stretch>
                  </pic:blipFill>
                  <pic:spPr>
                    <a:xfrm>
                      <a:off x="0" y="0"/>
                      <a:ext cx="5486400" cy="6774753"/>
                    </a:xfrm>
                    <a:prstGeom prst="rect">
                      <a:avLst/>
                    </a:prstGeom>
                  </pic:spPr>
                </pic:pic>
              </a:graphicData>
            </a:graphic>
          </wp:inline>
        </w:drawing>
      </w:r>
    </w:p>
    <w:p w14:paraId="5AA9E5C3" w14:textId="77777777" w:rsidR="00856093" w:rsidRDefault="00000000">
      <w:pPr>
        <w:jc w:val="center"/>
      </w:pPr>
      <w:r>
        <w:rPr>
          <w:i/>
          <w:color w:val="505A5F"/>
          <w:sz w:val="18"/>
        </w:rPr>
        <w:t>Figure 4: Detailed Interaction Flow</w:t>
      </w:r>
    </w:p>
    <w:p w14:paraId="42E06027" w14:textId="77777777" w:rsidR="00856093" w:rsidRDefault="00856093"/>
    <w:p w14:paraId="34D58ABD" w14:textId="77777777" w:rsidR="00856093" w:rsidRDefault="00000000">
      <w:pPr>
        <w:pStyle w:val="Heading1"/>
      </w:pPr>
      <w:r>
        <w:rPr>
          <w:rFonts w:ascii="Arial" w:hAnsi="Arial"/>
        </w:rPr>
        <w:lastRenderedPageBreak/>
        <w:t>Use Case 2: Case Assurance View (Single Lookup)</w:t>
      </w:r>
    </w:p>
    <w:p w14:paraId="7F3854F1" w14:textId="77777777" w:rsidR="00856093" w:rsidRDefault="00000000">
      <w:r>
        <w:t>When a case assurance officer opens a case assurance record, the system makes a single call to the GUID Translation Service to retrieve the corresponding NINO for display purposes.</w:t>
      </w:r>
    </w:p>
    <w:p w14:paraId="2F1F8B0D" w14:textId="77777777" w:rsidR="00856093" w:rsidRDefault="00000000">
      <w:r>
        <w:rPr>
          <w:b/>
        </w:rPr>
        <w:t>Key points:</w:t>
      </w:r>
    </w:p>
    <w:p w14:paraId="682641F8" w14:textId="77777777" w:rsidR="00856093" w:rsidRDefault="00000000">
      <w:pPr>
        <w:pStyle w:val="ListBullet"/>
      </w:pPr>
      <w:r>
        <w:t xml:space="preserve">Only </w:t>
      </w:r>
      <w:r>
        <w:rPr>
          <w:b/>
        </w:rPr>
        <w:t>one API call</w:t>
      </w:r>
      <w:r>
        <w:t xml:space="preserve"> is made per record view</w:t>
      </w:r>
    </w:p>
    <w:p w14:paraId="1EBDB58A" w14:textId="77777777" w:rsidR="00856093" w:rsidRDefault="00000000">
      <w:pPr>
        <w:pStyle w:val="ListBullet"/>
      </w:pPr>
      <w:r>
        <w:t xml:space="preserve">The NINO is held </w:t>
      </w:r>
      <w:r>
        <w:rPr>
          <w:b/>
        </w:rPr>
        <w:t>in memory only</w:t>
      </w:r>
      <w:r>
        <w:t xml:space="preserve"> — it is displayed to the officer but </w:t>
      </w:r>
      <w:r>
        <w:rPr>
          <w:b/>
        </w:rPr>
        <w:t>not committed to the database</w:t>
      </w:r>
    </w:p>
    <w:p w14:paraId="6EEA3EEE" w14:textId="77777777" w:rsidR="00856093" w:rsidRDefault="00000000">
      <w:pPr>
        <w:pStyle w:val="ListBullet"/>
      </w:pPr>
      <w:r>
        <w:t>This ensures NINOs are never stored in Dataverse, maintaining the security principle that only GUIDs are persisted</w:t>
      </w:r>
    </w:p>
    <w:p w14:paraId="2B7D1B76" w14:textId="77777777" w:rsidR="00856093" w:rsidRDefault="00000000">
      <w:pPr>
        <w:pStyle w:val="ListBullet"/>
      </w:pPr>
      <w:r>
        <w:t>The existing single-lookup Azure Function proxy handles this call</w:t>
      </w:r>
    </w:p>
    <w:p w14:paraId="79934007" w14:textId="77777777" w:rsidR="00856093" w:rsidRDefault="00000000">
      <w:pPr>
        <w:pStyle w:val="Heading1"/>
      </w:pPr>
      <w:r>
        <w:rPr>
          <w:rFonts w:ascii="Arial" w:hAnsi="Arial"/>
        </w:rPr>
        <w:t>Cross-Cloud Architecture</w:t>
      </w:r>
    </w:p>
    <w:p w14:paraId="210C354C" w14:textId="77777777" w:rsidR="00856093" w:rsidRDefault="00000000">
      <w:r>
        <w:t>All calls to the GUID Translation Service travel from Azure to AWS via a secure cross-cloud connection.</w:t>
      </w:r>
    </w:p>
    <w:p w14:paraId="6C6555AF" w14:textId="77777777" w:rsidR="00856093" w:rsidRDefault="00000000">
      <w:pPr>
        <w:jc w:val="center"/>
      </w:pPr>
      <w:r>
        <w:rPr>
          <w:noProof/>
        </w:rPr>
        <w:drawing>
          <wp:inline distT="0" distB="0" distL="0" distR="0" wp14:anchorId="1A1BF3D9" wp14:editId="3D669B2E">
            <wp:extent cx="5486400" cy="12789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cloud-architecture.png"/>
                    <pic:cNvPicPr/>
                  </pic:nvPicPr>
                  <pic:blipFill>
                    <a:blip r:embed="rId12"/>
                    <a:stretch>
                      <a:fillRect/>
                    </a:stretch>
                  </pic:blipFill>
                  <pic:spPr>
                    <a:xfrm>
                      <a:off x="0" y="0"/>
                      <a:ext cx="5486400" cy="1278924"/>
                    </a:xfrm>
                    <a:prstGeom prst="rect">
                      <a:avLst/>
                    </a:prstGeom>
                  </pic:spPr>
                </pic:pic>
              </a:graphicData>
            </a:graphic>
          </wp:inline>
        </w:drawing>
      </w:r>
    </w:p>
    <w:p w14:paraId="069519CE" w14:textId="77777777" w:rsidR="00856093" w:rsidRDefault="00000000">
      <w:pPr>
        <w:jc w:val="center"/>
      </w:pPr>
      <w:r>
        <w:rPr>
          <w:i/>
          <w:color w:val="505A5F"/>
          <w:sz w:val="18"/>
        </w:rPr>
        <w:t>Figure 5: Cross-Cloud Architecture</w:t>
      </w:r>
    </w:p>
    <w:p w14:paraId="210BB7CC" w14:textId="77777777" w:rsidR="00856093" w:rsidRDefault="00856093"/>
    <w:p w14:paraId="5996DD48" w14:textId="77777777" w:rsidR="00856093" w:rsidRDefault="00000000">
      <w:r>
        <w:rPr>
          <w:b/>
        </w:rPr>
        <w:t>Key components:</w:t>
      </w:r>
    </w:p>
    <w:p w14:paraId="0BB3FAA3" w14:textId="77777777" w:rsidR="00856093" w:rsidRDefault="00000000">
      <w:pPr>
        <w:pStyle w:val="ListBullet"/>
      </w:pPr>
      <w:r>
        <w:rPr>
          <w:b/>
        </w:rPr>
        <w:t>Power Platform</w:t>
      </w:r>
      <w:r>
        <w:t xml:space="preserve"> connects to the Azure Function via a custom connector secured with OAuth2 (service principal)</w:t>
      </w:r>
    </w:p>
    <w:p w14:paraId="12A2ECC6" w14:textId="77777777" w:rsidR="00856093" w:rsidRDefault="00000000">
      <w:pPr>
        <w:pStyle w:val="ListBullet"/>
      </w:pPr>
      <w:r>
        <w:rPr>
          <w:b/>
        </w:rPr>
        <w:t>Azure Function</w:t>
      </w:r>
      <w:r>
        <w:t xml:space="preserve"> handles all authentication with AWS (Cognito OAuth2 client credentials) — this complexity is hidden from the Power Platform</w:t>
      </w:r>
    </w:p>
    <w:p w14:paraId="0F622C31" w14:textId="77777777" w:rsidR="00856093" w:rsidRDefault="00000000">
      <w:pPr>
        <w:pStyle w:val="ListBullet"/>
      </w:pPr>
      <w:r>
        <w:rPr>
          <w:b/>
        </w:rPr>
        <w:t>Azure Key Vault</w:t>
      </w:r>
      <w:r>
        <w:t xml:space="preserve"> stores secrets securely (service principal credentials and potentially Cognito credentials)</w:t>
      </w:r>
    </w:p>
    <w:p w14:paraId="4446197C" w14:textId="77777777" w:rsidR="00856093" w:rsidRDefault="00000000">
      <w:pPr>
        <w:pStyle w:val="ListBullet"/>
      </w:pPr>
      <w:r>
        <w:rPr>
          <w:b/>
        </w:rPr>
        <w:lastRenderedPageBreak/>
        <w:t>CIA Inter-Cloud firewall and IPsec tunnel</w:t>
      </w:r>
      <w:r>
        <w:t xml:space="preserve"> provide the secure network path between Azure and AWS</w:t>
      </w:r>
    </w:p>
    <w:p w14:paraId="504C810A" w14:textId="77777777" w:rsidR="00856093" w:rsidRDefault="00000000">
      <w:pPr>
        <w:pStyle w:val="ListBullet"/>
      </w:pPr>
      <w:r>
        <w:rPr>
          <w:b/>
        </w:rPr>
        <w:t>mTLS</w:t>
      </w:r>
      <w:r>
        <w:t xml:space="preserve"> is used end-to-end, requiring decryption bypass on the Inter-Cloud firewalls</w:t>
      </w:r>
    </w:p>
    <w:p w14:paraId="21FF320E" w14:textId="77777777" w:rsidR="00856093" w:rsidRDefault="00000000">
      <w:pPr>
        <w:pStyle w:val="Heading1"/>
      </w:pPr>
      <w:r>
        <w:rPr>
          <w:rFonts w:ascii="Arial" w:hAnsi="Arial"/>
        </w:rPr>
        <w:t>Why This Approach</w:t>
      </w:r>
    </w:p>
    <w:tbl>
      <w:tblPr>
        <w:tblStyle w:val="TableGrid"/>
        <w:tblW w:w="0" w:type="auto"/>
        <w:tblLook w:val="04A0" w:firstRow="1" w:lastRow="0" w:firstColumn="1" w:lastColumn="0" w:noHBand="0" w:noVBand="1"/>
      </w:tblPr>
      <w:tblGrid>
        <w:gridCol w:w="3120"/>
        <w:gridCol w:w="3120"/>
        <w:gridCol w:w="3120"/>
      </w:tblGrid>
      <w:tr w:rsidR="00856093" w14:paraId="6D28D3B6" w14:textId="77777777">
        <w:tc>
          <w:tcPr>
            <w:tcW w:w="3120" w:type="dxa"/>
            <w:shd w:val="clear" w:color="auto" w:fill="003078"/>
          </w:tcPr>
          <w:p w14:paraId="562FF942" w14:textId="77777777" w:rsidR="00856093" w:rsidRDefault="00000000">
            <w:pPr>
              <w:spacing w:before="40" w:after="40"/>
            </w:pPr>
            <w:r>
              <w:rPr>
                <w:b/>
                <w:color w:val="FFFFFF"/>
                <w:sz w:val="20"/>
              </w:rPr>
              <w:t>Consideration</w:t>
            </w:r>
          </w:p>
        </w:tc>
        <w:tc>
          <w:tcPr>
            <w:tcW w:w="3120" w:type="dxa"/>
            <w:shd w:val="clear" w:color="auto" w:fill="003078"/>
          </w:tcPr>
          <w:p w14:paraId="097A3F55" w14:textId="77777777" w:rsidR="00856093" w:rsidRDefault="00000000">
            <w:pPr>
              <w:spacing w:before="40" w:after="40"/>
            </w:pPr>
            <w:r>
              <w:rPr>
                <w:b/>
                <w:color w:val="FFFFFF"/>
                <w:sz w:val="20"/>
              </w:rPr>
              <w:t>Our Approach</w:t>
            </w:r>
          </w:p>
        </w:tc>
        <w:tc>
          <w:tcPr>
            <w:tcW w:w="3120" w:type="dxa"/>
            <w:shd w:val="clear" w:color="auto" w:fill="003078"/>
          </w:tcPr>
          <w:p w14:paraId="31DC5800" w14:textId="77777777" w:rsidR="00856093" w:rsidRDefault="00000000">
            <w:pPr>
              <w:spacing w:before="40" w:after="40"/>
            </w:pPr>
            <w:r>
              <w:rPr>
                <w:b/>
                <w:color w:val="FFFFFF"/>
                <w:sz w:val="20"/>
              </w:rPr>
              <w:t>Alternative (Pure Power Automate)</w:t>
            </w:r>
          </w:p>
        </w:tc>
      </w:tr>
      <w:tr w:rsidR="00856093" w14:paraId="0D709258" w14:textId="77777777">
        <w:tc>
          <w:tcPr>
            <w:tcW w:w="3120" w:type="dxa"/>
          </w:tcPr>
          <w:p w14:paraId="524ED38B" w14:textId="77777777" w:rsidR="00856093" w:rsidRDefault="00000000">
            <w:pPr>
              <w:spacing w:before="40" w:after="40"/>
            </w:pPr>
            <w:r>
              <w:rPr>
                <w:b/>
                <w:sz w:val="20"/>
              </w:rPr>
              <w:t>50k row processing speed</w:t>
            </w:r>
          </w:p>
        </w:tc>
        <w:tc>
          <w:tcPr>
            <w:tcW w:w="3120" w:type="dxa"/>
          </w:tcPr>
          <w:p w14:paraId="35166106" w14:textId="77777777" w:rsidR="00856093" w:rsidRDefault="00000000">
            <w:pPr>
              <w:spacing w:before="40" w:after="40"/>
            </w:pPr>
            <w:r>
              <w:rPr>
                <w:sz w:val="20"/>
              </w:rPr>
              <w:t>Seconds (Python in Azure Function)</w:t>
            </w:r>
          </w:p>
        </w:tc>
        <w:tc>
          <w:tcPr>
            <w:tcW w:w="3120" w:type="dxa"/>
          </w:tcPr>
          <w:p w14:paraId="369501BD" w14:textId="77777777" w:rsidR="00856093" w:rsidRDefault="00000000">
            <w:pPr>
              <w:spacing w:before="40" w:after="40"/>
            </w:pPr>
            <w:r>
              <w:rPr>
                <w:sz w:val="20"/>
              </w:rPr>
              <w:t>Hours (Power Automate Apply to Each loops)</w:t>
            </w:r>
          </w:p>
        </w:tc>
      </w:tr>
      <w:tr w:rsidR="00856093" w14:paraId="5EAA55BD" w14:textId="77777777">
        <w:tc>
          <w:tcPr>
            <w:tcW w:w="3120" w:type="dxa"/>
            <w:shd w:val="clear" w:color="auto" w:fill="F3F2F1"/>
          </w:tcPr>
          <w:p w14:paraId="32AAF5EA" w14:textId="77777777" w:rsidR="00856093" w:rsidRDefault="00000000">
            <w:pPr>
              <w:spacing w:before="40" w:after="40"/>
            </w:pPr>
            <w:r>
              <w:rPr>
                <w:b/>
                <w:sz w:val="20"/>
              </w:rPr>
              <w:t>User feedback on validation</w:t>
            </w:r>
          </w:p>
        </w:tc>
        <w:tc>
          <w:tcPr>
            <w:tcW w:w="3120" w:type="dxa"/>
            <w:shd w:val="clear" w:color="auto" w:fill="F3F2F1"/>
          </w:tcPr>
          <w:p w14:paraId="63A8D178" w14:textId="77777777" w:rsidR="00856093" w:rsidRDefault="00000000">
            <w:pPr>
              <w:spacing w:before="40" w:after="40"/>
            </w:pPr>
            <w:r>
              <w:rPr>
                <w:sz w:val="20"/>
              </w:rPr>
              <w:t>Immediate (synchronous, under 2 mins)</w:t>
            </w:r>
          </w:p>
        </w:tc>
        <w:tc>
          <w:tcPr>
            <w:tcW w:w="3120" w:type="dxa"/>
            <w:shd w:val="clear" w:color="auto" w:fill="F3F2F1"/>
          </w:tcPr>
          <w:p w14:paraId="5E78E306" w14:textId="77777777" w:rsidR="00856093" w:rsidRDefault="00000000">
            <w:pPr>
              <w:spacing w:before="40" w:after="40"/>
            </w:pPr>
            <w:r>
              <w:rPr>
                <w:sz w:val="20"/>
              </w:rPr>
              <w:t>Same</w:t>
            </w:r>
          </w:p>
        </w:tc>
      </w:tr>
      <w:tr w:rsidR="00856093" w14:paraId="5E272A11" w14:textId="77777777">
        <w:tc>
          <w:tcPr>
            <w:tcW w:w="3120" w:type="dxa"/>
          </w:tcPr>
          <w:p w14:paraId="47A81777" w14:textId="77777777" w:rsidR="00856093" w:rsidRDefault="00000000">
            <w:pPr>
              <w:spacing w:before="40" w:after="40"/>
            </w:pPr>
            <w:r>
              <w:rPr>
                <w:b/>
                <w:sz w:val="20"/>
              </w:rPr>
              <w:t>NINO security</w:t>
            </w:r>
          </w:p>
        </w:tc>
        <w:tc>
          <w:tcPr>
            <w:tcW w:w="3120" w:type="dxa"/>
          </w:tcPr>
          <w:p w14:paraId="169907F9" w14:textId="77777777" w:rsidR="00856093" w:rsidRDefault="00000000">
            <w:pPr>
              <w:spacing w:before="40" w:after="40"/>
            </w:pPr>
            <w:r>
              <w:rPr>
                <w:sz w:val="20"/>
              </w:rPr>
              <w:t>NINOs never stored in Dataverse</w:t>
            </w:r>
          </w:p>
        </w:tc>
        <w:tc>
          <w:tcPr>
            <w:tcW w:w="3120" w:type="dxa"/>
          </w:tcPr>
          <w:p w14:paraId="07D3A9D6" w14:textId="77777777" w:rsidR="00856093" w:rsidRDefault="00000000">
            <w:pPr>
              <w:spacing w:before="40" w:after="40"/>
            </w:pPr>
            <w:r>
              <w:rPr>
                <w:sz w:val="20"/>
              </w:rPr>
              <w:t>Same</w:t>
            </w:r>
          </w:p>
        </w:tc>
      </w:tr>
      <w:tr w:rsidR="00856093" w14:paraId="56089FAD" w14:textId="77777777">
        <w:tc>
          <w:tcPr>
            <w:tcW w:w="3120" w:type="dxa"/>
            <w:shd w:val="clear" w:color="auto" w:fill="F3F2F1"/>
          </w:tcPr>
          <w:p w14:paraId="1F85B847" w14:textId="77777777" w:rsidR="00856093" w:rsidRDefault="00000000">
            <w:pPr>
              <w:spacing w:before="40" w:after="40"/>
            </w:pPr>
            <w:r>
              <w:rPr>
                <w:b/>
                <w:sz w:val="20"/>
              </w:rPr>
              <w:t>Data import</w:t>
            </w:r>
          </w:p>
        </w:tc>
        <w:tc>
          <w:tcPr>
            <w:tcW w:w="3120" w:type="dxa"/>
            <w:shd w:val="clear" w:color="auto" w:fill="F3F2F1"/>
          </w:tcPr>
          <w:p w14:paraId="67FB370F" w14:textId="77777777" w:rsidR="00856093" w:rsidRDefault="00000000">
            <w:pPr>
              <w:spacing w:before="40" w:after="40"/>
            </w:pPr>
            <w:r>
              <w:rPr>
                <w:sz w:val="20"/>
              </w:rPr>
              <w:t>Standard Dataverse OOB import actions</w:t>
            </w:r>
          </w:p>
        </w:tc>
        <w:tc>
          <w:tcPr>
            <w:tcW w:w="3120" w:type="dxa"/>
            <w:shd w:val="clear" w:color="auto" w:fill="F3F2F1"/>
          </w:tcPr>
          <w:p w14:paraId="2B7C2E4A" w14:textId="77777777" w:rsidR="00856093" w:rsidRDefault="00000000">
            <w:pPr>
              <w:spacing w:before="40" w:after="40"/>
            </w:pPr>
            <w:r>
              <w:rPr>
                <w:sz w:val="20"/>
              </w:rPr>
              <w:t>Custom record creation or same</w:t>
            </w:r>
          </w:p>
        </w:tc>
      </w:tr>
      <w:tr w:rsidR="00856093" w14:paraId="7509C60B" w14:textId="77777777">
        <w:tc>
          <w:tcPr>
            <w:tcW w:w="3120" w:type="dxa"/>
          </w:tcPr>
          <w:p w14:paraId="23E2A50A" w14:textId="77777777" w:rsidR="00856093" w:rsidRDefault="00000000">
            <w:pPr>
              <w:spacing w:before="40" w:after="40"/>
            </w:pPr>
            <w:r>
              <w:rPr>
                <w:b/>
                <w:sz w:val="20"/>
              </w:rPr>
              <w:t>Maintainability</w:t>
            </w:r>
          </w:p>
        </w:tc>
        <w:tc>
          <w:tcPr>
            <w:tcW w:w="3120" w:type="dxa"/>
          </w:tcPr>
          <w:p w14:paraId="48E22768" w14:textId="77777777" w:rsidR="00856093" w:rsidRDefault="00000000">
            <w:pPr>
              <w:spacing w:before="40" w:after="40"/>
            </w:pPr>
            <w:r>
              <w:rPr>
                <w:sz w:val="20"/>
              </w:rPr>
              <w:t>Processing logic in Python (testable, version controlled)</w:t>
            </w:r>
          </w:p>
        </w:tc>
        <w:tc>
          <w:tcPr>
            <w:tcW w:w="3120" w:type="dxa"/>
          </w:tcPr>
          <w:p w14:paraId="270E9228" w14:textId="77777777" w:rsidR="00856093" w:rsidRDefault="00000000">
            <w:pPr>
              <w:spacing w:before="40" w:after="40"/>
            </w:pPr>
            <w:r>
              <w:rPr>
                <w:sz w:val="20"/>
              </w:rPr>
              <w:t>Processing logic in Flow actions (harder to test)</w:t>
            </w:r>
          </w:p>
        </w:tc>
      </w:tr>
      <w:tr w:rsidR="00856093" w14:paraId="415C55ED" w14:textId="77777777">
        <w:tc>
          <w:tcPr>
            <w:tcW w:w="3120" w:type="dxa"/>
            <w:shd w:val="clear" w:color="auto" w:fill="F3F2F1"/>
          </w:tcPr>
          <w:p w14:paraId="12FF9912" w14:textId="77777777" w:rsidR="00856093" w:rsidRDefault="00000000">
            <w:pPr>
              <w:spacing w:before="40" w:after="40"/>
            </w:pPr>
            <w:r>
              <w:rPr>
                <w:b/>
                <w:sz w:val="20"/>
              </w:rPr>
              <w:t>Scalability</w:t>
            </w:r>
          </w:p>
        </w:tc>
        <w:tc>
          <w:tcPr>
            <w:tcW w:w="3120" w:type="dxa"/>
            <w:shd w:val="clear" w:color="auto" w:fill="F3F2F1"/>
          </w:tcPr>
          <w:p w14:paraId="72A011CA" w14:textId="77777777" w:rsidR="00856093" w:rsidRDefault="00000000">
            <w:pPr>
              <w:spacing w:before="40" w:after="40"/>
            </w:pPr>
            <w:r>
              <w:rPr>
                <w:sz w:val="20"/>
              </w:rPr>
              <w:t>Azure Function scales automatically</w:t>
            </w:r>
          </w:p>
        </w:tc>
        <w:tc>
          <w:tcPr>
            <w:tcW w:w="3120" w:type="dxa"/>
            <w:shd w:val="clear" w:color="auto" w:fill="F3F2F1"/>
          </w:tcPr>
          <w:p w14:paraId="01D772D0" w14:textId="77777777" w:rsidR="00856093" w:rsidRDefault="00000000">
            <w:pPr>
              <w:spacing w:before="40" w:after="40"/>
            </w:pPr>
            <w:r>
              <w:rPr>
                <w:sz w:val="20"/>
              </w:rPr>
              <w:t>Constrained by Power Automate concurrency limits</w:t>
            </w:r>
          </w:p>
        </w:tc>
      </w:tr>
    </w:tbl>
    <w:p w14:paraId="0E594011" w14:textId="77777777" w:rsidR="00856093" w:rsidRDefault="00856093"/>
    <w:p w14:paraId="10FB83ED" w14:textId="77777777" w:rsidR="00856093" w:rsidRDefault="00000000">
      <w:pPr>
        <w:pStyle w:val="Heading1"/>
      </w:pPr>
      <w:r>
        <w:rPr>
          <w:rFonts w:ascii="Arial" w:hAnsi="Arial"/>
        </w:rPr>
        <w:t>Open Decisions</w:t>
      </w:r>
    </w:p>
    <w:p w14:paraId="1C00D3F9" w14:textId="77777777" w:rsidR="00856093" w:rsidRDefault="00000000">
      <w:pPr>
        <w:pStyle w:val="ListBullet"/>
      </w:pPr>
      <w:r>
        <w:rPr>
          <w:b/>
        </w:rPr>
        <w:t>Cognito credential storage</w:t>
      </w:r>
      <w:r>
        <w:t>: Whether the AWS Cognito credentials (used by the Azure Function to authenticate with the GUID API) are stored in AWS Secrets Manager (current) or Azure Key Vault (under discussion). This does not affect the overall architecture — only where the Function retrieves its credentials from.</w:t>
      </w:r>
    </w:p>
    <w:p w14:paraId="66D0A5C3" w14:textId="77777777" w:rsidR="00856093" w:rsidRDefault="00000000">
      <w:pPr>
        <w:pStyle w:val="Heading1"/>
      </w:pPr>
      <w:r>
        <w:rPr>
          <w:rFonts w:ascii="Arial" w:hAnsi="Arial"/>
        </w:rPr>
        <w:t>Next Steps</w:t>
      </w:r>
    </w:p>
    <w:p w14:paraId="6D740D6B" w14:textId="77777777" w:rsidR="00856093" w:rsidRDefault="00000000">
      <w:pPr>
        <w:pStyle w:val="ListNumber"/>
      </w:pPr>
      <w:r>
        <w:t>Confirm Cognito credential storage location</w:t>
      </w:r>
    </w:p>
    <w:p w14:paraId="1833AB13" w14:textId="77777777" w:rsidR="00856093" w:rsidRDefault="00000000">
      <w:pPr>
        <w:pStyle w:val="ListNumber"/>
      </w:pPr>
      <w:r>
        <w:t>Confirm service principal details for Power Platform to Azure Function auth</w:t>
      </w:r>
    </w:p>
    <w:p w14:paraId="1136AC48" w14:textId="77777777" w:rsidR="00856093" w:rsidRDefault="00000000">
      <w:pPr>
        <w:pStyle w:val="ListNumber"/>
      </w:pPr>
      <w:r>
        <w:t>Build and test the ProcessCSV Azure Function</w:t>
      </w:r>
    </w:p>
    <w:p w14:paraId="797BF85B" w14:textId="77777777" w:rsidR="00856093" w:rsidRDefault="00000000">
      <w:pPr>
        <w:pStyle w:val="ListNumber"/>
      </w:pPr>
      <w:r>
        <w:t>Update the custom connector with new operations</w:t>
      </w:r>
    </w:p>
    <w:p w14:paraId="23F3AFB9" w14:textId="77777777" w:rsidR="00856093" w:rsidRDefault="00000000">
      <w:pPr>
        <w:pStyle w:val="ListNumber"/>
      </w:pPr>
      <w:r>
        <w:lastRenderedPageBreak/>
        <w:t>Build the Power Automate flow (validation + orchestration)</w:t>
      </w:r>
    </w:p>
    <w:p w14:paraId="56A91F00" w14:textId="77777777" w:rsidR="00856093" w:rsidRDefault="00000000">
      <w:pPr>
        <w:pStyle w:val="ListNumber"/>
      </w:pPr>
      <w:r>
        <w:t>End-to-end testing with realistic data volumes</w:t>
      </w:r>
    </w:p>
    <w:sectPr w:rsidR="00856093"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7D89C" w14:textId="77777777" w:rsidR="00451071" w:rsidRDefault="00451071">
      <w:pPr>
        <w:spacing w:after="0" w:line="240" w:lineRule="auto"/>
      </w:pPr>
      <w:r>
        <w:separator/>
      </w:r>
    </w:p>
  </w:endnote>
  <w:endnote w:type="continuationSeparator" w:id="0">
    <w:p w14:paraId="2723033B" w14:textId="77777777" w:rsidR="00451071" w:rsidRDefault="00451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E50CA" w14:textId="77777777" w:rsidR="00856093" w:rsidRDefault="00000000">
    <w:pPr>
      <w:pStyle w:val="Footer"/>
      <w:jc w:val="center"/>
    </w:pPr>
    <w:r>
      <w:rPr>
        <w:color w:val="505A5F"/>
        <w:sz w:val="18"/>
      </w:rPr>
      <w:t xml:space="preserve">Page </w:t>
    </w:r>
    <w:r>
      <w:rPr>
        <w:color w:val="505A5F"/>
        <w:sz w:val="18"/>
      </w:rPr>
      <w:fldChar w:fldCharType="begin"/>
    </w:r>
    <w:r>
      <w:rPr>
        <w:color w:val="505A5F"/>
        <w:sz w:val="18"/>
      </w:rPr>
      <w:instrText xml:space="preserve"> PAGE </w:instrText>
    </w:r>
    <w:r w:rsidR="001C503B">
      <w:rPr>
        <w:color w:val="505A5F"/>
        <w:sz w:val="18"/>
      </w:rPr>
      <w:fldChar w:fldCharType="separate"/>
    </w:r>
    <w:r w:rsidR="001C503B">
      <w:rPr>
        <w:noProof/>
        <w:color w:val="505A5F"/>
        <w:sz w:val="18"/>
      </w:rPr>
      <w:t>1</w:t>
    </w:r>
    <w:r>
      <w:rPr>
        <w:color w:val="505A5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A8E5F" w14:textId="77777777" w:rsidR="00451071" w:rsidRDefault="00451071">
      <w:pPr>
        <w:spacing w:after="0" w:line="240" w:lineRule="auto"/>
      </w:pPr>
      <w:r>
        <w:separator/>
      </w:r>
    </w:p>
  </w:footnote>
  <w:footnote w:type="continuationSeparator" w:id="0">
    <w:p w14:paraId="7268EDB6" w14:textId="77777777" w:rsidR="00451071" w:rsidRDefault="004510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AD586" w14:textId="77777777" w:rsidR="00856093" w:rsidRDefault="00000000">
    <w:pPr>
      <w:pStyle w:val="Header"/>
      <w:pBdr>
        <w:bottom w:val="single" w:sz="4" w:space="4" w:color="B1B4B6"/>
      </w:pBdr>
    </w:pPr>
    <w:r>
      <w:rPr>
        <w:b/>
        <w:color w:val="505A5F"/>
        <w:sz w:val="18"/>
      </w:rPr>
      <w:t>DWP — GUID Service Integration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3866308">
    <w:abstractNumId w:val="8"/>
  </w:num>
  <w:num w:numId="2" w16cid:durableId="219051872">
    <w:abstractNumId w:val="6"/>
  </w:num>
  <w:num w:numId="3" w16cid:durableId="734161258">
    <w:abstractNumId w:val="5"/>
  </w:num>
  <w:num w:numId="4" w16cid:durableId="1553812648">
    <w:abstractNumId w:val="4"/>
  </w:num>
  <w:num w:numId="5" w16cid:durableId="111174483">
    <w:abstractNumId w:val="7"/>
  </w:num>
  <w:num w:numId="6" w16cid:durableId="741558617">
    <w:abstractNumId w:val="3"/>
  </w:num>
  <w:num w:numId="7" w16cid:durableId="60491124">
    <w:abstractNumId w:val="2"/>
  </w:num>
  <w:num w:numId="8" w16cid:durableId="959530915">
    <w:abstractNumId w:val="1"/>
  </w:num>
  <w:num w:numId="9" w16cid:durableId="1226187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5D7"/>
    <w:rsid w:val="0006063C"/>
    <w:rsid w:val="0015074B"/>
    <w:rsid w:val="001C503B"/>
    <w:rsid w:val="0029639D"/>
    <w:rsid w:val="00326F90"/>
    <w:rsid w:val="00451071"/>
    <w:rsid w:val="008560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1B08A"/>
  <w14:defaultImageDpi w14:val="300"/>
  <w15:docId w15:val="{D4BEF180-2B43-465D-A684-F1C32E59B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Arial" w:hAnsi="Arial"/>
      <w:color w:val="0B0C0C"/>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sz w:val="48"/>
      <w:szCs w:val="28"/>
    </w:rPr>
  </w:style>
  <w:style w:type="paragraph" w:styleId="Heading2">
    <w:name w:val="heading 2"/>
    <w:basedOn w:val="Normal"/>
    <w:next w:val="Normal"/>
    <w:link w:val="Heading2Char"/>
    <w:uiPriority w:val="9"/>
    <w:unhideWhenUsed/>
    <w:qFormat/>
    <w:rsid w:val="00FC693F"/>
    <w:pPr>
      <w:keepNext/>
      <w:keepLines/>
      <w:spacing w:before="360"/>
      <w:outlineLvl w:val="1"/>
    </w:pPr>
    <w:rPr>
      <w:rFonts w:asciiTheme="majorHAnsi" w:eastAsiaTheme="majorEastAsia" w:hAnsiTheme="majorHAnsi" w:cstheme="majorBidi"/>
      <w:b/>
      <w:bCs/>
      <w:sz w:val="38"/>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b/>
      <w:bCs/>
      <w:sz w:val="32"/>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b/>
      <w:bCs/>
      <w:i/>
      <w:iCs/>
      <w:color w:val="505A5F"/>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onsolas" w:hAnsi="Consolas"/>
      <w:color w:val="0B0C0C"/>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9</Pages>
  <Words>791</Words>
  <Characters>4399</Characters>
  <Application>Microsoft Office Word</Application>
  <DocSecurity>0</DocSecurity>
  <Lines>146</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James</cp:lastModifiedBy>
  <cp:revision>2</cp:revision>
  <dcterms:created xsi:type="dcterms:W3CDTF">2013-12-23T23:15:00Z</dcterms:created>
  <dcterms:modified xsi:type="dcterms:W3CDTF">2026-04-07T15:17:00Z</dcterms:modified>
  <cp:category/>
</cp:coreProperties>
</file>