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發包承攬契約書</w:t>
      </w:r>
    </w:p>
    <w:p>
      <w:r>
        <w:t>立契約書人　定作人：宏遠營造股份有限公司（以下簡稱甲方）</w:t>
      </w:r>
    </w:p>
    <w:p>
      <w:r>
        <w:t xml:space="preserve">　　　　　　承攬人：立成土木包工業（以下簡稱乙方）</w:t>
      </w:r>
    </w:p>
    <w:p>
      <w:r>
        <w:t>第一條　工程名稱：廠房擴建新建工程之模板組立工項。</w:t>
      </w:r>
    </w:p>
    <w:p>
      <w:r>
        <w:t>第二條　承攬報酬：契約總價為新臺幣參佰萬元整（NT$3,000,000元），依實作數量結算。</w:t>
      </w:r>
    </w:p>
    <w:p>
      <w:r>
        <w:t>第三條　工期：本工程應於民國115年3月1日開工，並於民國＿＿年＿＿月＿＿日前竣工。</w:t>
      </w:r>
    </w:p>
    <w:p>
      <w:r>
        <w:t>第四條　付款辦法：每月依實際完成數量計價，甲方於次月十五日前給付工程款。</w:t>
      </w:r>
    </w:p>
    <w:p>
      <w:r>
        <w:t>第五條　保固：乙方保固期間為驗收合格日起一年。</w:t>
      </w:r>
    </w:p>
    <w:p>
      <w:r>
        <w:t>第六條　違約金：乙方逾期完工者，每逾一日按契約總價千分之一計罰違約金。</w:t>
      </w:r>
    </w:p>
    <w:p>
      <w:r>
        <w:t>第七條　保險：乙方應投保營造綜合保險及僱主意外責任險。</w:t>
      </w:r>
    </w:p>
    <w:p>
      <w:r>
        <w:t>第八條　爭議處理：雙方同意因本契約所生爭議，以臺灣臺北地方法院為第一審管轄法院。</w:t>
      </w:r>
    </w:p>
    <w:p>
      <w:r>
        <w:t>立契約書人　甲方：宏遠營造股份有限公司　用印：</w:t>
      </w:r>
    </w:p>
    <w:p>
      <w:r>
        <w:t xml:space="preserve">　　　　　　乙方：立成土木包工業　　　　用印：</w:t>
      </w:r>
    </w:p>
    <w:p>
      <w:r>
        <w:t>中華民國115年2月20日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