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致 中鼎工程：本公司對貴司詢價條件有以下意見：</w:t>
      </w:r>
    </w:p>
    <w:p>
      <w:r>
        <w:t>1. 付款天期要求 30 天。</w:t>
      </w:r>
    </w:p>
    <w:p>
      <w:r>
        <w:t>2. 保固改為 12 個月自交貨起算。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