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東和鋼鐵股份有限公司 商務偏離表</w:t>
      </w:r>
    </w:p>
    <w:p>
      <w:r>
        <w:t>專案：彰濱焚化爐案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項次</w:t>
            </w:r>
          </w:p>
        </w:tc>
        <w:tc>
          <w:tcPr>
            <w:tcW w:type="dxa" w:w="2880"/>
          </w:tcPr>
          <w:p>
            <w:r>
              <w:t>條款</w:t>
            </w:r>
          </w:p>
        </w:tc>
        <w:tc>
          <w:tcPr>
            <w:tcW w:type="dxa" w:w="2880"/>
          </w:tcPr>
          <w:p>
            <w:r>
              <w:t>偏離說明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付款條件</w:t>
            </w:r>
          </w:p>
        </w:tc>
        <w:tc>
          <w:tcPr>
            <w:tcW w:type="dxa" w:w="2880"/>
          </w:tcPr>
          <w:p>
            <w:r>
              <w:t>要求預付款 30%，且免提供預付款保證。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逾期罰款</w:t>
            </w:r>
          </w:p>
        </w:tc>
        <w:tc>
          <w:tcPr>
            <w:tcW w:type="dxa" w:w="2880"/>
          </w:tcPr>
          <w:p>
            <w:r>
              <w:t>逾期罰款上限降為 5%。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