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訂購單合約</w:t>
      </w:r>
    </w:p>
    <w:p>
      <w:r>
        <w:t>立契約書人：大甲精機股份有限公司（以下簡稱甲方）</w:t>
      </w:r>
    </w:p>
    <w:p>
      <w:r>
        <w:t xml:space="preserve">　　　　　　永信工業有限公司（以下簡稱乙方）</w:t>
      </w:r>
    </w:p>
    <w:p>
      <w:r>
        <w:t>第一條　契約標的：甲方向乙方訂購 CNC 車床零件乙批，明細如附件一。</w:t>
      </w:r>
    </w:p>
    <w:p>
      <w:r>
        <w:t>第二條　契約總價：新臺幣壹佰貳拾萬元整（NT$1,000,000元）。</w:t>
      </w:r>
    </w:p>
    <w:p>
      <w:r>
        <w:t>第三條　付款條件：買方應於驗收合格後　　日內，以電匯方式給付賣方，帳號：______________。</w:t>
      </w:r>
    </w:p>
    <w:p>
      <w:r>
        <w:t>第四條　交貨期限：乙方應於民國115年2月30日前交貨完畢。</w:t>
      </w:r>
    </w:p>
    <w:p>
      <w:r>
        <w:t>第五條　驗收：甲方應於到貨後七日內完成驗收。</w:t>
      </w:r>
    </w:p>
    <w:p>
      <w:r>
        <w:t>第六條　訂金：甲方於簽約時給付訂金新臺幣貳拾萬元整。</w:t>
      </w:r>
    </w:p>
    <w:p>
      <w:r>
        <w:t>第七條　違約金：乙方逾期交貨者，每逾一日按契約總價千分之一計罰違約金。</w:t>
      </w:r>
    </w:p>
    <w:p>
      <w:r>
        <w:t>第八條　管轄法院：因本契約涉訟時，雙方合意以臺灣臺中地方法院為第一審管轄法院。</w:t>
      </w:r>
    </w:p>
    <w:p>
      <w:r>
        <w:t>第九條　貿易條件：進口零組件部分依 FOB Keelung（Incoterms 2020）交貨，該部分計價 USD 35,000。</w:t>
      </w:r>
    </w:p>
    <w:p>
      <w:r>
        <w:t>立契約書人　甲方：大甲精機股份有限公司　簽章：</w:t>
      </w:r>
    </w:p>
    <w:p>
      <w:r>
        <w:t xml:space="preserve">　　　　　　乙方：永信工業有限公司　　　簽章：</w:t>
      </w:r>
    </w:p>
    <w:p>
      <w:r>
        <w:t>中華民國115年1月15日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