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60.png" ContentType="image/png"/>
  <Override PartName="/word/media/rId43.png" ContentType="image/png"/>
  <Override PartName="/word/media/rId25.png" ContentType="image/png"/>
  <Override PartName="/word/media/rId28.png" ContentType="image/png"/>
  <Override PartName="/word/media/rId66.png" ContentType="image/png"/>
  <Override PartName="/word/media/rId69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22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James R. Junker</w:t>
      </w:r>
      <w:r>
        <w:rPr>
          <w:vertAlign w:val="superscript"/>
        </w:rPr>
        <w:t xml:space="preserve">1,2,✉</w:t>
      </w:r>
      <w:r>
        <w:t xml:space="preserve">, Jeff S. Wesner</w:t>
      </w:r>
      <w:r>
        <w:rPr>
          <w:vertAlign w:val="superscript"/>
        </w:rPr>
        <w:t xml:space="preserve">3</w:t>
      </w:r>
      <w:r>
        <w:t xml:space="preserve">, Justin Pomeranz</w:t>
      </w:r>
      <w:r>
        <w:rPr>
          <w:vertAlign w:val="superscript"/>
        </w:rPr>
        <w:t xml:space="preserve">4</w:t>
      </w:r>
      <w:r>
        <w:t xml:space="preserve">, and Vojsava Gjoni</w:t>
      </w:r>
      <w:r>
        <w:rPr>
          <w:vertAlign w:val="superscript"/>
        </w:rPr>
        <w:t xml:space="preserve">5</w:t>
      </w:r>
    </w:p>
    <w:p>
      <w:pPr>
        <w:pStyle w:val="Date"/>
      </w:pPr>
      <w:r>
        <w:t xml:space="preserve">2026-02-27</w:t>
      </w:r>
    </w:p>
    <w:p>
      <w:pPr>
        <w:pStyle w:val="FirstParagraph"/>
      </w:pPr>
      <w:r>
        <w:rPr>
          <w:vertAlign w:val="superscript"/>
        </w:rPr>
        <w:t xml:space="preserve">1</w:t>
      </w:r>
      <w:r>
        <w:t xml:space="preserve"> </w:t>
      </w:r>
      <w:r>
        <w:t xml:space="preserve">Dept. of Biological Sciences, University of North Texas, Denton, TX USA</w:t>
      </w:r>
      <w:r>
        <w:br/>
      </w:r>
      <w:r>
        <w:rPr>
          <w:vertAlign w:val="superscript"/>
        </w:rPr>
        <w:t xml:space="preserve">2</w:t>
      </w:r>
      <w:r>
        <w:t xml:space="preserve"> </w:t>
      </w:r>
      <w:r>
        <w:t xml:space="preserve">Advanced Environmental Research Institute, University of North Texas, Denton, TX USA</w:t>
      </w:r>
      <w:r>
        <w:br/>
      </w:r>
      <w:r>
        <w:rPr>
          <w:vertAlign w:val="superscript"/>
        </w:rPr>
        <w:t xml:space="preserve">3</w:t>
      </w:r>
      <w:r>
        <w:t xml:space="preserve"> </w:t>
      </w:r>
      <w:r>
        <w:t xml:space="preserve">usd</w:t>
      </w:r>
      <w:r>
        <w:br/>
      </w:r>
      <w:r>
        <w:rPr>
          <w:vertAlign w:val="superscript"/>
        </w:rPr>
        <w:t xml:space="preserve">4</w:t>
      </w:r>
      <w:r>
        <w:t xml:space="preserve"> </w:t>
      </w:r>
      <w:r>
        <w:t xml:space="preserve">cmu</w:t>
      </w:r>
      <w:r>
        <w:br/>
      </w:r>
      <w:r>
        <w:rPr>
          <w:vertAlign w:val="superscript"/>
        </w:rPr>
        <w:t xml:space="preserve">5</w:t>
      </w:r>
      <w:r>
        <w:t xml:space="preserve"> </w:t>
      </w:r>
      <w:r>
        <w:t xml:space="preserve">ital</w:t>
      </w:r>
    </w:p>
    <w:p>
      <w:pPr>
        <w:pStyle w:val="BodyText"/>
      </w:pPr>
      <w:r>
        <w:rPr>
          <w:vertAlign w:val="superscript"/>
        </w:rPr>
        <w:t xml:space="preserve">✉</w:t>
      </w:r>
      <w:r>
        <w:t xml:space="preserve"> </w:t>
      </w:r>
      <w:r>
        <w:t xml:space="preserve">Correspondence:</w:t>
      </w:r>
      <w:r>
        <w:t xml:space="preserve"> </w:t>
      </w:r>
      <w:hyperlink r:id="rId20">
        <w:r>
          <w:rPr>
            <w:rStyle w:val="Hyperlink"/>
          </w:rPr>
          <w:t xml:space="preserve">James R. Junker &lt;</w:t>
        </w:r>
        <w:hyperlink r:id="rId20">
          <w:r>
            <w:rPr>
              <w:rStyle w:val="Hyperlink"/>
            </w:rPr>
            <w:t xml:space="preserve">james.junker@unt.edu</w:t>
          </w:r>
        </w:hyperlink>
        <w:r>
          <w:rPr>
            <w:rStyle w:val="Hyperlink"/>
          </w:rPr>
          <w:t xml:space="preserve">&gt;</w:t>
        </w:r>
      </w:hyperlink>
    </w:p>
    <w:bookmarkStart w:id="21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Start the initial analysis combining ISD, CCSR, and LSD relationships across the NEON sites. This is initial fodder for discussion of next steps.</w:t>
      </w:r>
    </w:p>
    <w:bookmarkEnd w:id="21"/>
    <w:bookmarkStart w:id="46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The negative relationship between abundance and body size is one of the most widely observed ecological patterns []. This relationships manifests across biological levels of organization from individuals within a species to whole food webs</w:t>
      </w:r>
      <w:r>
        <w:t xml:space="preserve"> </w:t>
      </w:r>
      <w:r>
        <w:t xml:space="preserve">(</w:t>
      </w:r>
      <w:r>
        <w:rPr>
          <w:b/>
          <w:bCs/>
        </w:rPr>
        <w:t xml:space="preserve">white2007?</w:t>
      </w:r>
      <w:r>
        <w:t xml:space="preserve">)</w:t>
      </w:r>
      <w:r>
        <w:t xml:space="preserve">…</w:t>
      </w:r>
    </w:p>
    <w:p>
      <w:pPr>
        <w:pStyle w:val="SourceCode"/>
      </w:pPr>
      <w:r>
        <w:rPr>
          <w:rStyle w:val="VerbatimChar"/>
        </w:rPr>
        <w:t xml:space="preserve">## Data was last updated on 2025-04-29</w:t>
      </w:r>
    </w:p>
    <w:p>
      <w:pPr>
        <w:pStyle w:val="SourceCode"/>
      </w:pPr>
      <w:r>
        <w:rPr>
          <w:rStyle w:val="VerbatimChar"/>
        </w:rPr>
        <w:t xml:space="preserve">## [1] 0.8845</w:t>
      </w:r>
    </w:p>
    <w:p>
      <w:pPr>
        <w:pStyle w:val="SourceCode"/>
      </w:pPr>
      <w:r>
        <w:rPr>
          <w:rStyle w:val="VerbatimChar"/>
        </w:rPr>
        <w:t xml:space="preserve">##       2.5%      97.5% </w:t>
      </w:r>
      <w:r>
        <w:br/>
      </w:r>
      <w:r>
        <w:rPr>
          <w:rStyle w:val="VerbatimChar"/>
        </w:rPr>
        <w:t xml:space="preserve">## -0.9180233  3.5464704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ISD-CCSR_ms_files/figure-docx/richness%20models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ISD-CCSR_ms_files/figure-docx/allometric%20models-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ISD-CCSR_ms_files/figure-docx/allometric%20prediction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[1] 0.6689773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ISD-CCSR_ms_files/figure-docx/richness%20prediction-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ISD-CCSR_ms_files/figure-docx/pareto%20extrapolation-1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ISD-CCSR_ms_files/figure-docx/residual%20models-1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620126" cy="3696101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ISD-CCSR_ms_files/figure-docx/residual%20models-2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Further, the theories of self-thinning and energy equivalence upon which the CCSR is based upon derive from individual energy use, which body size is only a proxy for. We can adjust body mass,</w:t>
      </w:r>
      <w:r>
        <w:t xml:space="preserve"> </w:t>
      </w:r>
      <w:r>
        <w:rPr>
          <w:i/>
          <w:iCs/>
        </w:rPr>
        <w:t xml:space="preserve">sensu stricto</w:t>
      </w:r>
      <w:r>
        <w:t xml:space="preserve">, to metabolic mass by adjusting for the metabolic scaling exponent,</w:t>
      </w:r>
      <w:r>
        <w:t xml:space="preserve"> </w:t>
      </w:r>
      <m:oMath>
        <m:sSup>
          <m:e>
            <m:r>
              <m:t>M</m:t>
            </m:r>
          </m:e>
          <m:sup>
            <m:r>
              <m:t>α</m:t>
            </m:r>
          </m:sup>
        </m:sSup>
      </m:oMath>
      <w:r>
        <w:t xml:space="preserve">, where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usually takes values in the range of 0.6 – 0.75. Also, care must be taken about how metabolic mass is calculated. Because, individual metabolism is a non-linear function with mass,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bar>
              <m:barPr>
                <m:pos m:val="top"/>
              </m:barPr>
              <m:e>
                <m:r>
                  <m:t>x</m:t>
                </m:r>
              </m:e>
            </m:bar>
          </m:e>
        </m:d>
        <m:r>
          <m:rPr>
            <m:sty m:val="p"/>
          </m:rPr>
          <m:t>≠</m:t>
        </m:r>
        <m:bar>
          <m:barPr>
            <m:pos m:val="top"/>
          </m:barPr>
          <m:e>
            <m:r>
              <m:t>f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</m:e>
            </m:d>
          </m:e>
        </m:bar>
      </m:oMath>
      <w:r>
        <w:t xml:space="preserve"> </w:t>
      </w:r>
      <w:r>
        <w:t xml:space="preserve">(</w:t>
      </w:r>
      <w:r>
        <w:rPr>
          <w:b/>
          <w:bCs/>
        </w:rPr>
        <w:t xml:space="preserve">Jensen?</w:t>
      </w:r>
      <w:r>
        <w:t xml:space="preserve">)</w:t>
      </w:r>
      <w:r>
        <w:t xml:space="preserve"> </w:t>
      </w:r>
      <w:r>
        <w:t xml:space="preserve">and the proper value to use is to first calculate metabolic mass for each individual,</w:t>
      </w:r>
      <w:r>
        <w:t xml:space="preserve"> </w:t>
      </w:r>
      <m:oMath>
        <m:sSubSup>
          <m:e>
            <m:r>
              <m:t>m</m:t>
            </m:r>
          </m:e>
          <m:sub>
            <m:r>
              <m:t>i</m:t>
            </m:r>
          </m:sub>
          <m:sup>
            <m:r>
              <m:t>α</m:t>
            </m:r>
          </m:sup>
        </m:sSubSup>
      </m:oMath>
      <w:r>
        <w:t xml:space="preserve">, and then average across all individual metabolic mass measurements for a sampling timepoint. The difference in these measurements can be observed below.</w:t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ISD-CCSR_ms_files/figure-docx/NB%20met%20comparison-1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6"/>
    <w:bookmarkStart w:id="47" w:name="theory-of-body-sizeabundance"/>
    <w:p>
      <w:pPr>
        <w:pStyle w:val="Heading2"/>
      </w:pPr>
      <w:r>
        <w:t xml:space="preserve">Theory of body size–abundance</w:t>
      </w:r>
    </w:p>
    <w:bookmarkEnd w:id="47"/>
    <w:bookmarkStart w:id="59" w:name="methods"/>
    <w:p>
      <w:pPr>
        <w:pStyle w:val="Heading1"/>
      </w:pPr>
      <w:r>
        <w:t xml:space="preserve">Methods</w:t>
      </w:r>
    </w:p>
    <w:bookmarkStart w:id="48" w:name="study-sites"/>
    <w:p>
      <w:pPr>
        <w:pStyle w:val="Heading2"/>
      </w:pPr>
      <w:r>
        <w:t xml:space="preserve">Study sites</w:t>
      </w:r>
    </w:p>
    <w:bookmarkEnd w:id="48"/>
    <w:bookmarkStart w:id="54" w:name="data-sets"/>
    <w:p>
      <w:pPr>
        <w:pStyle w:val="Heading2"/>
      </w:pPr>
      <w:r>
        <w:t xml:space="preserve">Data sets</w:t>
      </w:r>
    </w:p>
    <w:bookmarkStart w:id="49" w:name="macros-and-fish"/>
    <w:p>
      <w:pPr>
        <w:pStyle w:val="Heading3"/>
      </w:pPr>
      <w:r>
        <w:t xml:space="preserve">Macros and fish</w:t>
      </w:r>
    </w:p>
    <w:bookmarkEnd w:id="49"/>
    <w:bookmarkStart w:id="53" w:name="environmental-variables"/>
    <w:p>
      <w:pPr>
        <w:pStyle w:val="Heading3"/>
      </w:pPr>
      <w:r>
        <w:t xml:space="preserve">Environmental Variables</w:t>
      </w:r>
    </w:p>
    <w:bookmarkStart w:id="50" w:name="temp"/>
    <w:p>
      <w:pPr>
        <w:pStyle w:val="Heading4"/>
      </w:pPr>
      <w:r>
        <w:t xml:space="preserve">Temp</w:t>
      </w:r>
    </w:p>
    <w:bookmarkEnd w:id="50"/>
    <w:bookmarkStart w:id="51" w:name="gpp"/>
    <w:p>
      <w:pPr>
        <w:pStyle w:val="Heading4"/>
      </w:pPr>
      <w:r>
        <w:t xml:space="preserve">GPP</w:t>
      </w:r>
    </w:p>
    <w:bookmarkEnd w:id="51"/>
    <w:bookmarkStart w:id="52" w:name="om"/>
    <w:p>
      <w:pPr>
        <w:pStyle w:val="Heading4"/>
      </w:pPr>
      <w:r>
        <w:t xml:space="preserve">OM</w:t>
      </w:r>
    </w:p>
    <w:bookmarkEnd w:id="52"/>
    <w:bookmarkEnd w:id="53"/>
    <w:bookmarkEnd w:id="54"/>
    <w:bookmarkStart w:id="58" w:name="statistical-analyses"/>
    <w:p>
      <w:pPr>
        <w:pStyle w:val="Heading2"/>
      </w:pPr>
      <w:r>
        <w:t xml:space="preserve">Statistical analyses</w:t>
      </w:r>
    </w:p>
    <w:bookmarkStart w:id="55" w:name="community-nm"/>
    <w:p>
      <w:pPr>
        <w:pStyle w:val="Heading3"/>
      </w:pPr>
      <w:r>
        <w:t xml:space="preserve">community N~M</w:t>
      </w:r>
    </w:p>
    <w:bookmarkEnd w:id="55"/>
    <w:bookmarkStart w:id="56" w:name="truncated-pareto"/>
    <w:p>
      <w:pPr>
        <w:pStyle w:val="Heading3"/>
      </w:pPr>
      <w:r>
        <w:t xml:space="preserve">truncated pareto</w:t>
      </w:r>
    </w:p>
    <w:bookmarkEnd w:id="56"/>
    <w:bookmarkStart w:id="57" w:name="mixed-effects-models-were-fit-with"/>
    <w:p>
      <w:pPr>
        <w:pStyle w:val="Heading3"/>
      </w:pPr>
      <w:r>
        <w:t xml:space="preserve">Mixed-effects models were fit with</w:t>
      </w:r>
    </w:p>
    <w:bookmarkEnd w:id="57"/>
    <w:bookmarkEnd w:id="58"/>
    <w:bookmarkEnd w:id="59"/>
    <w:bookmarkStart w:id="63" w:name="results"/>
    <w:p>
      <w:pPr>
        <w:pStyle w:val="Heading1"/>
      </w:pPr>
      <w:r>
        <w:t xml:space="preserve">Results</w:t>
      </w:r>
    </w:p>
    <w:p>
      <w:pPr>
        <w:pStyle w:val="FirstParagraph"/>
      </w:pPr>
      <w:r>
        <w:t xml:space="preserve">Total community abundances ranged ~15 order of magnitude from 1.1e+00 to 3e+06 with average community abundance of 3.2e+05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4.8e+05 individuals m</w:t>
      </w:r>
      <w:r>
        <w:rPr>
          <w:vertAlign w:val="superscript"/>
        </w:rPr>
        <w:t xml:space="preserve">-2</w:t>
      </w:r>
      <w:r>
        <w:t xml:space="preserve">. Community mean body sizes exhibited a similar range from 2.1e-01 to 7e+03 with an average community mean body size of 827.05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1089.18 mg dry mass individual</w:t>
      </w:r>
      <w:r>
        <w:rPr>
          <w:vertAlign w:val="superscript"/>
        </w:rPr>
        <w:t xml:space="preserve">-1</w:t>
      </w:r>
      <w:r>
        <w:t xml:space="preserve">.</w:t>
      </w:r>
    </w:p>
    <w:p>
      <w:pPr>
        <w:pStyle w:val="BodyText"/>
      </w:pPr>
      <w:r>
        <w:t xml:space="preserve">Total community biomass estimates ranged from 42.33 to 46551.59</w:t>
      </w:r>
    </w:p>
    <w:p>
      <w:pPr>
        <w:pStyle w:val="BodyText"/>
      </w:pPr>
      <w:r>
        <w:t xml:space="preserve">To explore drivers of over- or under-yielding,</w:t>
      </w:r>
    </w:p>
    <w:p>
      <w:pPr>
        <w:pStyle w:val="CaptionedFigure"/>
      </w:pPr>
      <w:r>
        <w:drawing>
          <wp:inline>
            <wp:extent cx="4620126" cy="3696101"/>
            <wp:effectExtent b="0" l="0" r="0" t="0"/>
            <wp:docPr descr="Figure 1. The scaling of community abundances by community abundance-weighted metabolic mass across the NEON streams." title="" id="61" name="Picture"/>
            <a:graphic>
              <a:graphicData uri="http://schemas.openxmlformats.org/drawingml/2006/picture">
                <pic:pic>
                  <pic:nvPicPr>
                    <pic:cNvPr descr="ISD-CCSR_ms_files/figure-docx/N-Mn_met%20plot-1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1. The scaling of community abundances by community abundance-weighted metabolic mass across the NEON streams.</w:t>
      </w:r>
    </w:p>
    <w:bookmarkEnd w:id="63"/>
    <w:bookmarkStart w:id="65" w:name="references"/>
    <w:p>
      <w:pPr>
        <w:pStyle w:val="Heading1"/>
      </w:pPr>
      <w:r>
        <w:t xml:space="preserve">References</w:t>
      </w:r>
    </w:p>
    <w:bookmarkStart w:id="64" w:name="refs"/>
    <w:bookmarkEnd w:id="64"/>
    <w:p>
      <w:r>
        <w:br w:type="page"/>
      </w:r>
    </w:p>
    <w:bookmarkEnd w:id="65"/>
    <w:bookmarkStart w:id="73" w:name="appendix"/>
    <w:p>
      <w:pPr>
        <w:pStyle w:val="Heading1"/>
      </w:pPr>
      <w:r>
        <w:t xml:space="preserve">Appendix</w:t>
      </w:r>
    </w:p>
    <w:bookmarkStart w:id="72" w:name="body-size-treatment"/>
    <w:p>
      <w:pPr>
        <w:pStyle w:val="Heading2"/>
      </w:pPr>
      <w:r>
        <w:t xml:space="preserve">Body size treatment</w:t>
      </w:r>
    </w:p>
    <w:p>
      <w:pPr>
        <w:pStyle w:val="FirstParagraph"/>
      </w:pPr>
      <w:r>
        <w:t xml:space="preserve">While the calculation of total abundance is straightforward, estimating mean body size of the community can be done in multiple ways: 1) by taking the mean of all individuals (i.e., abundance-weighted mean), by calculating the relative biomass of each body size and using this to weight body size by relative biomass (i.e., biomass-weighted), and lastly to correct each mass to metabolic mass (</w:t>
      </w:r>
      <w:r>
        <w:rPr>
          <w:i/>
          <w:iCs/>
        </w:rPr>
        <w:t xml:space="preserve">M</w:t>
      </w:r>
      <w:r>
        <w:rPr>
          <w:vertAlign w:val="superscript"/>
        </w:rPr>
        <w:t xml:space="preserve">0.75</w:t>
      </w:r>
      <w:r>
        <w:t xml:space="preserve">) and take the abundance- or biomass-weighted mean of these corrected body sizes. The theorized relationship between abundance and body size in</w:t>
      </w:r>
      <w:r>
        <w:t xml:space="preserve"> </w:t>
      </w:r>
      <m:oMath>
        <m:r>
          <m:t>N</m:t>
        </m:r>
        <m:r>
          <m:rPr>
            <m:sty m:val="p"/>
          </m:rPr>
          <m:t>∝</m:t>
        </m:r>
        <m:r>
          <m:t>M</m:t>
        </m:r>
      </m:oMath>
      <w:r>
        <w:t xml:space="preserve"> </w:t>
      </w:r>
      <w:r>
        <w:t xml:space="preserve">is based on energy use, i.e. metabolism, and metabolism scales non-linearly with body size, therefore, the metabolic correction is most appropriate</w:t>
      </w:r>
      <w:r>
        <w:t xml:space="preserve"> </w:t>
      </w:r>
      <w:r>
        <w:t xml:space="preserve">(</w:t>
      </w:r>
      <w:r>
        <w:rPr>
          <w:b/>
          <w:bCs/>
        </w:rPr>
        <w:t xml:space="preserve">white2007?</w:t>
      </w:r>
      <w:r>
        <w:t xml:space="preserve">)</w:t>
      </w:r>
      <w:r>
        <w:t xml:space="preserve">. These differences can have significant influence on the community biomass estimates (Figure S1).</w:t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ISD-CCSR_ms_files/figure-docx/met-corrected-bodysize-comparison-1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620126" cy="3696101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ISD-CCSR_ms_files/figure-docx/met-corrected-bodysize-comparison-2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2"/>
    <w:bookmarkEnd w:id="73"/>
    <w:bookmarkStart w:id="74" w:name="Xa1ec8856111ee07b2aa1d804355d0fdd15b9230"/>
    <w:p>
      <w:pPr>
        <w:pStyle w:val="Heading1"/>
      </w:pPr>
      <w:r>
        <w:t xml:space="preserve">output = capture.output(brm(bf(ln_tot_s~lmbar_b_s),</w:t>
      </w:r>
    </w:p>
    <w:bookmarkEnd w:id="74"/>
    <w:bookmarkStart w:id="75" w:name="data-dat"/>
    <w:p>
      <w:pPr>
        <w:pStyle w:val="Heading1"/>
      </w:pPr>
      <w:r>
        <w:t xml:space="preserve">data = dat,</w:t>
      </w:r>
    </w:p>
    <w:bookmarkEnd w:id="75"/>
    <w:bookmarkStart w:id="76" w:name="family-gaussianlink-identity"/>
    <w:p>
      <w:pPr>
        <w:pStyle w:val="Heading1"/>
      </w:pPr>
      <w:r>
        <w:t xml:space="preserve">family = gaussian(link =</w:t>
      </w:r>
      <w:r>
        <w:t xml:space="preserve"> </w:t>
      </w:r>
      <w:r>
        <w:t xml:space="preserve">‘identity’</w:t>
      </w:r>
      <w:r>
        <w:t xml:space="preserve">),</w:t>
      </w:r>
    </w:p>
    <w:bookmarkEnd w:id="76"/>
    <w:bookmarkStart w:id="77" w:name="iter-1000"/>
    <w:p>
      <w:pPr>
        <w:pStyle w:val="Heading1"/>
      </w:pPr>
      <w:r>
        <w:t xml:space="preserve">iter = 1000,</w:t>
      </w:r>
    </w:p>
    <w:bookmarkEnd w:id="77"/>
    <w:bookmarkStart w:id="78" w:name="thin-1"/>
    <w:p>
      <w:pPr>
        <w:pStyle w:val="Heading1"/>
      </w:pPr>
      <w:r>
        <w:t xml:space="preserve">thin = 1,</w:t>
      </w:r>
    </w:p>
    <w:bookmarkEnd w:id="78"/>
    <w:bookmarkStart w:id="79" w:name="file_refit-never"/>
    <w:p>
      <w:pPr>
        <w:pStyle w:val="Heading1"/>
      </w:pPr>
      <w:r>
        <w:t xml:space="preserve">file_refit =</w:t>
      </w:r>
      <w:r>
        <w:t xml:space="preserve"> </w:t>
      </w:r>
      <w:r>
        <w:t xml:space="preserve">‘never’</w:t>
      </w:r>
      <w:r>
        <w:t xml:space="preserve">,</w:t>
      </w:r>
    </w:p>
    <w:bookmarkEnd w:id="79"/>
    <w:bookmarkStart w:id="80" w:name="file-heredatamodelsnm_bwt"/>
    <w:p>
      <w:pPr>
        <w:pStyle w:val="Heading1"/>
      </w:pPr>
      <w:r>
        <w:t xml:space="preserve">file = here(</w:t>
      </w:r>
      <w:r>
        <w:t xml:space="preserve">“data/models/NM_bwt”</w:t>
      </w:r>
      <w:r>
        <w:t xml:space="preserve">),</w:t>
      </w:r>
    </w:p>
    <w:bookmarkEnd w:id="80"/>
    <w:bookmarkStart w:id="81" w:name="sample_prior-yes"/>
    <w:p>
      <w:pPr>
        <w:pStyle w:val="Heading1"/>
      </w:pPr>
      <w:r>
        <w:t xml:space="preserve">sample_prior =</w:t>
      </w:r>
      <w:r>
        <w:t xml:space="preserve"> </w:t>
      </w:r>
      <w:r>
        <w:t xml:space="preserve">‘yes’</w:t>
      </w:r>
      <w:r>
        <w:t xml:space="preserve">,</w:t>
      </w:r>
    </w:p>
    <w:bookmarkEnd w:id="81"/>
    <w:bookmarkStart w:id="82" w:name="chains-4-cores-4"/>
    <w:p>
      <w:pPr>
        <w:pStyle w:val="Heading1"/>
      </w:pPr>
      <w:r>
        <w:t xml:space="preserve">chains = 4, cores = 4,</w:t>
      </w:r>
    </w:p>
    <w:bookmarkEnd w:id="82"/>
    <w:bookmarkStart w:id="83" w:name="seed-1312"/>
    <w:p>
      <w:pPr>
        <w:pStyle w:val="Heading1"/>
      </w:pPr>
      <w:r>
        <w:t xml:space="preserve">seed = 1312</w:t>
      </w:r>
    </w:p>
    <w:bookmarkEnd w:id="83"/>
    <w:bookmarkStart w:id="84" w:name="section"/>
    <w:p>
      <w:pPr>
        <w:pStyle w:val="Heading1"/>
      </w:pPr>
      <w:r>
        <w:t xml:space="preserve">))</w:t>
      </w:r>
    </w:p>
    <w:bookmarkEnd w:id="84"/>
    <w:bookmarkStart w:id="85" w:name="nm_bwt-readrdsheredatamodelsnm_bwt.rds"/>
    <w:p>
      <w:pPr>
        <w:pStyle w:val="Heading1"/>
      </w:pPr>
      <w:r>
        <w:t xml:space="preserve">NM_bwt = readRDS(here(</w:t>
      </w:r>
      <w:r>
        <w:t xml:space="preserve">“data/models/NM_bwt.rds”</w:t>
      </w:r>
      <w:r>
        <w:t xml:space="preserve">))</w:t>
      </w:r>
    </w:p>
    <w:bookmarkEnd w:id="85"/>
    <w:bookmarkStart w:id="86" w:name="nm_bwt_int-fixefnm_bwt1estimate"/>
    <w:p>
      <w:pPr>
        <w:pStyle w:val="Heading1"/>
      </w:pPr>
      <w:r>
        <w:t xml:space="preserve">NM_bwt_int =fixef(NM_bwt)[1,</w:t>
      </w:r>
      <w:r>
        <w:t xml:space="preserve">‘Estimate’</w:t>
      </w:r>
      <w:r>
        <w:t xml:space="preserve">]</w:t>
      </w:r>
    </w:p>
    <w:bookmarkEnd w:id="86"/>
    <w:bookmarkStart w:id="87" w:name="section-1"/>
    <w:p>
      <w:pPr>
        <w:pStyle w:val="Heading1"/>
      </w:pPr>
    </w:p>
    <w:bookmarkEnd w:id="87"/>
    <w:bookmarkStart w:id="88" w:name="nm_bwt_pred-dat"/>
    <w:p>
      <w:pPr>
        <w:pStyle w:val="Heading1"/>
      </w:pPr>
      <w:r>
        <w:t xml:space="preserve">NM_bwt_pred = dat %&gt;%</w:t>
      </w:r>
    </w:p>
    <w:bookmarkEnd w:id="88"/>
    <w:bookmarkStart w:id="89" w:name="data_gridlmbar_b_s-lmbar_b_s"/>
    <w:p>
      <w:pPr>
        <w:pStyle w:val="Heading1"/>
      </w:pPr>
      <w:r>
        <w:t xml:space="preserve">data_grid(lmbar_b_s = lmbar_b_s) %&gt;%</w:t>
      </w:r>
    </w:p>
    <w:bookmarkEnd w:id="89"/>
    <w:bookmarkStart w:id="90" w:name="mutatepred-nm_bwt_int-lmbar_b_s-1"/>
    <w:p>
      <w:pPr>
        <w:pStyle w:val="Heading1"/>
      </w:pPr>
      <w:r>
        <w:t xml:space="preserve">mutate(pred = NM_bwt_int + lmbar_b_s*-1) %&gt;%</w:t>
      </w:r>
    </w:p>
    <w:bookmarkEnd w:id="90"/>
    <w:bookmarkStart w:id="91" w:name="Xa8e262877889a6cc9e5187bcdf7fdbfa94798d3"/>
    <w:p>
      <w:pPr>
        <w:pStyle w:val="Heading1"/>
      </w:pPr>
      <w:r>
        <w:t xml:space="preserve">left_join(dat %&gt;% select( site_id, lmbar_b_s, ln_tot_s, lambda_med, log_gpp_s,log_om_s), by =</w:t>
      </w:r>
      <w:r>
        <w:t xml:space="preserve"> </w:t>
      </w:r>
      <w:r>
        <w:t xml:space="preserve">‘lmbar_b_s’</w:t>
      </w:r>
      <w:r>
        <w:t xml:space="preserve">) %&gt;%</w:t>
      </w:r>
    </w:p>
    <w:bookmarkEnd w:id="91"/>
    <w:bookmarkStart w:id="92" w:name="mutateresid_theory-ln_tot_s---pred"/>
    <w:p>
      <w:pPr>
        <w:pStyle w:val="Heading1"/>
      </w:pPr>
      <w:r>
        <w:t xml:space="preserve">mutate(resid_theory = ln_tot_s - pred)</w:t>
      </w:r>
    </w:p>
    <w:bookmarkEnd w:id="92"/>
    <w:sectPr w:rsidR="008935F9" w:rsidSect="00C446BA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pgSz w:code="1" w:h="15840" w:w="12240"/>
      <w:pgMar w:bottom="1440" w:footer="720" w:gutter="0" w:header="720" w:left="1440" w:right="1440" w:top="1440"/>
      <w:lnNumType w:countBy="1" w:restart="continuous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A02EB" w:rsidRDefault="00AA02E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A02EB" w:rsidRDefault="00AA02E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A02EB" w:rsidRDefault="00AA02EB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A02EB" w:rsidRDefault="00AA02E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048988140"/>
      <w:docPartObj>
        <w:docPartGallery w:val="Watermarks"/>
        <w:docPartUnique/>
      </w:docPartObj>
    </w:sdtPr>
    <w:sdtEndPr/>
    <w:sdtContent>
      <w:p w:rsidR="00AA02EB" w:rsidRDefault="00F31F8B">
        <w:pPr>
          <w:pStyle w:val="Header"/>
        </w:pPr>
        <w:r>
          <w:rPr>
            <w:noProof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A02EB" w:rsidRDefault="00AA02EB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p14">
  <w:abstractNum w15:restartNumberingAfterBreak="0" w:abstractNumId="0">
    <w:nsid w:val="EA454B4C"/>
    <w:multiLevelType w:val="multilevel"/>
    <w:tmpl w:val="5DF0468E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1">
    <w:nsid w:val="FFFFFF7C"/>
    <w:multiLevelType w:val="singleLevel"/>
    <w:tmpl w:val="E57C68FE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2">
    <w:nsid w:val="FFFFFF7D"/>
    <w:multiLevelType w:val="singleLevel"/>
    <w:tmpl w:val="767E548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3">
    <w:nsid w:val="FFFFFF7E"/>
    <w:multiLevelType w:val="singleLevel"/>
    <w:tmpl w:val="56161352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4">
    <w:nsid w:val="FFFFFF7F"/>
    <w:multiLevelType w:val="singleLevel"/>
    <w:tmpl w:val="C49E9D9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5">
    <w:nsid w:val="FFFFFF80"/>
    <w:multiLevelType w:val="singleLevel"/>
    <w:tmpl w:val="1ED4FDDA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6">
    <w:nsid w:val="FFFFFF81"/>
    <w:multiLevelType w:val="singleLevel"/>
    <w:tmpl w:val="61F68962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7">
    <w:nsid w:val="FFFFFF82"/>
    <w:multiLevelType w:val="singleLevel"/>
    <w:tmpl w:val="CF4C2A04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8">
    <w:nsid w:val="FFFFFF83"/>
    <w:multiLevelType w:val="singleLevel"/>
    <w:tmpl w:val="0A26922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9">
    <w:nsid w:val="FFFFFF88"/>
    <w:multiLevelType w:val="singleLevel"/>
    <w:tmpl w:val="48A6695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10">
    <w:nsid w:val="FFFFFF89"/>
    <w:multiLevelType w:val="singleLevel"/>
    <w:tmpl w:val="18F2851C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1">
    <w:nsid w:val="2C1AE401"/>
    <w:multiLevelType w:val="multilevel"/>
    <w:tmpl w:val="BB1C9B1E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11"/>
  </w:num>
  <w:num w:numId="2">
    <w:abstractNumId w:val="0"/>
  </w:num>
  <w:num w:numId="3">
    <w:abstractNumId w:val="0"/>
  </w:num>
  <w:num w:numId="4">
    <w:abstractNumId w:val="0"/>
  </w:num>
  <w:num w:numId="5">
    <w:abstractNumId w:val="10"/>
  </w:num>
  <w:num w:numId="6">
    <w:abstractNumId w:val="8"/>
  </w:num>
  <w:num w:numId="7">
    <w:abstractNumId w:val="7"/>
  </w:num>
  <w:num w:numId="8">
    <w:abstractNumId w:val="6"/>
  </w:num>
  <w:num w:numId="9">
    <w:abstractNumId w:val="5"/>
  </w:num>
  <w:num w:numId="10">
    <w:abstractNumId w:val="9"/>
  </w:num>
  <w:num w:numId="11">
    <w:abstractNumId w:val="4"/>
  </w:num>
  <w:num w:numId="12">
    <w:abstractNumId w:val="3"/>
  </w:num>
  <w:num w:numId="13">
    <w:abstractNumId w:val="2"/>
  </w:num>
  <w:num w:numId="14">
    <w:abstractNumId w:val="1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  <o:shapelayout v:ext="edit">
      <o:idmap data="2" v:ext="edit"/>
    </o:shapelayout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121A2E"/>
    <w:rsid w:val="001358D3"/>
    <w:rsid w:val="004E29B3"/>
    <w:rsid w:val="00590D07"/>
    <w:rsid w:val="00784D58"/>
    <w:rsid w:val="008935F9"/>
    <w:rsid w:val="008D6863"/>
    <w:rsid w:val="00980234"/>
    <w:rsid w:val="00A601B3"/>
    <w:rsid w:val="00AA02EB"/>
    <w:rsid w:val="00B86B75"/>
    <w:rsid w:val="00BC48D5"/>
    <w:rsid w:val="00C36279"/>
    <w:rsid w:val="00C446BA"/>
    <w:rsid w:val="00E315A3"/>
    <w:rsid w:val="00F31F8B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5" w:defLockedState="0" w:defQFormat="0" w:defSemiHidden="0" w:defUIPriority="0" w:defUnhideWhenUsed="0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uiPriority w:val="9"/>
    <w:qFormat/>
    <w:rsid w:val="00C446BA"/>
    <w:pPr>
      <w:keepNext/>
      <w:keepLines/>
      <w:spacing w:after="240" w:before="120"/>
      <w:outlineLvl w:val="0"/>
    </w:pPr>
    <w:rPr>
      <w:rFonts w:ascii="Times New Roman" w:cs="Times New Roman" w:eastAsiaTheme="majorEastAsia" w:hAnsi="Times New Roman"/>
      <w:b/>
      <w:bCs/>
      <w:sz w:val="28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C446BA"/>
    <w:pPr>
      <w:keepNext/>
      <w:keepLines/>
      <w:spacing w:after="240" w:before="120"/>
      <w:outlineLvl w:val="1"/>
    </w:pPr>
    <w:rPr>
      <w:rFonts w:ascii="Times New Roman" w:cs="Times New Roman" w:eastAsiaTheme="majorEastAsia" w:hAnsi="Times New Roman"/>
      <w:bCs/>
      <w:u w:val="single"/>
    </w:rPr>
  </w:style>
  <w:style w:styleId="Heading3" w:type="paragraph">
    <w:name w:val="heading 3"/>
    <w:basedOn w:val="Normal"/>
    <w:next w:val="BodyText"/>
    <w:uiPriority w:val="9"/>
    <w:unhideWhenUsed/>
    <w:qFormat/>
    <w:rsid w:val="00C446BA"/>
    <w:pPr>
      <w:keepNext/>
      <w:keepLines/>
      <w:spacing w:after="240" w:before="120"/>
      <w:outlineLvl w:val="2"/>
    </w:pPr>
    <w:rPr>
      <w:rFonts w:ascii="Times New Roman" w:cs="Times New Roman" w:eastAsiaTheme="majorEastAsia" w:hAnsi="Times New Roman"/>
      <w:bCs/>
      <w:i/>
      <w:color w:themeColor="text1" w:val="000000"/>
    </w:rPr>
  </w:style>
  <w:style w:styleId="Heading4" w:type="paragraph">
    <w:name w:val="heading 4"/>
    <w:basedOn w:val="Normal"/>
    <w:next w:val="BodyText"/>
    <w:uiPriority w:val="9"/>
    <w:unhideWhenUsed/>
    <w:qFormat/>
    <w:rsid w:val="00121A2E"/>
    <w:pPr>
      <w:keepNext/>
      <w:keepLines/>
      <w:spacing w:after="0" w:before="200"/>
      <w:outlineLvl w:val="3"/>
    </w:pPr>
    <w:rPr>
      <w:rFonts w:ascii="Times New Roman" w:cs="Times New Roman" w:eastAsiaTheme="majorEastAsia" w:hAnsi="Times New Roman"/>
      <w:bCs/>
      <w:i/>
      <w:color w:themeColor="text1" w:val="000000"/>
      <w:u w:val="single"/>
    </w:rPr>
  </w:style>
  <w:style w:styleId="Heading5" w:type="paragraph">
    <w:name w:val="heading 5"/>
    <w:basedOn w:val="Normal"/>
    <w:next w:val="BodyText"/>
    <w:uiPriority w:val="9"/>
    <w:unhideWhenUsed/>
    <w:qFormat/>
    <w:rsid w:val="00121A2E"/>
    <w:pPr>
      <w:keepNext/>
      <w:keepLines/>
      <w:spacing w:after="0" w:before="200"/>
      <w:outlineLvl w:val="4"/>
    </w:pPr>
    <w:rPr>
      <w:rFonts w:ascii="Times New Roman" w:cs="Times New Roman" w:eastAsiaTheme="majorEastAsia" w:hAnsi="Times New Roman"/>
      <w:iCs/>
      <w:color w:themeColor="text1" w:val="000000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C446BA"/>
    <w:pPr>
      <w:spacing w:after="180" w:before="180" w:line="480" w:lineRule="auto"/>
      <w:ind w:firstLine="360"/>
    </w:pPr>
    <w:rPr>
      <w:rFonts w:ascii="Times New Roman" w:cs="Times New Roman" w:hAnsi="Times New Roman"/>
    </w:rPr>
  </w:style>
  <w:style w:customStyle="1" w:styleId="FirstParagraph" w:type="paragraph">
    <w:name w:val="First Paragraph"/>
    <w:basedOn w:val="BodyText"/>
    <w:next w:val="BodyText"/>
    <w:qFormat/>
    <w:rsid w:val="00C446BA"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121A2E"/>
    <w:pPr>
      <w:keepNext/>
      <w:keepLines/>
      <w:spacing w:after="240" w:before="480"/>
      <w:jc w:val="center"/>
    </w:pPr>
    <w:rPr>
      <w:rFonts w:ascii="Times New Roman" w:cs="Times New Roman" w:eastAsiaTheme="majorEastAsia" w:hAnsi="Times New Roman"/>
      <w:b/>
      <w:bCs/>
      <w:i/>
      <w:sz w:val="36"/>
      <w:szCs w:val="36"/>
    </w:rPr>
  </w:style>
  <w:style w:styleId="Subtitle" w:type="paragraph">
    <w:name w:val="Subtitle"/>
    <w:basedOn w:val="Title"/>
    <w:next w:val="BodyText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80234"/>
    <w:pPr>
      <w:keepNext/>
      <w:keepLines/>
    </w:pPr>
    <w:rPr>
      <w:rFonts w:ascii="Times New Roman" w:hAnsi="Times New Roman"/>
    </w:rPr>
  </w:style>
  <w:style w:styleId="Date" w:type="paragraph">
    <w:name w:val="Date"/>
    <w:next w:val="BodyText"/>
    <w:qFormat/>
    <w:rsid w:val="00980234"/>
    <w:pPr>
      <w:keepNext/>
      <w:keepLines/>
      <w:jc w:val="center"/>
    </w:pPr>
    <w:rPr>
      <w:rFonts w:ascii="Times New Roman" w:hAnsi="Times New Roma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link w:val="SourceCode"/>
    <w:rsid w:val="00121A2E"/>
    <w:rPr>
      <w:rFonts w:asciiTheme="majorHAnsi" w:cs="Times New Roman" w:hAnsiTheme="majorHAnsi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sid w:val="00121A2E"/>
    <w:rPr>
      <w:color w:themeColor="text1" w:val="000000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BodyText"/>
    <w:link w:val="VerbatimChar"/>
    <w:rsid w:val="00121A2E"/>
    <w:rPr>
      <w:rFonts w:asciiTheme="majorHAnsi" w:hAnsiTheme="majorHAnsi"/>
    </w:rPr>
  </w:style>
  <w:style w:customStyle="1" w:styleId="KeywordTok" w:type="character">
    <w:name w:val="KeywordTok"/>
    <w:basedOn w:val="VerbatimChar"/>
    <w:rPr>
      <w:rFonts w:asciiTheme="majorHAnsi" w:cs="Times New Roman" w:hAnsiTheme="majorHAnsi"/>
      <w:b/>
      <w:color w:val="204A87"/>
      <w:shd w:color="auto" w:fill="F8F8F8" w:val="clear"/>
    </w:rPr>
  </w:style>
  <w:style w:customStyle="1" w:styleId="DataTypeTok" w:type="character">
    <w:name w:val="DataTypeTok"/>
    <w:basedOn w:val="VerbatimChar"/>
    <w:rPr>
      <w:rFonts w:asciiTheme="majorHAnsi" w:cs="Times New Roman" w:hAnsiTheme="majorHAnsi"/>
      <w:color w:val="204A87"/>
      <w:shd w:color="auto" w:fill="F8F8F8" w:val="clear"/>
    </w:rPr>
  </w:style>
  <w:style w:customStyle="1" w:styleId="DecValTok" w:type="character">
    <w:name w:val="DecValTok"/>
    <w:basedOn w:val="VerbatimChar"/>
    <w:rPr>
      <w:rFonts w:asciiTheme="majorHAnsi" w:cs="Times New Roman" w:hAnsiTheme="majorHAnsi"/>
      <w:color w:val="0000CF"/>
      <w:shd w:color="auto" w:fill="F8F8F8" w:val="clear"/>
    </w:rPr>
  </w:style>
  <w:style w:customStyle="1" w:styleId="BaseNTok" w:type="character">
    <w:name w:val="BaseNTok"/>
    <w:basedOn w:val="VerbatimChar"/>
    <w:rPr>
      <w:rFonts w:asciiTheme="majorHAnsi" w:cs="Times New Roman" w:hAnsiTheme="majorHAnsi"/>
      <w:color w:val="0000CF"/>
      <w:shd w:color="auto" w:fill="F8F8F8" w:val="clear"/>
    </w:rPr>
  </w:style>
  <w:style w:customStyle="1" w:styleId="FloatTok" w:type="character">
    <w:name w:val="FloatTok"/>
    <w:basedOn w:val="VerbatimChar"/>
    <w:rPr>
      <w:rFonts w:asciiTheme="majorHAnsi" w:cs="Times New Roman" w:hAnsiTheme="majorHAnsi"/>
      <w:color w:val="0000CF"/>
      <w:shd w:color="auto" w:fill="F8F8F8" w:val="clear"/>
    </w:rPr>
  </w:style>
  <w:style w:customStyle="1" w:styleId="ConstantTok" w:type="character">
    <w:name w:val="ConstantTok"/>
    <w:basedOn w:val="VerbatimChar"/>
    <w:rPr>
      <w:rFonts w:asciiTheme="majorHAnsi" w:cs="Times New Roman" w:hAnsiTheme="majorHAnsi"/>
      <w:color w:val="000000"/>
      <w:shd w:color="auto" w:fill="F8F8F8" w:val="clear"/>
    </w:rPr>
  </w:style>
  <w:style w:customStyle="1" w:styleId="CharTok" w:type="character">
    <w:name w:val="CharTok"/>
    <w:basedOn w:val="VerbatimChar"/>
    <w:rPr>
      <w:rFonts w:asciiTheme="majorHAnsi" w:cs="Times New Roman" w:hAnsiTheme="majorHAnsi"/>
      <w:color w:val="4E9A06"/>
      <w:shd w:color="auto" w:fill="F8F8F8" w:val="clear"/>
    </w:rPr>
  </w:style>
  <w:style w:customStyle="1" w:styleId="SpecialCharTok" w:type="character">
    <w:name w:val="SpecialCharTok"/>
    <w:basedOn w:val="VerbatimChar"/>
    <w:rPr>
      <w:rFonts w:asciiTheme="majorHAnsi" w:cs="Times New Roman" w:hAnsiTheme="majorHAnsi"/>
      <w:color w:val="000000"/>
      <w:shd w:color="auto" w:fill="F8F8F8" w:val="clear"/>
    </w:rPr>
  </w:style>
  <w:style w:customStyle="1" w:styleId="StringTok" w:type="character">
    <w:name w:val="StringTok"/>
    <w:basedOn w:val="VerbatimChar"/>
    <w:rPr>
      <w:rFonts w:asciiTheme="majorHAnsi" w:cs="Times New Roman" w:hAnsiTheme="majorHAnsi"/>
      <w:color w:val="4E9A06"/>
      <w:shd w:color="auto" w:fill="F8F8F8" w:val="clear"/>
    </w:rPr>
  </w:style>
  <w:style w:customStyle="1" w:styleId="VerbatimStringTok" w:type="character">
    <w:name w:val="VerbatimStringTok"/>
    <w:basedOn w:val="VerbatimChar"/>
    <w:rPr>
      <w:rFonts w:asciiTheme="majorHAnsi" w:cs="Times New Roman" w:hAnsiTheme="majorHAnsi"/>
      <w:color w:val="4E9A06"/>
      <w:shd w:color="auto" w:fill="F8F8F8" w:val="clear"/>
    </w:rPr>
  </w:style>
  <w:style w:customStyle="1" w:styleId="SpecialStringTok" w:type="character">
    <w:name w:val="SpecialStringTok"/>
    <w:basedOn w:val="VerbatimChar"/>
    <w:rPr>
      <w:rFonts w:asciiTheme="majorHAnsi" w:cs="Times New Roman" w:hAnsiTheme="majorHAnsi"/>
      <w:color w:val="4E9A06"/>
      <w:shd w:color="auto" w:fill="F8F8F8" w:val="clear"/>
    </w:rPr>
  </w:style>
  <w:style w:customStyle="1" w:styleId="ImportTok" w:type="character">
    <w:name w:val="ImportTok"/>
    <w:basedOn w:val="VerbatimChar"/>
    <w:rPr>
      <w:rFonts w:asciiTheme="majorHAnsi" w:cs="Times New Roman" w:hAnsiTheme="majorHAnsi"/>
      <w:shd w:color="auto" w:fill="F8F8F8" w:val="clear"/>
    </w:rPr>
  </w:style>
  <w:style w:customStyle="1" w:styleId="CommentTok" w:type="character">
    <w:name w:val="CommentTok"/>
    <w:basedOn w:val="VerbatimChar"/>
    <w:rPr>
      <w:rFonts w:asciiTheme="majorHAnsi" w:cs="Times New Roman" w:hAnsiTheme="majorHAnsi"/>
      <w:i/>
      <w:color w:val="8F5902"/>
      <w:shd w:color="auto" w:fill="F8F8F8" w:val="clear"/>
    </w:rPr>
  </w:style>
  <w:style w:customStyle="1" w:styleId="DocumentationTok" w:type="character">
    <w:name w:val="DocumentationTok"/>
    <w:basedOn w:val="VerbatimChar"/>
    <w:rPr>
      <w:rFonts w:asciiTheme="majorHAnsi" w:cs="Times New Roman" w:hAnsiTheme="majorHAnsi"/>
      <w:b/>
      <w:i/>
      <w:color w:val="8F5902"/>
      <w:shd w:color="auto" w:fill="F8F8F8" w:val="clear"/>
    </w:rPr>
  </w:style>
  <w:style w:customStyle="1" w:styleId="AnnotationTok" w:type="character">
    <w:name w:val="AnnotationTok"/>
    <w:basedOn w:val="VerbatimChar"/>
    <w:rPr>
      <w:rFonts w:asciiTheme="majorHAnsi" w:cs="Times New Roman" w:hAnsiTheme="majorHAnsi"/>
      <w:b/>
      <w:i/>
      <w:color w:val="8F5902"/>
      <w:shd w:color="auto" w:fill="F8F8F8" w:val="clear"/>
    </w:rPr>
  </w:style>
  <w:style w:customStyle="1" w:styleId="CommentVarTok" w:type="character">
    <w:name w:val="CommentVarTok"/>
    <w:basedOn w:val="VerbatimChar"/>
    <w:rPr>
      <w:rFonts w:asciiTheme="majorHAnsi" w:cs="Times New Roman" w:hAnsiTheme="majorHAnsi"/>
      <w:b/>
      <w:i/>
      <w:color w:val="8F5902"/>
      <w:shd w:color="auto" w:fill="F8F8F8" w:val="clear"/>
    </w:rPr>
  </w:style>
  <w:style w:customStyle="1" w:styleId="OtherTok" w:type="character">
    <w:name w:val="OtherTok"/>
    <w:basedOn w:val="VerbatimChar"/>
    <w:rPr>
      <w:rFonts w:asciiTheme="majorHAnsi" w:cs="Times New Roman" w:hAnsiTheme="majorHAnsi"/>
      <w:color w:val="8F5902"/>
      <w:shd w:color="auto" w:fill="F8F8F8" w:val="clear"/>
    </w:rPr>
  </w:style>
  <w:style w:customStyle="1" w:styleId="FunctionTok" w:type="character">
    <w:name w:val="FunctionTok"/>
    <w:basedOn w:val="VerbatimChar"/>
    <w:rPr>
      <w:rFonts w:asciiTheme="majorHAnsi" w:cs="Times New Roman" w:hAnsiTheme="majorHAnsi"/>
      <w:color w:val="000000"/>
      <w:shd w:color="auto" w:fill="F8F8F8" w:val="clear"/>
    </w:rPr>
  </w:style>
  <w:style w:customStyle="1" w:styleId="VariableTok" w:type="character">
    <w:name w:val="VariableTok"/>
    <w:basedOn w:val="VerbatimChar"/>
    <w:rPr>
      <w:rFonts w:asciiTheme="majorHAnsi" w:cs="Times New Roman" w:hAnsiTheme="majorHAnsi"/>
      <w:color w:val="000000"/>
      <w:shd w:color="auto" w:fill="F8F8F8" w:val="clear"/>
    </w:rPr>
  </w:style>
  <w:style w:customStyle="1" w:styleId="ControlFlowTok" w:type="character">
    <w:name w:val="ControlFlowTok"/>
    <w:basedOn w:val="VerbatimChar"/>
    <w:rPr>
      <w:rFonts w:asciiTheme="majorHAnsi" w:cs="Times New Roman" w:hAnsiTheme="majorHAnsi"/>
      <w:b/>
      <w:color w:val="204A87"/>
      <w:shd w:color="auto" w:fill="F8F8F8" w:val="clear"/>
    </w:rPr>
  </w:style>
  <w:style w:customStyle="1" w:styleId="OperatorTok" w:type="character">
    <w:name w:val="OperatorTok"/>
    <w:basedOn w:val="VerbatimChar"/>
    <w:rPr>
      <w:rFonts w:asciiTheme="majorHAnsi" w:cs="Times New Roman" w:hAnsiTheme="majorHAnsi"/>
      <w:b/>
      <w:color w:val="CE5C00"/>
      <w:shd w:color="auto" w:fill="F8F8F8" w:val="clear"/>
    </w:rPr>
  </w:style>
  <w:style w:customStyle="1" w:styleId="BuiltInTok" w:type="character">
    <w:name w:val="BuiltInTok"/>
    <w:basedOn w:val="VerbatimChar"/>
    <w:rPr>
      <w:rFonts w:asciiTheme="majorHAnsi" w:cs="Times New Roman" w:hAnsiTheme="majorHAnsi"/>
      <w:shd w:color="auto" w:fill="F8F8F8" w:val="clear"/>
    </w:rPr>
  </w:style>
  <w:style w:customStyle="1" w:styleId="ExtensionTok" w:type="character">
    <w:name w:val="ExtensionTok"/>
    <w:basedOn w:val="VerbatimChar"/>
    <w:rPr>
      <w:rFonts w:asciiTheme="majorHAnsi" w:cs="Times New Roman" w:hAnsiTheme="majorHAnsi"/>
      <w:shd w:color="auto" w:fill="F8F8F8" w:val="clear"/>
    </w:rPr>
  </w:style>
  <w:style w:customStyle="1" w:styleId="PreprocessorTok" w:type="character">
    <w:name w:val="PreprocessorTok"/>
    <w:basedOn w:val="VerbatimChar"/>
    <w:rPr>
      <w:rFonts w:asciiTheme="majorHAnsi" w:cs="Times New Roman" w:hAnsiTheme="majorHAnsi"/>
      <w:i/>
      <w:color w:val="8F5902"/>
      <w:shd w:color="auto" w:fill="F8F8F8" w:val="clear"/>
    </w:rPr>
  </w:style>
  <w:style w:customStyle="1" w:styleId="AttributeTok" w:type="character">
    <w:name w:val="AttributeTok"/>
    <w:basedOn w:val="VerbatimChar"/>
    <w:rPr>
      <w:rFonts w:asciiTheme="majorHAnsi" w:cs="Times New Roman" w:hAnsiTheme="majorHAnsi"/>
      <w:color w:val="C4A000"/>
      <w:shd w:color="auto" w:fill="F8F8F8" w:val="clear"/>
    </w:rPr>
  </w:style>
  <w:style w:customStyle="1" w:styleId="RegionMarkerTok" w:type="character">
    <w:name w:val="RegionMarkerTok"/>
    <w:basedOn w:val="VerbatimChar"/>
    <w:rPr>
      <w:rFonts w:asciiTheme="majorHAnsi" w:cs="Times New Roman" w:hAnsiTheme="majorHAnsi"/>
      <w:shd w:color="auto" w:fill="F8F8F8" w:val="clear"/>
    </w:rPr>
  </w:style>
  <w:style w:customStyle="1" w:styleId="InformationTok" w:type="character">
    <w:name w:val="InformationTok"/>
    <w:basedOn w:val="VerbatimChar"/>
    <w:rPr>
      <w:rFonts w:asciiTheme="majorHAnsi" w:cs="Times New Roman" w:hAnsiTheme="majorHAnsi"/>
      <w:b/>
      <w:i/>
      <w:color w:val="8F5902"/>
      <w:shd w:color="auto" w:fill="F8F8F8" w:val="clear"/>
    </w:rPr>
  </w:style>
  <w:style w:customStyle="1" w:styleId="WarningTok" w:type="character">
    <w:name w:val="WarningTok"/>
    <w:basedOn w:val="VerbatimChar"/>
    <w:rPr>
      <w:rFonts w:asciiTheme="majorHAnsi" w:cs="Times New Roman" w:hAnsiTheme="majorHAnsi"/>
      <w:b/>
      <w:i/>
      <w:color w:val="8F5902"/>
      <w:shd w:color="auto" w:fill="F8F8F8" w:val="clear"/>
    </w:rPr>
  </w:style>
  <w:style w:customStyle="1" w:styleId="AlertTok" w:type="character">
    <w:name w:val="AlertTok"/>
    <w:basedOn w:val="VerbatimChar"/>
    <w:rPr>
      <w:rFonts w:asciiTheme="majorHAnsi" w:cs="Times New Roman" w:hAnsiTheme="majorHAnsi"/>
      <w:color w:val="EF2929"/>
      <w:shd w:color="auto" w:fill="F8F8F8" w:val="clear"/>
    </w:rPr>
  </w:style>
  <w:style w:customStyle="1" w:styleId="ErrorTok" w:type="character">
    <w:name w:val="ErrorTok"/>
    <w:basedOn w:val="VerbatimChar"/>
    <w:rPr>
      <w:rFonts w:asciiTheme="majorHAnsi" w:cs="Times New Roman" w:hAnsiTheme="majorHAnsi"/>
      <w:b/>
      <w:color w:val="A40000"/>
      <w:shd w:color="auto" w:fill="F8F8F8" w:val="clear"/>
    </w:rPr>
  </w:style>
  <w:style w:customStyle="1" w:styleId="NormalTok" w:type="character">
    <w:name w:val="NormalTok"/>
    <w:basedOn w:val="VerbatimChar"/>
    <w:rPr>
      <w:rFonts w:asciiTheme="majorHAnsi" w:cs="Times New Roman" w:hAnsiTheme="majorHAnsi"/>
      <w:shd w:color="auto" w:fill="F8F8F8" w:val="clear"/>
    </w:rPr>
  </w:style>
  <w:style w:styleId="Header" w:type="paragraph">
    <w:name w:val="header"/>
    <w:basedOn w:val="Normal"/>
    <w:link w:val="HeaderChar"/>
    <w:unhideWhenUsed/>
    <w:rsid w:val="00AA02EB"/>
    <w:pPr>
      <w:tabs>
        <w:tab w:pos="4680" w:val="center"/>
        <w:tab w:pos="9360" w:val="right"/>
      </w:tabs>
      <w:spacing w:after="0"/>
    </w:pPr>
  </w:style>
  <w:style w:customStyle="1" w:styleId="BodyTextChar" w:type="character">
    <w:name w:val="Body Text Char"/>
    <w:basedOn w:val="DefaultParagraphFont"/>
    <w:link w:val="BodyText"/>
    <w:rsid w:val="00C446BA"/>
    <w:rPr>
      <w:rFonts w:ascii="Times New Roman" w:cs="Times New Roman" w:hAnsi="Times New Roman"/>
    </w:rPr>
  </w:style>
  <w:style w:customStyle="1" w:styleId="HeaderChar" w:type="character">
    <w:name w:val="Header Char"/>
    <w:basedOn w:val="DefaultParagraphFont"/>
    <w:link w:val="Header"/>
    <w:rsid w:val="00AA02EB"/>
  </w:style>
  <w:style w:styleId="Footer" w:type="paragraph">
    <w:name w:val="footer"/>
    <w:basedOn w:val="Normal"/>
    <w:link w:val="FooterChar"/>
    <w:unhideWhenUsed/>
    <w:rsid w:val="00AA02EB"/>
    <w:pPr>
      <w:tabs>
        <w:tab w:pos="4680" w:val="center"/>
        <w:tab w:pos="9360" w:val="right"/>
      </w:tabs>
      <w:spacing w:after="0"/>
    </w:pPr>
  </w:style>
  <w:style w:customStyle="1" w:styleId="FooterChar" w:type="character">
    <w:name w:val="Footer Char"/>
    <w:basedOn w:val="DefaultParagraphFont"/>
    <w:link w:val="Footer"/>
    <w:rsid w:val="00AA02EB"/>
  </w:style>
  <w:style w:styleId="LineNumber" w:type="character">
    <w:name w:val="line number"/>
    <w:basedOn w:val="DefaultParagraphFont"/>
    <w:semiHidden/>
    <w:unhideWhenUsed/>
    <w:rsid w:val="00C446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image" Id="rId60" Target="media/rId60.png" /><Relationship Type="http://schemas.openxmlformats.org/officeDocument/2006/relationships/image" Id="rId43" Target="media/rId43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22" Target="media/rId22.png" /><Relationship Type="http://schemas.openxmlformats.org/officeDocument/2006/relationships/image" Id="rId31" Target="media/rId31.png" /><Relationship Type="http://schemas.openxmlformats.org/officeDocument/2006/relationships/hyperlink" Id="rId20" Target="mailto:james.junker@unt.ed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mailto:james.junker@unt.ed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193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Your basic word tempate</vt:lpstr>
    </vt:vector>
  </TitlesOfParts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James R. Junker1,2,✉, Jeff S. Wesner3, Justin Pomeranz4, and Vojsava Gjoni5</dc:creator>
  <cp:keywords/>
  <dcterms:created xsi:type="dcterms:W3CDTF">2026-02-27T22:38:14Z</dcterms:created>
  <dcterms:modified xsi:type="dcterms:W3CDTF">2026-02-27T22:38:14Z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ibliography">
    <vt:lpwstr>supp_refs.bib</vt:lpwstr>
  </property>
  <property fmtid="{D5CDD505-2E9C-101B-9397-08002B2CF9AE}" pid="5" name="ccsDelim">
    <vt:lpwstr>, </vt:lpwstr>
  </property>
  <property fmtid="{D5CDD505-2E9C-101B-9397-08002B2CF9AE}" pid="6" name="ccsLabelSep">
    <vt:lpwstr> — </vt:lpwstr>
  </property>
  <property fmtid="{D5CDD505-2E9C-101B-9397-08002B2CF9AE}" pid="7" name="ccsTemplate">
    <vt:lpwstr>iccsLabelSept</vt:lpwstr>
  </property>
  <property fmtid="{D5CDD505-2E9C-101B-9397-08002B2CF9AE}" pid="8" name="chapDelim">
    <vt:lpwstr>.</vt:lpwstr>
  </property>
  <property fmtid="{D5CDD505-2E9C-101B-9397-08002B2CF9AE}" pid="9" name="chapters">
    <vt:lpwstr>False</vt:lpwstr>
  </property>
  <property fmtid="{D5CDD505-2E9C-101B-9397-08002B2CF9AE}" pid="10" name="chaptersDepth">
    <vt:lpwstr>1</vt:lpwstr>
  </property>
  <property fmtid="{D5CDD505-2E9C-101B-9397-08002B2CF9AE}" pid="11" name="codeBlockCaptions">
    <vt:lpwstr>False</vt:lpwstr>
  </property>
  <property fmtid="{D5CDD505-2E9C-101B-9397-08002B2CF9AE}" pid="12" name="cref">
    <vt:lpwstr>False</vt:lpwstr>
  </property>
  <property fmtid="{D5CDD505-2E9C-101B-9397-08002B2CF9AE}" pid="13" name="crossrefYaml">
    <vt:lpwstr>pandoc-crossref.yaml</vt:lpwstr>
  </property>
  <property fmtid="{D5CDD505-2E9C-101B-9397-08002B2CF9AE}" pid="14" name="csl">
    <vt:lpwstr>ecology.csl</vt:lpwstr>
  </property>
  <property fmtid="{D5CDD505-2E9C-101B-9397-08002B2CF9AE}" pid="15" name="date">
    <vt:lpwstr>2026-02-27</vt:lpwstr>
  </property>
  <property fmtid="{D5CDD505-2E9C-101B-9397-08002B2CF9AE}" pid="16" name="eqLabels">
    <vt:lpwstr>arabic</vt:lpwstr>
  </property>
  <property fmtid="{D5CDD505-2E9C-101B-9397-08002B2CF9AE}" pid="17" name="eqnBlockInlineMath">
    <vt:lpwstr>False</vt:lpwstr>
  </property>
  <property fmtid="{D5CDD505-2E9C-101B-9397-08002B2CF9AE}" pid="18" name="eqnBlockTemplate">
    <vt:lpwstr>ti</vt:lpwstr>
  </property>
  <property fmtid="{D5CDD505-2E9C-101B-9397-08002B2CF9AE}" pid="19" name="eqnDisplayTemplate">
    <vt:lpwstr>e</vt:lpwstr>
  </property>
  <property fmtid="{D5CDD505-2E9C-101B-9397-08002B2CF9AE}" pid="20" name="eqnIndexTemplate">
    <vt:lpwstr>(i)</vt:lpwstr>
  </property>
  <property fmtid="{D5CDD505-2E9C-101B-9397-08002B2CF9AE}" pid="21" name="eqnInlineTableTemplate">
    <vt:lpwstr>e</vt:lpwstr>
  </property>
  <property fmtid="{D5CDD505-2E9C-101B-9397-08002B2CF9AE}" pid="22" name="eqnInlineTemplate">
    <vt:lpwstr>eequationNumberTeX{i}</vt:lpwstr>
  </property>
  <property fmtid="{D5CDD505-2E9C-101B-9397-08002B2CF9AE}" pid="23" name="eqnPrefix">
    <vt:lpwstr/>
  </property>
  <property fmtid="{D5CDD505-2E9C-101B-9397-08002B2CF9AE}" pid="24" name="eqnPrefixTemplate">
    <vt:lpwstr>p i</vt:lpwstr>
  </property>
  <property fmtid="{D5CDD505-2E9C-101B-9397-08002B2CF9AE}" pid="25" name="equationNumberTeX">
    <vt:lpwstr>\qquad</vt:lpwstr>
  </property>
  <property fmtid="{D5CDD505-2E9C-101B-9397-08002B2CF9AE}" pid="26" name="figLabels">
    <vt:lpwstr>arabic</vt:lpwstr>
  </property>
  <property fmtid="{D5CDD505-2E9C-101B-9397-08002B2CF9AE}" pid="27" name="figPrefix">
    <vt:lpwstr/>
  </property>
  <property fmtid="{D5CDD505-2E9C-101B-9397-08002B2CF9AE}" pid="28" name="figPrefixTemplate">
    <vt:lpwstr>p i</vt:lpwstr>
  </property>
  <property fmtid="{D5CDD505-2E9C-101B-9397-08002B2CF9AE}" pid="29" name="figureTemplate">
    <vt:lpwstr>figureTitle ititleDelim t</vt:lpwstr>
  </property>
  <property fmtid="{D5CDD505-2E9C-101B-9397-08002B2CF9AE}" pid="30" name="figureTitle">
    <vt:lpwstr>Figure</vt:lpwstr>
  </property>
  <property fmtid="{D5CDD505-2E9C-101B-9397-08002B2CF9AE}" pid="31" name="header-includes">
    <vt:lpwstr/>
  </property>
  <property fmtid="{D5CDD505-2E9C-101B-9397-08002B2CF9AE}" pid="32" name="indent">
    <vt:lpwstr>True</vt:lpwstr>
  </property>
  <property fmtid="{D5CDD505-2E9C-101B-9397-08002B2CF9AE}" pid="33" name="lastDelim">
    <vt:lpwstr>, </vt:lpwstr>
  </property>
  <property fmtid="{D5CDD505-2E9C-101B-9397-08002B2CF9AE}" pid="34" name="linestretch">
    <vt:lpwstr>1</vt:lpwstr>
  </property>
  <property fmtid="{D5CDD505-2E9C-101B-9397-08002B2CF9AE}" pid="35" name="link-citations">
    <vt:lpwstr>False</vt:lpwstr>
  </property>
  <property fmtid="{D5CDD505-2E9C-101B-9397-08002B2CF9AE}" pid="36" name="link-color">
    <vt:lpwstr>grey</vt:lpwstr>
  </property>
  <property fmtid="{D5CDD505-2E9C-101B-9397-08002B2CF9AE}" pid="37" name="linkReferences">
    <vt:lpwstr>False</vt:lpwstr>
  </property>
  <property fmtid="{D5CDD505-2E9C-101B-9397-08002B2CF9AE}" pid="38" name="listItemTitleDelim">
    <vt:lpwstr>.</vt:lpwstr>
  </property>
  <property fmtid="{D5CDD505-2E9C-101B-9397-08002B2CF9AE}" pid="39" name="listingTemplate">
    <vt:lpwstr>listingTitle ititleDelim t</vt:lpwstr>
  </property>
  <property fmtid="{D5CDD505-2E9C-101B-9397-08002B2CF9AE}" pid="40" name="listingTitle">
    <vt:lpwstr>Listing</vt:lpwstr>
  </property>
  <property fmtid="{D5CDD505-2E9C-101B-9397-08002B2CF9AE}" pid="41" name="listings">
    <vt:lpwstr>False</vt:lpwstr>
  </property>
  <property fmtid="{D5CDD505-2E9C-101B-9397-08002B2CF9AE}" pid="42" name="lofItemTemplate">
    <vt:lpwstr>lofItemTitleilistItemTitleDelimt </vt:lpwstr>
  </property>
  <property fmtid="{D5CDD505-2E9C-101B-9397-08002B2CF9AE}" pid="43" name="lofItemTitle">
    <vt:lpwstr/>
  </property>
  <property fmtid="{D5CDD505-2E9C-101B-9397-08002B2CF9AE}" pid="44" name="lofTitle">
    <vt:lpwstr>List of Figures</vt:lpwstr>
  </property>
  <property fmtid="{D5CDD505-2E9C-101B-9397-08002B2CF9AE}" pid="45" name="lolItemTemplate">
    <vt:lpwstr>lolItemTitleilistItemTitleDelimt </vt:lpwstr>
  </property>
  <property fmtid="{D5CDD505-2E9C-101B-9397-08002B2CF9AE}" pid="46" name="lolItemTitle">
    <vt:lpwstr/>
  </property>
  <property fmtid="{D5CDD505-2E9C-101B-9397-08002B2CF9AE}" pid="47" name="lolTitle">
    <vt:lpwstr>List of Listings</vt:lpwstr>
  </property>
  <property fmtid="{D5CDD505-2E9C-101B-9397-08002B2CF9AE}" pid="48" name="lotItemTemplate">
    <vt:lpwstr>lotItemTitleilistItemTitleDelimt </vt:lpwstr>
  </property>
  <property fmtid="{D5CDD505-2E9C-101B-9397-08002B2CF9AE}" pid="49" name="lotItemTitle">
    <vt:lpwstr/>
  </property>
  <property fmtid="{D5CDD505-2E9C-101B-9397-08002B2CF9AE}" pid="50" name="lotTitle">
    <vt:lpwstr>List of Tables</vt:lpwstr>
  </property>
  <property fmtid="{D5CDD505-2E9C-101B-9397-08002B2CF9AE}" pid="51" name="lstLabels">
    <vt:lpwstr>arabic</vt:lpwstr>
  </property>
  <property fmtid="{D5CDD505-2E9C-101B-9397-08002B2CF9AE}" pid="52" name="lstPrefix">
    <vt:lpwstr/>
  </property>
  <property fmtid="{D5CDD505-2E9C-101B-9397-08002B2CF9AE}" pid="53" name="lstPrefixTemplate">
    <vt:lpwstr>p i</vt:lpwstr>
  </property>
  <property fmtid="{D5CDD505-2E9C-101B-9397-08002B2CF9AE}" pid="54" name="nameInLink">
    <vt:lpwstr>False</vt:lpwstr>
  </property>
  <property fmtid="{D5CDD505-2E9C-101B-9397-08002B2CF9AE}" pid="55" name="numberSections">
    <vt:lpwstr>False</vt:lpwstr>
  </property>
  <property fmtid="{D5CDD505-2E9C-101B-9397-08002B2CF9AE}" pid="56" name="output">
    <vt:lpwstr/>
  </property>
  <property fmtid="{D5CDD505-2E9C-101B-9397-08002B2CF9AE}" pid="57" name="pairDelim">
    <vt:lpwstr>, </vt:lpwstr>
  </property>
  <property fmtid="{D5CDD505-2E9C-101B-9397-08002B2CF9AE}" pid="58" name="rangeDelim">
    <vt:lpwstr>-</vt:lpwstr>
  </property>
  <property fmtid="{D5CDD505-2E9C-101B-9397-08002B2CF9AE}" pid="59" name="refDelim">
    <vt:lpwstr>, </vt:lpwstr>
  </property>
  <property fmtid="{D5CDD505-2E9C-101B-9397-08002B2CF9AE}" pid="60" name="refIndexTemplate">
    <vt:lpwstr>isuf</vt:lpwstr>
  </property>
  <property fmtid="{D5CDD505-2E9C-101B-9397-08002B2CF9AE}" pid="61" name="secHeaderDelim">
    <vt:lpwstr> </vt:lpwstr>
  </property>
  <property fmtid="{D5CDD505-2E9C-101B-9397-08002B2CF9AE}" pid="62" name="secHeaderTemplate">
    <vt:lpwstr>isecHeaderDelim[n]t</vt:lpwstr>
  </property>
  <property fmtid="{D5CDD505-2E9C-101B-9397-08002B2CF9AE}" pid="63" name="secLabels">
    <vt:lpwstr>arabic</vt:lpwstr>
  </property>
  <property fmtid="{D5CDD505-2E9C-101B-9397-08002B2CF9AE}" pid="64" name="secPrefix">
    <vt:lpwstr/>
  </property>
  <property fmtid="{D5CDD505-2E9C-101B-9397-08002B2CF9AE}" pid="65" name="secPrefixTemplate">
    <vt:lpwstr>p i</vt:lpwstr>
  </property>
  <property fmtid="{D5CDD505-2E9C-101B-9397-08002B2CF9AE}" pid="66" name="sectionsDepth">
    <vt:lpwstr>0</vt:lpwstr>
  </property>
  <property fmtid="{D5CDD505-2E9C-101B-9397-08002B2CF9AE}" pid="67" name="subfigGrid">
    <vt:lpwstr>False</vt:lpwstr>
  </property>
  <property fmtid="{D5CDD505-2E9C-101B-9397-08002B2CF9AE}" pid="68" name="subfigLabels">
    <vt:lpwstr>alpha a</vt:lpwstr>
  </property>
  <property fmtid="{D5CDD505-2E9C-101B-9397-08002B2CF9AE}" pid="69" name="subfigureChildTemplate">
    <vt:lpwstr>i</vt:lpwstr>
  </property>
  <property fmtid="{D5CDD505-2E9C-101B-9397-08002B2CF9AE}" pid="70" name="subfigureRefIndexTemplate">
    <vt:lpwstr>isuf (s)</vt:lpwstr>
  </property>
  <property fmtid="{D5CDD505-2E9C-101B-9397-08002B2CF9AE}" pid="71" name="subfigureTemplate">
    <vt:lpwstr>figureTitle ititleDelim t. ccs</vt:lpwstr>
  </property>
  <property fmtid="{D5CDD505-2E9C-101B-9397-08002B2CF9AE}" pid="72" name="tableEqns">
    <vt:lpwstr>False</vt:lpwstr>
  </property>
  <property fmtid="{D5CDD505-2E9C-101B-9397-08002B2CF9AE}" pid="73" name="tableTemplate">
    <vt:lpwstr>tableTitle ititleDelim t</vt:lpwstr>
  </property>
  <property fmtid="{D5CDD505-2E9C-101B-9397-08002B2CF9AE}" pid="74" name="tableTitle">
    <vt:lpwstr>Table</vt:lpwstr>
  </property>
  <property fmtid="{D5CDD505-2E9C-101B-9397-08002B2CF9AE}" pid="75" name="tblLabels">
    <vt:lpwstr>arabic</vt:lpwstr>
  </property>
  <property fmtid="{D5CDD505-2E9C-101B-9397-08002B2CF9AE}" pid="76" name="tblPrefix">
    <vt:lpwstr/>
  </property>
  <property fmtid="{D5CDD505-2E9C-101B-9397-08002B2CF9AE}" pid="77" name="tblPrefixTemplate">
    <vt:lpwstr>p i</vt:lpwstr>
  </property>
  <property fmtid="{D5CDD505-2E9C-101B-9397-08002B2CF9AE}" pid="78" name="titleDelim">
    <vt:lpwstr>:</vt:lpwstr>
  </property>
</Properties>
</file>