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png" ContentType="image/png"/>
  <Override PartName="/word/media/rId27.png" ContentType="image/png"/>
  <Override PartName="/word/media/rId31.png" ContentType="image/png"/>
  <Override PartName="/word/media/rId67.png" ContentType="image/png"/>
  <Override PartName="/word/media/rId23.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James R. Junker</w:t>
      </w:r>
      <w:r>
        <w:rPr>
          <w:vertAlign w:val="superscript"/>
        </w:rPr>
        <w:t xml:space="preserve">1,2,✉</w:t>
      </w:r>
      <w:r>
        <w:t xml:space="preserve">, Jeff S. Wesner</w:t>
      </w:r>
      <w:r>
        <w:rPr>
          <w:vertAlign w:val="superscript"/>
        </w:rPr>
        <w:t xml:space="preserve">3</w:t>
      </w:r>
      <w:r>
        <w:t xml:space="preserve">, Justin Pomeranz</w:t>
      </w:r>
      <w:r>
        <w:rPr>
          <w:vertAlign w:val="superscript"/>
        </w:rPr>
        <w:t xml:space="preserve">4</w:t>
      </w:r>
      <w:r>
        <w:t xml:space="preserve">, and Vojsava Gjoni</w:t>
      </w:r>
      <w:r>
        <w:rPr>
          <w:vertAlign w:val="superscript"/>
        </w:rPr>
        <w:t xml:space="preserve">5</w:t>
      </w:r>
    </w:p>
    <w:p>
      <w:pPr>
        <w:pStyle w:val="Date"/>
      </w:pPr>
      <w:r>
        <w:t xml:space="preserve">2026-03-12</w:t>
      </w:r>
    </w:p>
    <w:p>
      <w:pPr>
        <w:pStyle w:val="FirstParagraph"/>
      </w:pPr>
      <w:r>
        <w:rPr>
          <w:vertAlign w:val="superscript"/>
        </w:rPr>
        <w:t xml:space="preserve">1</w:t>
      </w:r>
      <w:r>
        <w:t xml:space="preserve"> </w:t>
      </w:r>
      <w:r>
        <w:t xml:space="preserve">Dept. of Biological Sciences, University of North Texas, Denton, TX USA</w:t>
      </w:r>
      <w:r>
        <w:br/>
      </w:r>
      <w:r>
        <w:rPr>
          <w:vertAlign w:val="superscript"/>
        </w:rPr>
        <w:t xml:space="preserve">2</w:t>
      </w:r>
      <w:r>
        <w:t xml:space="preserve"> </w:t>
      </w:r>
      <w:r>
        <w:t xml:space="preserve">Advanced Environmental Research Institute, University of North Texas, Denton, TX USA</w:t>
      </w:r>
      <w:r>
        <w:br/>
      </w:r>
      <w:r>
        <w:rPr>
          <w:vertAlign w:val="superscript"/>
        </w:rPr>
        <w:t xml:space="preserve">3</w:t>
      </w:r>
      <w:r>
        <w:t xml:space="preserve"> </w:t>
      </w:r>
      <w:r>
        <w:t xml:space="preserve">usd</w:t>
      </w:r>
      <w:r>
        <w:br/>
      </w:r>
      <w:r>
        <w:rPr>
          <w:vertAlign w:val="superscript"/>
        </w:rPr>
        <w:t xml:space="preserve">4</w:t>
      </w:r>
      <w:r>
        <w:t xml:space="preserve"> </w:t>
      </w:r>
      <w:r>
        <w:t xml:space="preserve">cmu</w:t>
      </w:r>
      <w:r>
        <w:br/>
      </w:r>
      <w:r>
        <w:rPr>
          <w:vertAlign w:val="superscript"/>
        </w:rPr>
        <w:t xml:space="preserve">5</w:t>
      </w:r>
      <w:r>
        <w:t xml:space="preserve"> </w:t>
      </w:r>
      <w:r>
        <w:t xml:space="preserve">ital</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James R. Junker &lt;</w:t>
        </w:r>
        <w:hyperlink r:id="rId20">
          <w:r>
            <w:rPr>
              <w:rStyle w:val="Hyperlink"/>
            </w:rPr>
            <w:t xml:space="preserve">james.junker@unt.edu</w:t>
          </w:r>
        </w:hyperlink>
        <w:r>
          <w:rPr>
            <w:rStyle w:val="Hyperlink"/>
          </w:rPr>
          <w:t xml:space="preserve">&gt;</w:t>
        </w:r>
      </w:hyperlink>
    </w:p>
    <w:bookmarkStart w:id="21" w:name="purpose"/>
    <w:p>
      <w:pPr>
        <w:pStyle w:val="Heading2"/>
      </w:pPr>
      <w:r>
        <w:t xml:space="preserve">Purpose</w:t>
      </w:r>
    </w:p>
    <w:p>
      <w:pPr>
        <w:pStyle w:val="FirstParagraph"/>
      </w:pPr>
      <w:r>
        <w:t xml:space="preserve">Start the initial analysis combining ISD, CCSR, and LSD relationships across the NEON sites. This is initial fodder for discussion of next steps.</w:t>
      </w:r>
    </w:p>
    <w:bookmarkEnd w:id="21"/>
    <w:bookmarkStart w:id="22" w:name="introduction"/>
    <w:p>
      <w:pPr>
        <w:pStyle w:val="Heading2"/>
      </w:pPr>
      <w:r>
        <w:t xml:space="preserve">Introduction</w:t>
      </w:r>
    </w:p>
    <w:p>
      <w:pPr>
        <w:pStyle w:val="FirstParagraph"/>
      </w:pPr>
      <w:r>
        <w:t xml:space="preserve">The negative relationship between abundance and body size is one of the most widely observed ecological patterns []. This relationships manifests across biological levels of organization from individuals within a species to whole food webs</w:t>
      </w:r>
      <w:r>
        <w:t xml:space="preserve"> </w:t>
      </w:r>
      <w:r>
        <w:t xml:space="preserve">(</w:t>
      </w:r>
      <w:r>
        <w:rPr>
          <w:b/>
          <w:bCs/>
        </w:rPr>
        <w:t xml:space="preserve">white2007?</w:t>
      </w:r>
      <w:r>
        <w:t xml:space="preserve">)</w:t>
      </w:r>
      <w:r>
        <w:t xml:space="preserve">…</w:t>
      </w:r>
    </w:p>
    <w:p>
      <w:pPr>
        <w:pStyle w:val="SourceCode"/>
      </w:pPr>
      <w:r>
        <w:rPr>
          <w:rStyle w:val="VerbatimChar"/>
        </w:rPr>
        <w:t xml:space="preserve">## Data was last updated on 2025-04-29</w:t>
      </w:r>
    </w:p>
    <w:bookmarkEnd w:id="22"/>
    <w:bookmarkStart w:id="50" w:name="introduction-1"/>
    <w:p>
      <w:pPr>
        <w:pStyle w:val="Heading1"/>
      </w:pPr>
      <w:r>
        <w:t xml:space="preserve">Introduction</w:t>
      </w:r>
    </w:p>
    <w:p>
      <w:pPr>
        <w:pStyle w:val="FirstParagraph"/>
      </w:pPr>
      <w:r>
        <w:t xml:space="preserve">Understanding the connections between the environment, biodiversity, and ecological function has been a driving question in ecology</w:t>
      </w:r>
      <w:r>
        <w:t xml:space="preserve"> </w:t>
      </w:r>
      <w:r>
        <w:t xml:space="preserve">(</w:t>
      </w:r>
      <w:r>
        <w:rPr>
          <w:b/>
          <w:bCs/>
        </w:rPr>
        <w:t xml:space="preserve">vanderplas2019?</w:t>
      </w:r>
      <w:r>
        <w:t xml:space="preserve">)</w:t>
      </w:r>
      <w:r>
        <w:t xml:space="preserve">.</w:t>
      </w:r>
    </w:p>
    <w:p>
      <w:pPr>
        <w:pStyle w:val="BodyText"/>
      </w:pPr>
      <w:r>
        <w:t xml:space="preserve">The extension of BEF frameworks from single trophic level, mainly plant communities, to multi-trophic communities has been met with a number of difficulties. Multi-trophic communities encompass diverse organisms with complex direct and indirect species-species interactions that range from mutualistic to antagonistic, and these are further complicated by the fact that the nature of these interactions are themselves dependent on the environmental conditions, community composition, and the emergence of species interactions networks that vary in both space and time.</w:t>
      </w:r>
    </w:p>
    <w:p>
      <w:pPr>
        <w:pStyle w:val="BodyText"/>
      </w:pPr>
      <w:r>
        <w:t xml:space="preserve">Allometric theory (</w:t>
      </w:r>
      <w:r>
        <w:rPr>
          <w:b/>
          <w:bCs/>
        </w:rPr>
        <w:t xml:space="preserve">AT</w:t>
      </w:r>
      <w:r>
        <w:t xml:space="preserve">) has proved a useful framework to describe the organization of food web interactions across levels of organization. At its core, allometric theory is an energy-based framework that recognizes the strong relationship between organism body size,</w:t>
      </w:r>
      <w:r>
        <w:t xml:space="preserve"> </w:t>
      </w:r>
      <m:oMath>
        <m:r>
          <m:t>M</m:t>
        </m:r>
      </m:oMath>
      <w:r>
        <w:t xml:space="preserve">, and energy use as</w:t>
      </w:r>
      <w:r>
        <w:t xml:space="preserve"> </w:t>
      </w:r>
      <m:oMath>
        <m:r>
          <m:t>I</m:t>
        </m:r>
        <m:r>
          <m:rPr>
            <m:sty m:val="p"/>
          </m:rPr>
          <m:t>=</m:t>
        </m:r>
        <m:sSup>
          <m:e>
            <m:r>
              <m:t>M</m:t>
            </m:r>
          </m:e>
          <m:sup>
            <m:r>
              <m:t>α</m:t>
            </m:r>
          </m:sup>
        </m:sSup>
      </m:oMath>
      <w:r>
        <w:t xml:space="preserve">, where</w:t>
      </w:r>
      <w:r>
        <w:t xml:space="preserve"> </w:t>
      </w:r>
      <m:oMath>
        <m:r>
          <m:t>I</m:t>
        </m:r>
      </m:oMath>
      <w:r>
        <w:t xml:space="preserve"> </w:t>
      </w:r>
      <w:r>
        <w:t xml:space="preserve">is individual metabolic rate,</w:t>
      </w:r>
      <w:r>
        <w:t xml:space="preserve"> </w:t>
      </w:r>
      <m:oMath>
        <m:r>
          <m:t>M</m:t>
        </m:r>
      </m:oMath>
      <w:r>
        <w:t xml:space="preserve"> </w:t>
      </w:r>
      <w:r>
        <w:t xml:space="preserve">individual body mass, and the metabolic scaling exponent,</w:t>
      </w:r>
      <w:r>
        <w:t xml:space="preserve"> </w:t>
      </w:r>
      <m:oMath>
        <m:r>
          <m:t>α</m:t>
        </m:r>
      </m:oMath>
      <w:r>
        <w:t xml:space="preserve">. The scaling of metabolism with mass is predicted to vary from 0.6 to 1, with a central tendency</w:t>
      </w:r>
      <w:r>
        <w:t xml:space="preserve"> </w:t>
      </w:r>
      <m:oMath>
        <m:r>
          <m:rPr>
            <m:sty m:val="p"/>
          </m:rPr>
          <m:t>≈</m:t>
        </m:r>
      </m:oMath>
      <w:r>
        <w:t xml:space="preserve"> </w:t>
      </w:r>
      <w:r>
        <w:t xml:space="preserve">0.75</w:t>
      </w:r>
      <w:r>
        <w:t xml:space="preserve"> </w:t>
      </w:r>
      <w:r>
        <w:t xml:space="preserve">(</w:t>
      </w:r>
      <w:r>
        <w:rPr>
          <w:b/>
          <w:bCs/>
        </w:rPr>
        <w:t xml:space="preserve">west1997?</w:t>
      </w:r>
      <w:r>
        <w:t xml:space="preserve">,</w:t>
      </w:r>
      <w:r>
        <w:t xml:space="preserve"> </w:t>
      </w:r>
      <w:r>
        <w:rPr>
          <w:b/>
          <w:bCs/>
        </w:rPr>
        <w:t xml:space="preserve">brown2004?</w:t>
      </w:r>
      <w:r>
        <w:t xml:space="preserve">,</w:t>
      </w:r>
      <w:r>
        <w:t xml:space="preserve"> </w:t>
      </w:r>
      <w:r>
        <w:rPr>
          <w:b/>
          <w:bCs/>
        </w:rPr>
        <w:t xml:space="preserve">white2022?</w:t>
      </w:r>
      <w:r>
        <w:t xml:space="preserve">)</w:t>
      </w:r>
      <w:r>
        <w:t xml:space="preserve">. From this relationship, AT represents a null model such that, under assumed conditions of finite and equally distributed resource availability, organism density should decline with</w:t>
      </w:r>
      <w:r>
        <w:t xml:space="preserve"> </w:t>
      </w:r>
      <m:oMath>
        <m:r>
          <m:t>M</m:t>
        </m:r>
      </m:oMath>
      <w:r>
        <w:t xml:space="preserve"> </w:t>
      </w:r>
      <w:r>
        <w:t xml:space="preserve">and the extent of decline should reflect the metabolism–mass scaling relationship,</w:t>
      </w:r>
      <w:r>
        <w:t xml:space="preserve"> </w:t>
      </w:r>
      <m:oMath>
        <m:r>
          <m:t>α</m:t>
        </m:r>
      </m:oMath>
      <w:r>
        <w:t xml:space="preserve"> </w:t>
      </w:r>
      <w:r>
        <w:t xml:space="preserve">as,</w:t>
      </w:r>
      <w:r>
        <w:t xml:space="preserve"> </w:t>
      </w:r>
      <m:oMath>
        <m:r>
          <m:t>N</m:t>
        </m:r>
        <m:r>
          <m:rPr>
            <m:sty m:val="p"/>
          </m:rPr>
          <m:t>∝</m:t>
        </m:r>
        <m:sSup>
          <m:e>
            <m:r>
              <m:t>M</m:t>
            </m:r>
          </m:e>
          <m:sup>
            <m:r>
              <m:rPr>
                <m:sty m:val="p"/>
              </m:rPr>
              <m:t>−</m:t>
            </m:r>
            <m:r>
              <m:t>α</m:t>
            </m:r>
          </m:sup>
        </m:sSup>
      </m:oMath>
      <w:r>
        <w:t xml:space="preserve">. This prediction can be logically extended to multi-trophic communities</w:t>
      </w:r>
      <w:r>
        <w:t xml:space="preserve"> </w:t>
      </w:r>
      <w:r>
        <w:t xml:space="preserve">(</w:t>
      </w:r>
      <w:r>
        <w:rPr>
          <w:b/>
          <w:bCs/>
        </w:rPr>
        <w:t xml:space="preserve">gillooly2003?</w:t>
      </w:r>
      <w:r>
        <w:t xml:space="preserve">)</w:t>
      </w:r>
      <w:r>
        <w:t xml:space="preserve">, by including some additional assumption. Within a single trophic level, organism density should s one of the most widely observed phenomena that is proposed by AT. Specifically, AT predicts that organism density is negatively related to body size across indi</w:t>
      </w:r>
    </w:p>
    <w:p>
      <w:pPr>
        <w:pStyle w:val="BodyText"/>
      </w:pPr>
      <w:r>
        <w:t xml:space="preserve">However,</w:t>
      </w:r>
      <w:r>
        <w:t xml:space="preserve"> </w:t>
      </w:r>
      <m:oMath>
        <m:r>
          <m:t>M</m:t>
        </m:r>
      </m:oMath>
      <w:r>
        <w:t xml:space="preserve"> </w:t>
      </w:r>
      <w:r>
        <w:t xml:space="preserve">also encapsulates a wealth of other ecological information that is associated with variability in a number of variables from individuals to whole ecosystems species, including: metabolic rate, growth rate, life history, feeding relationships, community biomass and energy throughput</w:t>
      </w:r>
      <w:r>
        <w:t xml:space="preserve"> </w:t>
      </w:r>
      <w:r>
        <w:t xml:space="preserve">(</w:t>
      </w:r>
      <w:r>
        <w:rPr>
          <w:b/>
          <w:bCs/>
        </w:rPr>
        <w:t xml:space="preserve">gillooly2003?</w:t>
      </w:r>
      <w:r>
        <w:t xml:space="preserve">,</w:t>
      </w:r>
      <w:r>
        <w:t xml:space="preserve"> </w:t>
      </w:r>
      <w:r>
        <w:rPr>
          <w:b/>
          <w:bCs/>
        </w:rPr>
        <w:t xml:space="preserve">schramski2015?</w:t>
      </w:r>
      <w:r>
        <w:t xml:space="preserve">)</w:t>
      </w:r>
      <w:r>
        <w:t xml:space="preserve">.</w:t>
      </w:r>
    </w:p>
    <w:p>
      <w:pPr>
        <w:pStyle w:val="BodyText"/>
      </w:pPr>
      <w:r>
        <w:t xml:space="preserve">Increasingly, the distribution of body sizes in populations and food webs has been identified as an integrative measure of ecological status. The focus on a key organismal trait, body size, derives from body sizes importance</w:t>
      </w:r>
    </w:p>
    <w:bookmarkStart w:id="26" w:name="richness-models"/>
    <w:p>
      <w:pPr>
        <w:pStyle w:val="Heading2"/>
      </w:pPr>
      <w:r>
        <w:t xml:space="preserve">Richness models</w:t>
      </w:r>
    </w:p>
    <w:p>
      <w:pPr>
        <w:pStyle w:val="FirstParagraph"/>
      </w:pPr>
      <w:r>
        <w:drawing>
          <wp:inline>
            <wp:extent cx="4620126" cy="3696101"/>
            <wp:effectExtent b="0" l="0" r="0" t="0"/>
            <wp:docPr descr="" title="" id="24" name="Picture"/>
            <a:graphic>
              <a:graphicData uri="http://schemas.openxmlformats.org/drawingml/2006/picture">
                <pic:pic>
                  <pic:nvPicPr>
                    <pic:cNvPr descr="ISD-CCSR_ms_files/figure-docx/richness%20models-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BEF frameworks suggest higher community species richness should lead to higher community biomass. We estimated the biomass~richness scaling relationship,</w:t>
      </w:r>
      <w:r>
        <w:t xml:space="preserve"> </w:t>
      </w:r>
      <m:oMath>
        <m:r>
          <m:t>θ</m:t>
        </m:r>
      </m:oMath>
      <w:r>
        <w:t xml:space="preserve">, which represents the relationship,</w:t>
      </w:r>
      <w:r>
        <w:t xml:space="preserve"> </w:t>
      </w:r>
      <m:oMath>
        <m:r>
          <m:t>l</m:t>
        </m:r>
        <m:r>
          <m:t>o</m:t>
        </m:r>
        <m:r>
          <m:t>g</m:t>
        </m:r>
        <m:d>
          <m:dPr>
            <m:begChr m:val="("/>
            <m:endChr m:val=")"/>
            <m:sepChr m:val=""/>
            <m:grow/>
          </m:dPr>
          <m:e>
            <m:r>
              <m:t>B</m:t>
            </m:r>
          </m:e>
        </m:d>
        <m:r>
          <m:rPr>
            <m:sty m:val="p"/>
          </m:rPr>
          <m:t>∝</m:t>
        </m:r>
        <m:r>
          <m:t>l</m:t>
        </m:r>
        <m:r>
          <m:t>o</m:t>
        </m:r>
        <m:r>
          <m:t>g</m:t>
        </m:r>
        <m:d>
          <m:dPr>
            <m:begChr m:val="("/>
            <m:endChr m:val=")"/>
            <m:sepChr m:val=""/>
            <m:grow/>
          </m:dPr>
          <m:e>
            <m:r>
              <m:t>S</m:t>
            </m:r>
          </m:e>
        </m:d>
      </m:oMath>
      <w:r>
        <w:t xml:space="preserve">, with richness measured as the Hill number = 0 (</w:t>
      </w:r>
      <m:oMath>
        <m:r>
          <m:t>h</m:t>
        </m:r>
        <m:r>
          <m:t>i</m:t>
        </m:r>
        <m:r>
          <m:t>l</m:t>
        </m:r>
        <m:sSub>
          <m:e>
            <m:r>
              <m:t>l</m:t>
            </m:r>
          </m:e>
          <m:sub>
            <m:r>
              <m:t>0</m:t>
            </m:r>
          </m:sub>
        </m:sSub>
      </m:oMath>
      <w:r>
        <w:t xml:space="preserve">). Community biomass had a 86.3 probability of a positively scaling with species richness (</w:t>
      </w:r>
      <m:oMath>
        <m:r>
          <m:t>θ</m:t>
        </m:r>
      </m:oMath>
      <w:r>
        <w:t xml:space="preserve"> </w:t>
      </w:r>
      <w:r>
        <w:t xml:space="preserve">= 0.79 [-0.61 – 2.27]; mean</w:t>
      </w:r>
      <w:r>
        <w:t xml:space="preserve"> </w:t>
      </w:r>
      <m:oMath>
        <m:r>
          <m:rPr>
            <m:sty m:val="p"/>
          </m:rPr>
          <m:t>±</m:t>
        </m:r>
      </m:oMath>
      <w:r>
        <w:t xml:space="preserve"> </w:t>
      </w:r>
      <w:r>
        <w:t xml:space="preserve">95% credible interval), with ~25% of the variation in across stream community biomass explained by richness.</w:t>
      </w:r>
    </w:p>
    <w:bookmarkEnd w:id="26"/>
    <w:bookmarkStart w:id="30" w:name="allometric-models"/>
    <w:p>
      <w:pPr>
        <w:pStyle w:val="Heading2"/>
      </w:pPr>
      <w:r>
        <w:t xml:space="preserve">Allometric models</w:t>
      </w:r>
    </w:p>
    <w:p>
      <w:pPr>
        <w:pStyle w:val="FirstParagraph"/>
      </w:pPr>
      <w:r>
        <w:drawing>
          <wp:inline>
            <wp:extent cx="4620126" cy="3696101"/>
            <wp:effectExtent b="0" l="0" r="0" t="0"/>
            <wp:docPr descr="" title="" id="28" name="Picture"/>
            <a:graphic>
              <a:graphicData uri="http://schemas.openxmlformats.org/drawingml/2006/picture">
                <pic:pic>
                  <pic:nvPicPr>
                    <pic:cNvPr descr="ISD-CCSR_ms_files/figure-docx/allometric%20models-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Alternatively, allometric theory predicts community biomass should scale with mean community body size (</w:t>
      </w:r>
      <m:oMath>
        <m:bar>
          <m:barPr>
            <m:pos m:val="top"/>
          </m:barPr>
          <m:e>
            <m:r>
              <m:t>M</m:t>
            </m:r>
          </m:e>
        </m:bar>
      </m:oMath>
      <w:r>
        <w:t xml:space="preserve">). We estimated the biomass~</w:t>
      </w:r>
      <m:oMath>
        <m:bar>
          <m:barPr>
            <m:pos m:val="top"/>
          </m:barPr>
          <m:e>
            <m:r>
              <m:t>M</m:t>
            </m:r>
          </m:e>
        </m:bar>
      </m:oMath>
      <w:r>
        <w:t xml:space="preserve"> </w:t>
      </w:r>
      <w:r>
        <w:t xml:space="preserve">scaling relationship,</w:t>
      </w:r>
      <w:r>
        <w:t xml:space="preserve"> </w:t>
      </w:r>
      <m:oMath>
        <m:r>
          <m:t>β</m:t>
        </m:r>
      </m:oMath>
      <w:r>
        <w:t xml:space="preserve">, which represents the relationship,</w:t>
      </w:r>
      <w:r>
        <w:t xml:space="preserve"> </w:t>
      </w:r>
      <m:oMath>
        <m:r>
          <m:t>l</m:t>
        </m:r>
        <m:r>
          <m:t>o</m:t>
        </m:r>
        <m:r>
          <m:t>g</m:t>
        </m:r>
        <m:d>
          <m:dPr>
            <m:begChr m:val="("/>
            <m:endChr m:val=")"/>
            <m:sepChr m:val=""/>
            <m:grow/>
          </m:dPr>
          <m:e>
            <m:r>
              <m:t>B</m:t>
            </m:r>
          </m:e>
        </m:d>
        <m:r>
          <m:rPr>
            <m:sty m:val="p"/>
          </m:rPr>
          <m:t>∝</m:t>
        </m:r>
        <m:r>
          <m:t>l</m:t>
        </m:r>
        <m:r>
          <m:t>o</m:t>
        </m:r>
        <m:r>
          <m:t>g</m:t>
        </m:r>
        <m:d>
          <m:dPr>
            <m:begChr m:val="("/>
            <m:endChr m:val=")"/>
            <m:sepChr m:val=""/>
            <m:grow/>
          </m:dPr>
          <m:e>
            <m:bar>
              <m:barPr>
                <m:pos m:val="top"/>
              </m:barPr>
              <m:e>
                <m:r>
                  <m:t>M</m:t>
                </m:r>
              </m:e>
            </m:bar>
          </m:e>
        </m:d>
      </m:oMath>
      <w:r>
        <w:t xml:space="preserve">, with</w:t>
      </w:r>
      <w:r>
        <w:t xml:space="preserve"> </w:t>
      </w:r>
      <m:oMath>
        <m:bar>
          <m:barPr>
            <m:pos m:val="top"/>
          </m:barPr>
          <m:e>
            <m:r>
              <m:t>M</m:t>
            </m:r>
          </m:e>
        </m:bar>
      </m:oMath>
      <w:r>
        <w:t xml:space="preserve"> </w:t>
      </w:r>
      <w:r>
        <w:t xml:space="preserve">calculated as the mean community body size weighted by relative biomass in the community,</w:t>
      </w:r>
      <w:r>
        <w:t xml:space="preserve"> </w:t>
      </w:r>
      <m:oMath>
        <m:sSub>
          <m:e>
            <m:bar>
              <m:barPr>
                <m:pos m:val="top"/>
              </m:barPr>
              <m:e>
                <m:r>
                  <m:t>M</m:t>
                </m:r>
              </m:e>
            </m:bar>
          </m:e>
          <m:sub>
            <m:r>
              <m:t>B</m:t>
            </m:r>
            <m:r>
              <m:rPr>
                <m:sty m:val="p"/>
              </m:rPr>
              <m:t>−</m:t>
            </m:r>
            <m:r>
              <m:t>w</m:t>
            </m:r>
            <m:r>
              <m:t>e</m:t>
            </m:r>
            <m:r>
              <m:t>i</m:t>
            </m:r>
            <m:r>
              <m:t>g</m:t>
            </m:r>
            <m:r>
              <m:t>h</m:t>
            </m:r>
            <m:r>
              <m:t>t</m:t>
            </m:r>
            <m:r>
              <m:t>e</m:t>
            </m:r>
            <m:r>
              <m:t>d</m:t>
            </m:r>
          </m:sub>
        </m:sSub>
      </m:oMath>
      <w:r>
        <w:t xml:space="preserve">. Community biomass had a 100 probability of a positively scaling with</w:t>
      </w:r>
      <w:r>
        <w:t xml:space="preserve"> </w:t>
      </w:r>
      <m:oMath>
        <m:bar>
          <m:barPr>
            <m:pos m:val="top"/>
          </m:barPr>
          <m:e>
            <m:r>
              <m:t>M</m:t>
            </m:r>
          </m:e>
        </m:bar>
      </m:oMath>
      <w:r>
        <w:t xml:space="preserve"> </w:t>
      </w:r>
      <w:r>
        <w:t xml:space="preserve">(</w:t>
      </w:r>
      <m:oMath>
        <m:r>
          <m:t>β</m:t>
        </m:r>
      </m:oMath>
      <w:r>
        <w:t xml:space="preserve"> </w:t>
      </w:r>
      <w:r>
        <w:t xml:space="preserve">= 0.48 [0.33 – 0.65]; mean</w:t>
      </w:r>
      <w:r>
        <w:t xml:space="preserve"> </w:t>
      </w:r>
      <m:oMath>
        <m:r>
          <m:rPr>
            <m:sty m:val="p"/>
          </m:rPr>
          <m:t>±</m:t>
        </m:r>
      </m:oMath>
      <w:r>
        <w:t xml:space="preserve"> </w:t>
      </w:r>
      <w:r>
        <w:t xml:space="preserve">95% credible interval), with ~46% of the variation in across stream community biomass explained by</w:t>
      </w:r>
      <w:r>
        <w:t xml:space="preserve"> </w:t>
      </w:r>
      <m:oMath>
        <m:bar>
          <m:barPr>
            <m:pos m:val="top"/>
          </m:barPr>
          <m:e>
            <m:r>
              <m:t>M</m:t>
            </m:r>
          </m:e>
        </m:bar>
      </m:oMath>
      <w:r>
        <w:t xml:space="preserve">.</w:t>
      </w:r>
    </w:p>
    <w:bookmarkEnd w:id="30"/>
    <w:bookmarkStart w:id="34" w:name="allometric-predictions"/>
    <w:p>
      <w:pPr>
        <w:pStyle w:val="Heading2"/>
      </w:pPr>
      <w:r>
        <w:t xml:space="preserve">Allometric predictions</w:t>
      </w:r>
    </w:p>
    <w:p>
      <w:pPr>
        <w:pStyle w:val="FirstParagraph"/>
      </w:pPr>
      <w:r>
        <w:drawing>
          <wp:inline>
            <wp:extent cx="4620126" cy="3696101"/>
            <wp:effectExtent b="0" l="0" r="0" t="0"/>
            <wp:docPr descr="" title="" id="32" name="Picture"/>
            <a:graphic>
              <a:graphicData uri="http://schemas.openxmlformats.org/drawingml/2006/picture">
                <pic:pic>
                  <pic:nvPicPr>
                    <pic:cNvPr descr="ISD-CCSR_ms_files/figure-docx/allometric%20prediction-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41" w:name="richness-predictions"/>
    <w:p>
      <w:pPr>
        <w:pStyle w:val="Heading2"/>
      </w:pPr>
      <w:r>
        <w:t xml:space="preserve">Richness predictions</w:t>
      </w:r>
    </w:p>
    <w:p>
      <w:pPr>
        <w:pStyle w:val="SourceCode"/>
      </w:pPr>
      <w:r>
        <w:rPr>
          <w:rStyle w:val="VerbatimChar"/>
        </w:rPr>
        <w:t xml:space="preserve">## [1] 0.5821151</w:t>
      </w:r>
    </w:p>
    <w:p>
      <w:pPr>
        <w:pStyle w:val="FirstParagraph"/>
      </w:pPr>
      <w:r>
        <w:drawing>
          <wp:inline>
            <wp:extent cx="4620126" cy="3696101"/>
            <wp:effectExtent b="0" l="0" r="0" t="0"/>
            <wp:docPr descr="" title="" id="36" name="Picture"/>
            <a:graphic>
              <a:graphicData uri="http://schemas.openxmlformats.org/drawingml/2006/picture">
                <pic:pic>
                  <pic:nvPicPr>
                    <pic:cNvPr descr="ISD-CCSR_ms_files/figure-docx/richness%20prediction-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ISD-CCSR_ms_files/figure-docx/richness%20prediction-2.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residual-models"/>
    <w:p>
      <w:pPr>
        <w:pStyle w:val="Heading2"/>
      </w:pPr>
      <w:r>
        <w:t xml:space="preserve">Residual models</w:t>
      </w:r>
    </w:p>
    <w:bookmarkEnd w:id="42"/>
    <w:bookmarkStart w:id="43" w:name="richness-extrapolation"/>
    <w:p>
      <w:pPr>
        <w:pStyle w:val="Heading2"/>
      </w:pPr>
      <w:r>
        <w:t xml:space="preserve">Richness extrapolation</w:t>
      </w:r>
    </w:p>
    <w:bookmarkEnd w:id="43"/>
    <w:bookmarkStart w:id="44" w:name="full-model"/>
    <w:p>
      <w:pPr>
        <w:pStyle w:val="Heading2"/>
      </w:pPr>
      <w:r>
        <w:t xml:space="preserve">Full model</w:t>
      </w:r>
    </w:p>
    <w:bookmarkEnd w:id="44"/>
    <w:bookmarkStart w:id="48" w:name="environmental-models"/>
    <w:p>
      <w:pPr>
        <w:pStyle w:val="Heading2"/>
      </w:pPr>
      <w:r>
        <w:t xml:space="preserve">Environmental models</w:t>
      </w:r>
    </w:p>
    <w:p>
      <w:pPr>
        <w:pStyle w:val="SourceCode"/>
      </w:pPr>
      <w:r>
        <w:rPr>
          <w:rStyle w:val="VerbatimChar"/>
        </w:rPr>
        <w:t xml:space="preserve">## [1] 0.4182</w:t>
      </w:r>
    </w:p>
    <w:p>
      <w:pPr>
        <w:pStyle w:val="SourceCode"/>
      </w:pPr>
      <w:r>
        <w:rPr>
          <w:rStyle w:val="VerbatimChar"/>
        </w:rPr>
        <w:t xml:space="preserve">##       2.5%      97.5% </w:t>
      </w:r>
      <w:r>
        <w:br/>
      </w:r>
      <w:r>
        <w:rPr>
          <w:rStyle w:val="VerbatimChar"/>
        </w:rPr>
        <w:t xml:space="preserve">## -0.6102689  0.4815007</w:t>
      </w:r>
    </w:p>
    <w:p>
      <w:pPr>
        <w:pStyle w:val="FirstParagraph"/>
      </w:pPr>
      <w:r>
        <w:drawing>
          <wp:inline>
            <wp:extent cx="4620126" cy="3696101"/>
            <wp:effectExtent b="0" l="0" r="0" t="0"/>
            <wp:docPr descr="" title="" id="46" name="Picture"/>
            <a:graphic>
              <a:graphicData uri="http://schemas.openxmlformats.org/drawingml/2006/picture">
                <pic:pic>
                  <pic:nvPicPr>
                    <pic:cNvPr descr="ISD-CCSR_ms_files/figure-docx/NB%20met%20comparison-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Start w:id="49" w:name="theory-of-body-sizeabundance"/>
    <w:p>
      <w:pPr>
        <w:pStyle w:val="Heading2"/>
      </w:pPr>
      <w:r>
        <w:t xml:space="preserve">Theory of body size–abundance</w:t>
      </w:r>
    </w:p>
    <w:bookmarkEnd w:id="49"/>
    <w:bookmarkEnd w:id="50"/>
    <w:bookmarkStart w:id="62" w:name="methods"/>
    <w:p>
      <w:pPr>
        <w:pStyle w:val="Heading1"/>
      </w:pPr>
      <w:r>
        <w:t xml:space="preserve">Methods</w:t>
      </w:r>
    </w:p>
    <w:bookmarkStart w:id="51" w:name="study-sites"/>
    <w:p>
      <w:pPr>
        <w:pStyle w:val="Heading2"/>
      </w:pPr>
      <w:r>
        <w:t xml:space="preserve">Study sites</w:t>
      </w:r>
    </w:p>
    <w:bookmarkEnd w:id="51"/>
    <w:bookmarkStart w:id="57" w:name="data-sets"/>
    <w:p>
      <w:pPr>
        <w:pStyle w:val="Heading2"/>
      </w:pPr>
      <w:r>
        <w:t xml:space="preserve">Data sets</w:t>
      </w:r>
    </w:p>
    <w:bookmarkStart w:id="52" w:name="macros-and-fish"/>
    <w:p>
      <w:pPr>
        <w:pStyle w:val="Heading3"/>
      </w:pPr>
      <w:r>
        <w:t xml:space="preserve">Macros and fish</w:t>
      </w:r>
    </w:p>
    <w:bookmarkEnd w:id="52"/>
    <w:bookmarkStart w:id="56" w:name="environmental-variables"/>
    <w:p>
      <w:pPr>
        <w:pStyle w:val="Heading3"/>
      </w:pPr>
      <w:r>
        <w:t xml:space="preserve">Environmental Variables</w:t>
      </w:r>
    </w:p>
    <w:bookmarkStart w:id="53" w:name="temp"/>
    <w:p>
      <w:pPr>
        <w:pStyle w:val="Heading4"/>
      </w:pPr>
      <w:r>
        <w:t xml:space="preserve">Temp</w:t>
      </w:r>
    </w:p>
    <w:bookmarkEnd w:id="53"/>
    <w:bookmarkStart w:id="54" w:name="gpp"/>
    <w:p>
      <w:pPr>
        <w:pStyle w:val="Heading4"/>
      </w:pPr>
      <w:r>
        <w:t xml:space="preserve">GPP</w:t>
      </w:r>
    </w:p>
    <w:bookmarkEnd w:id="54"/>
    <w:bookmarkStart w:id="55" w:name="om"/>
    <w:p>
      <w:pPr>
        <w:pStyle w:val="Heading4"/>
      </w:pPr>
      <w:r>
        <w:t xml:space="preserve">OM</w:t>
      </w:r>
    </w:p>
    <w:bookmarkEnd w:id="55"/>
    <w:bookmarkEnd w:id="56"/>
    <w:bookmarkEnd w:id="57"/>
    <w:bookmarkStart w:id="61" w:name="statistical-analyses"/>
    <w:p>
      <w:pPr>
        <w:pStyle w:val="Heading2"/>
      </w:pPr>
      <w:r>
        <w:t xml:space="preserve">Statistical analyses</w:t>
      </w:r>
    </w:p>
    <w:bookmarkStart w:id="58" w:name="community-nm"/>
    <w:p>
      <w:pPr>
        <w:pStyle w:val="Heading3"/>
      </w:pPr>
      <w:r>
        <w:t xml:space="preserve">community N~M</w:t>
      </w:r>
    </w:p>
    <w:p>
      <w:pPr>
        <w:pStyle w:val="FirstParagraph"/>
      </w:pPr>
      <w:r>
        <w:t xml:space="preserve">Further, the theories of self-thinning and energy equivalence upon which the CCSR is based upon derive from individual energy use, which body size is only a proxy for. We can adjust body mass,</w:t>
      </w:r>
      <w:r>
        <w:t xml:space="preserve"> </w:t>
      </w:r>
      <w:r>
        <w:rPr>
          <w:i/>
          <w:iCs/>
        </w:rPr>
        <w:t xml:space="preserve">sensu stricto</w:t>
      </w:r>
      <w:r>
        <w:t xml:space="preserve">, to metabolic mass by adjusting for the metabolic scaling exponent,</w:t>
      </w:r>
      <w:r>
        <w:t xml:space="preserve"> </w:t>
      </w:r>
      <m:oMath>
        <m:sSup>
          <m:e>
            <m:r>
              <m:t>M</m:t>
            </m:r>
          </m:e>
          <m:sup>
            <m:r>
              <m:t>α</m:t>
            </m:r>
          </m:sup>
        </m:sSup>
      </m:oMath>
      <w:r>
        <w:t xml:space="preserve">, where</w:t>
      </w:r>
      <w:r>
        <w:t xml:space="preserve"> </w:t>
      </w:r>
      <m:oMath>
        <m:r>
          <m:t>α</m:t>
        </m:r>
      </m:oMath>
      <w:r>
        <w:t xml:space="preserve"> </w:t>
      </w:r>
      <w:r>
        <w:t xml:space="preserve">usually takes values in the range of 0.6 – 0.75. Also, care must be taken about how metabolic mass is calculated. Because, individual metabolism is a non-linear function with mass,</w:t>
      </w:r>
      <w:r>
        <w:t xml:space="preserve"> </w:t>
      </w:r>
      <m:oMath>
        <m:r>
          <m:t>f</m:t>
        </m:r>
        <m:d>
          <m:dPr>
            <m:begChr m:val="("/>
            <m:endChr m:val=")"/>
            <m:sepChr m:val=""/>
            <m:grow/>
          </m:dPr>
          <m:e>
            <m:bar>
              <m:barPr>
                <m:pos m:val="top"/>
              </m:barPr>
              <m:e>
                <m:r>
                  <m:t>x</m:t>
                </m:r>
              </m:e>
            </m:bar>
          </m:e>
        </m:d>
        <m:r>
          <m:rPr>
            <m:sty m:val="p"/>
          </m:rPr>
          <m:t>≠</m:t>
        </m:r>
        <m:bar>
          <m:barPr>
            <m:pos m:val="top"/>
          </m:barPr>
          <m:e>
            <m:r>
              <m:t>f</m:t>
            </m:r>
            <m:d>
              <m:dPr>
                <m:begChr m:val="("/>
                <m:endChr m:val=")"/>
                <m:sepChr m:val=""/>
                <m:grow/>
              </m:dPr>
              <m:e>
                <m:r>
                  <m:t>x</m:t>
                </m:r>
              </m:e>
            </m:d>
          </m:e>
        </m:bar>
      </m:oMath>
      <w:r>
        <w:t xml:space="preserve"> </w:t>
      </w:r>
      <w:r>
        <w:t xml:space="preserve">(</w:t>
      </w:r>
      <w:r>
        <w:rPr>
          <w:b/>
          <w:bCs/>
        </w:rPr>
        <w:t xml:space="preserve">Jensen?</w:t>
      </w:r>
      <w:r>
        <w:t xml:space="preserve">)</w:t>
      </w:r>
      <w:r>
        <w:t xml:space="preserve"> </w:t>
      </w:r>
      <w:r>
        <w:t xml:space="preserve">and the proper value to use is to first calculate metabolic mass for each individual,</w:t>
      </w:r>
      <w:r>
        <w:t xml:space="preserve"> </w:t>
      </w:r>
      <m:oMath>
        <m:sSubSup>
          <m:e>
            <m:r>
              <m:t>m</m:t>
            </m:r>
          </m:e>
          <m:sub>
            <m:r>
              <m:t>i</m:t>
            </m:r>
          </m:sub>
          <m:sup>
            <m:r>
              <m:t>α</m:t>
            </m:r>
          </m:sup>
        </m:sSubSup>
      </m:oMath>
      <w:r>
        <w:t xml:space="preserve">, and then average across all individual metabolic mass measurements for a sampling timepoint. The difference in these measurements can be observed below.</w:t>
      </w:r>
    </w:p>
    <w:bookmarkEnd w:id="58"/>
    <w:bookmarkStart w:id="59" w:name="truncated-pareto"/>
    <w:p>
      <w:pPr>
        <w:pStyle w:val="Heading3"/>
      </w:pPr>
      <w:r>
        <w:t xml:space="preserve">truncated pareto</w:t>
      </w:r>
    </w:p>
    <w:bookmarkEnd w:id="59"/>
    <w:bookmarkStart w:id="60" w:name="mixed-effects-models-were-fit-with"/>
    <w:p>
      <w:pPr>
        <w:pStyle w:val="Heading3"/>
      </w:pPr>
      <w:r>
        <w:t xml:space="preserve">Mixed-effects models were fit with</w:t>
      </w:r>
    </w:p>
    <w:bookmarkEnd w:id="60"/>
    <w:bookmarkEnd w:id="61"/>
    <w:bookmarkEnd w:id="62"/>
    <w:bookmarkStart w:id="63" w:name="results"/>
    <w:p>
      <w:pPr>
        <w:pStyle w:val="Heading1"/>
      </w:pPr>
      <w:r>
        <w:t xml:space="preserve">Results</w:t>
      </w:r>
    </w:p>
    <w:p>
      <w:pPr>
        <w:pStyle w:val="FirstParagraph"/>
      </w:pPr>
      <w:r>
        <w:t xml:space="preserve">Total community abundances ranged ~7 order of magnitude from 1.5e+02 to 4.5e+04 with average community abundance of 6.7e+03</w:t>
      </w:r>
      <w:r>
        <w:t xml:space="preserve"> </w:t>
      </w:r>
      <m:oMath>
        <m:r>
          <m:rPr>
            <m:sty m:val="p"/>
          </m:rPr>
          <m:t>±</m:t>
        </m:r>
      </m:oMath>
      <w:r>
        <w:t xml:space="preserve"> </w:t>
      </w:r>
      <w:r>
        <w:t xml:space="preserve">7.2e+03 individuals m</w:t>
      </w:r>
      <w:r>
        <w:rPr>
          <w:vertAlign w:val="superscript"/>
        </w:rPr>
        <w:t xml:space="preserve">-2</w:t>
      </w:r>
      <w:r>
        <w:t xml:space="preserve">. Community mean body sizes exhibited a similar range from 2.1e-01 to 5.4e+01 with an average community mean body size of 2.88</w:t>
      </w:r>
      <w:r>
        <w:t xml:space="preserve"> </w:t>
      </w:r>
      <m:oMath>
        <m:r>
          <m:rPr>
            <m:sty m:val="p"/>
          </m:rPr>
          <m:t>±</m:t>
        </m:r>
      </m:oMath>
      <w:r>
        <w:t xml:space="preserve"> </w:t>
      </w:r>
      <w:r>
        <w:t xml:space="preserve">6.05 mg dry mass individual</w:t>
      </w:r>
      <w:r>
        <w:rPr>
          <w:vertAlign w:val="superscript"/>
        </w:rPr>
        <w:t xml:space="preserve">-1</w:t>
      </w:r>
      <w:r>
        <w:t xml:space="preserve">.</w:t>
      </w:r>
    </w:p>
    <w:p>
      <w:pPr>
        <w:pStyle w:val="BodyText"/>
      </w:pPr>
      <w:r>
        <w:t xml:space="preserve">Total community biomass estimates ranged from 5.3 to 347.58</w:t>
      </w:r>
    </w:p>
    <w:p>
      <w:pPr>
        <w:pStyle w:val="BodyText"/>
      </w:pPr>
      <w:r>
        <w:t xml:space="preserve">To explore drivers of over- or under-yielding,</w:t>
      </w:r>
    </w:p>
    <w:bookmarkEnd w:id="63"/>
    <w:bookmarkStart w:id="65" w:name="references"/>
    <w:p>
      <w:pPr>
        <w:pStyle w:val="Heading1"/>
      </w:pPr>
      <w:r>
        <w:t xml:space="preserve">References</w:t>
      </w:r>
    </w:p>
    <w:bookmarkStart w:id="64" w:name="refs"/>
    <w:bookmarkEnd w:id="64"/>
    <w:p>
      <w:r>
        <w:br w:type="page"/>
      </w:r>
    </w:p>
    <w:bookmarkEnd w:id="65"/>
    <w:bookmarkStart w:id="71" w:name="appendix"/>
    <w:p>
      <w:pPr>
        <w:pStyle w:val="Heading1"/>
      </w:pPr>
      <w:r>
        <w:t xml:space="preserve">Appendix</w:t>
      </w:r>
    </w:p>
    <w:bookmarkStart w:id="66" w:name="body-size-treatment"/>
    <w:p>
      <w:pPr>
        <w:pStyle w:val="Heading2"/>
      </w:pPr>
      <w:r>
        <w:t xml:space="preserve">Body size treatment</w:t>
      </w:r>
    </w:p>
    <w:p>
      <w:pPr>
        <w:pStyle w:val="FirstParagraph"/>
      </w:pPr>
      <w:r>
        <w:t xml:space="preserve">While the calculation of total abundance is straightforward, estimating mean body size of the community can be done in multiple ways: 1) by taking the mean of all individuals (i.e., abundance-weighted mean), by calculating the relative biomass of each body size and using this to weight body size by relative biomass (i.e., biomass-weighted), and lastly to correct each mass to metabolic mass (</w:t>
      </w:r>
      <w:r>
        <w:rPr>
          <w:i/>
          <w:iCs/>
        </w:rPr>
        <w:t xml:space="preserve">M</w:t>
      </w:r>
      <w:r>
        <w:rPr>
          <w:vertAlign w:val="superscript"/>
        </w:rPr>
        <w:t xml:space="preserve">0.75</w:t>
      </w:r>
      <w:r>
        <w:t xml:space="preserve">) and take the abundance- or biomass-weighted mean of these corrected body sizes. The theorized relationship between abundance and body size in</w:t>
      </w:r>
      <w:r>
        <w:t xml:space="preserve"> </w:t>
      </w:r>
      <m:oMath>
        <m:r>
          <m:t>N</m:t>
        </m:r>
        <m:r>
          <m:rPr>
            <m:sty m:val="p"/>
          </m:rPr>
          <m:t>∝</m:t>
        </m:r>
        <m:r>
          <m:t>M</m:t>
        </m:r>
      </m:oMath>
      <w:r>
        <w:t xml:space="preserve"> </w:t>
      </w:r>
      <w:r>
        <w:t xml:space="preserve">is based on energy use, i.e. metabolism, and metabolism scales non-linearly with body size, therefore, the metabolic correction is most appropriate</w:t>
      </w:r>
      <w:r>
        <w:t xml:space="preserve"> </w:t>
      </w:r>
      <w:r>
        <w:t xml:space="preserve">(</w:t>
      </w:r>
      <w:r>
        <w:rPr>
          <w:b/>
          <w:bCs/>
        </w:rPr>
        <w:t xml:space="preserve">white2007?</w:t>
      </w:r>
      <w:r>
        <w:t xml:space="preserve">)</w:t>
      </w:r>
      <w:r>
        <w:t xml:space="preserve">. These differences can have significant influence on the community biomass estimates (Figure S1).</w:t>
      </w:r>
    </w:p>
    <w:bookmarkEnd w:id="66"/>
    <w:bookmarkStart w:id="70" w:name="pareto-extrapolation"/>
    <w:p>
      <w:pPr>
        <w:pStyle w:val="Heading2"/>
      </w:pPr>
      <w:r>
        <w:t xml:space="preserve">Pareto extrapolation</w:t>
      </w:r>
    </w:p>
    <w:p>
      <w:pPr>
        <w:pStyle w:val="FirstParagraph"/>
      </w:pPr>
      <w:r>
        <w:drawing>
          <wp:inline>
            <wp:extent cx="4620126" cy="3696101"/>
            <wp:effectExtent b="0" l="0" r="0" t="0"/>
            <wp:docPr descr="" title="" id="68" name="Picture"/>
            <a:graphic>
              <a:graphicData uri="http://schemas.openxmlformats.org/drawingml/2006/picture">
                <pic:pic>
                  <pic:nvPicPr>
                    <pic:cNvPr descr="ISD-CCSR_ms_files/figure-docx/pareto%20extrapolati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sectPr w:rsidR="008935F9" w:rsidSect="00C446BA">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8988140"/>
      <w:docPartObj>
        <w:docPartGallery w:val="Watermarks"/>
        <w:docPartUnique/>
      </w:docPartObj>
    </w:sdtPr>
    <w:sdtEndPr/>
    <w:sdtContent>
      <w:p w:rsidR="00AA02EB" w:rsidRDefault="00F31F8B">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2049"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5DF0468E"/>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FFFFFF7C"/>
    <w:multiLevelType w:val="singleLevel"/>
    <w:tmpl w:val="E57C68F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7E5484"/>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56161352"/>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C49E9D98"/>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1ED4FDDA"/>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61F68962"/>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CF4C2A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0A26922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48A66958"/>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8F2851C"/>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BB1C9B1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10"/>
  </w:num>
  <w:num w:numId="6">
    <w:abstractNumId w:val="8"/>
  </w:num>
  <w:num w:numId="7">
    <w:abstractNumId w:val="7"/>
  </w:num>
  <w:num w:numId="8">
    <w:abstractNumId w:val="6"/>
  </w:num>
  <w:num w:numId="9">
    <w:abstractNumId w:val="5"/>
  </w:num>
  <w:num w:numId="10">
    <w:abstractNumId w:val="9"/>
  </w:num>
  <w:num w:numId="11">
    <w:abstractNumId w:val="4"/>
  </w:num>
  <w:num w:numId="12">
    <w:abstractNumId w:val="3"/>
  </w:num>
  <w:num w:numId="13">
    <w:abstractNumId w:val="2"/>
  </w:num>
  <w:num w:numId="14">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o:shapelayout v:ext="edit">
      <o:idmap data="2"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21A2E"/>
    <w:rsid w:val="001358D3"/>
    <w:rsid w:val="004E29B3"/>
    <w:rsid w:val="00590D07"/>
    <w:rsid w:val="00784D58"/>
    <w:rsid w:val="008935F9"/>
    <w:rsid w:val="008D6863"/>
    <w:rsid w:val="00980234"/>
    <w:rsid w:val="00A601B3"/>
    <w:rsid w:val="00AA02EB"/>
    <w:rsid w:val="00B86B75"/>
    <w:rsid w:val="00BC48D5"/>
    <w:rsid w:val="00C36279"/>
    <w:rsid w:val="00C446BA"/>
    <w:rsid w:val="00E315A3"/>
    <w:rsid w:val="00F31F8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C446BA"/>
    <w:pPr>
      <w:keepNext/>
      <w:keepLines/>
      <w:spacing w:after="240" w:before="120"/>
      <w:outlineLvl w:val="0"/>
    </w:pPr>
    <w:rPr>
      <w:rFonts w:ascii="Times New Roman" w:cs="Times New Roman" w:eastAsiaTheme="majorEastAsia" w:hAnsi="Times New Roman"/>
      <w:b/>
      <w:bCs/>
      <w:sz w:val="28"/>
      <w:szCs w:val="32"/>
    </w:rPr>
  </w:style>
  <w:style w:styleId="Heading2" w:type="paragraph">
    <w:name w:val="heading 2"/>
    <w:basedOn w:val="Normal"/>
    <w:next w:val="BodyText"/>
    <w:uiPriority w:val="9"/>
    <w:unhideWhenUsed/>
    <w:qFormat/>
    <w:rsid w:val="00C446BA"/>
    <w:pPr>
      <w:keepNext/>
      <w:keepLines/>
      <w:spacing w:after="240" w:before="120"/>
      <w:outlineLvl w:val="1"/>
    </w:pPr>
    <w:rPr>
      <w:rFonts w:ascii="Times New Roman" w:cs="Times New Roman" w:eastAsiaTheme="majorEastAsia" w:hAnsi="Times New Roman"/>
      <w:bCs/>
      <w:u w:val="single"/>
    </w:rPr>
  </w:style>
  <w:style w:styleId="Heading3" w:type="paragraph">
    <w:name w:val="heading 3"/>
    <w:basedOn w:val="Normal"/>
    <w:next w:val="BodyText"/>
    <w:uiPriority w:val="9"/>
    <w:unhideWhenUsed/>
    <w:qFormat/>
    <w:rsid w:val="00C446BA"/>
    <w:pPr>
      <w:keepNext/>
      <w:keepLines/>
      <w:spacing w:after="240" w:before="120"/>
      <w:outlineLvl w:val="2"/>
    </w:pPr>
    <w:rPr>
      <w:rFonts w:ascii="Times New Roman" w:cs="Times New Roman" w:eastAsiaTheme="majorEastAsia" w:hAnsi="Times New Roman"/>
      <w:bCs/>
      <w:i/>
      <w:color w:themeColor="text1" w:val="000000"/>
    </w:rPr>
  </w:style>
  <w:style w:styleId="Heading4" w:type="paragraph">
    <w:name w:val="heading 4"/>
    <w:basedOn w:val="Normal"/>
    <w:next w:val="BodyText"/>
    <w:uiPriority w:val="9"/>
    <w:unhideWhenUsed/>
    <w:qFormat/>
    <w:rsid w:val="00121A2E"/>
    <w:pPr>
      <w:keepNext/>
      <w:keepLines/>
      <w:spacing w:after="0" w:before="200"/>
      <w:outlineLvl w:val="3"/>
    </w:pPr>
    <w:rPr>
      <w:rFonts w:ascii="Times New Roman" w:cs="Times New Roman" w:eastAsiaTheme="majorEastAsia" w:hAnsi="Times New Roman"/>
      <w:bCs/>
      <w:i/>
      <w:color w:themeColor="text1" w:val="000000"/>
      <w:u w:val="single"/>
    </w:rPr>
  </w:style>
  <w:style w:styleId="Heading5" w:type="paragraph">
    <w:name w:val="heading 5"/>
    <w:basedOn w:val="Normal"/>
    <w:next w:val="BodyText"/>
    <w:uiPriority w:val="9"/>
    <w:unhideWhenUsed/>
    <w:qFormat/>
    <w:rsid w:val="00121A2E"/>
    <w:pPr>
      <w:keepNext/>
      <w:keepLines/>
      <w:spacing w:after="0" w:before="200"/>
      <w:outlineLvl w:val="4"/>
    </w:pPr>
    <w:rPr>
      <w:rFonts w:ascii="Times New Roman" w:cs="Times New Roman"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C446BA"/>
    <w:pPr>
      <w:spacing w:after="180" w:before="180" w:line="480" w:lineRule="auto"/>
      <w:ind w:firstLine="360"/>
    </w:pPr>
    <w:rPr>
      <w:rFonts w:ascii="Times New Roman" w:cs="Times New Roman" w:hAnsi="Times New Roman"/>
    </w:rPr>
  </w:style>
  <w:style w:customStyle="1" w:styleId="FirstParagraph" w:type="paragraph">
    <w:name w:val="First Paragraph"/>
    <w:basedOn w:val="BodyText"/>
    <w:next w:val="BodyText"/>
    <w:qFormat/>
    <w:rsid w:val="00C446BA"/>
  </w:style>
  <w:style w:customStyle="1" w:styleId="Compact" w:type="paragraph">
    <w:name w:val="Compact"/>
    <w:basedOn w:val="BodyText"/>
    <w:qFormat/>
    <w:pPr>
      <w:spacing w:after="36" w:before="36"/>
    </w:pPr>
  </w:style>
  <w:style w:styleId="Title" w:type="paragraph">
    <w:name w:val="Title"/>
    <w:basedOn w:val="Normal"/>
    <w:next w:val="BodyText"/>
    <w:qFormat/>
    <w:rsid w:val="00121A2E"/>
    <w:pPr>
      <w:keepNext/>
      <w:keepLines/>
      <w:spacing w:after="240" w:before="480"/>
      <w:jc w:val="center"/>
    </w:pPr>
    <w:rPr>
      <w:rFonts w:ascii="Times New Roman" w:cs="Times New Roman" w:eastAsiaTheme="majorEastAsia" w:hAnsi="Times New Roman"/>
      <w:b/>
      <w:bCs/>
      <w:i/>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980234"/>
    <w:pPr>
      <w:keepNext/>
      <w:keepLines/>
    </w:pPr>
    <w:rPr>
      <w:rFonts w:ascii="Times New Roman" w:hAnsi="Times New Roman"/>
    </w:rPr>
  </w:style>
  <w:style w:styleId="Date" w:type="paragraph">
    <w:name w:val="Date"/>
    <w:next w:val="BodyText"/>
    <w:qFormat/>
    <w:rsid w:val="00980234"/>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121A2E"/>
    <w:rPr>
      <w:rFonts w:asciiTheme="majorHAnsi" w:cs="Times New Roman" w:hAnsiTheme="majorHAnsi"/>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121A2E"/>
    <w:rPr>
      <w:color w:themeColor="text1" w:val="000000"/>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hAnsiTheme="majorHAnsi"/>
      <w:b w:val="0"/>
      <w:bCs w:val="0"/>
      <w:color w:themeColor="accent1" w:themeShade="BF" w:val="365F91"/>
    </w:rPr>
  </w:style>
  <w:style w:customStyle="1" w:styleId="SourceCode" w:type="paragraph">
    <w:name w:val="Source Code"/>
    <w:basedOn w:val="BodyText"/>
    <w:link w:val="VerbatimChar"/>
    <w:rsid w:val="00121A2E"/>
    <w:rPr>
      <w:rFonts w:asciiTheme="majorHAnsi" w:hAnsiTheme="majorHAnsi"/>
    </w:rPr>
  </w:style>
  <w:style w:customStyle="1" w:styleId="KeywordTok" w:type="character">
    <w:name w:val="KeywordTok"/>
    <w:basedOn w:val="VerbatimChar"/>
    <w:rPr>
      <w:rFonts w:asciiTheme="majorHAnsi" w:cs="Times New Roman" w:hAnsiTheme="majorHAnsi"/>
      <w:b/>
      <w:color w:val="204A87"/>
      <w:shd w:color="auto" w:fill="F8F8F8" w:val="clear"/>
    </w:rPr>
  </w:style>
  <w:style w:customStyle="1" w:styleId="DataTypeTok" w:type="character">
    <w:name w:val="DataTypeTok"/>
    <w:basedOn w:val="VerbatimChar"/>
    <w:rPr>
      <w:rFonts w:asciiTheme="majorHAnsi" w:cs="Times New Roman" w:hAnsiTheme="majorHAnsi"/>
      <w:color w:val="204A87"/>
      <w:shd w:color="auto" w:fill="F8F8F8" w:val="clear"/>
    </w:rPr>
  </w:style>
  <w:style w:customStyle="1" w:styleId="DecValTok" w:type="character">
    <w:name w:val="DecValTok"/>
    <w:basedOn w:val="VerbatimChar"/>
    <w:rPr>
      <w:rFonts w:asciiTheme="majorHAnsi" w:cs="Times New Roman" w:hAnsiTheme="majorHAnsi"/>
      <w:color w:val="0000CF"/>
      <w:shd w:color="auto" w:fill="F8F8F8" w:val="clear"/>
    </w:rPr>
  </w:style>
  <w:style w:customStyle="1" w:styleId="BaseNTok" w:type="character">
    <w:name w:val="BaseNTok"/>
    <w:basedOn w:val="VerbatimChar"/>
    <w:rPr>
      <w:rFonts w:asciiTheme="majorHAnsi" w:cs="Times New Roman" w:hAnsiTheme="majorHAnsi"/>
      <w:color w:val="0000CF"/>
      <w:shd w:color="auto" w:fill="F8F8F8" w:val="clear"/>
    </w:rPr>
  </w:style>
  <w:style w:customStyle="1" w:styleId="FloatTok" w:type="character">
    <w:name w:val="FloatTok"/>
    <w:basedOn w:val="VerbatimChar"/>
    <w:rPr>
      <w:rFonts w:asciiTheme="majorHAnsi" w:cs="Times New Roman" w:hAnsiTheme="majorHAnsi"/>
      <w:color w:val="0000CF"/>
      <w:shd w:color="auto" w:fill="F8F8F8" w:val="clear"/>
    </w:rPr>
  </w:style>
  <w:style w:customStyle="1" w:styleId="ConstantTok" w:type="character">
    <w:name w:val="ConstantTok"/>
    <w:basedOn w:val="VerbatimChar"/>
    <w:rPr>
      <w:rFonts w:asciiTheme="majorHAnsi" w:cs="Times New Roman" w:hAnsiTheme="majorHAnsi"/>
      <w:color w:val="000000"/>
      <w:shd w:color="auto" w:fill="F8F8F8" w:val="clear"/>
    </w:rPr>
  </w:style>
  <w:style w:customStyle="1" w:styleId="CharTok" w:type="character">
    <w:name w:val="CharTok"/>
    <w:basedOn w:val="VerbatimChar"/>
    <w:rPr>
      <w:rFonts w:asciiTheme="majorHAnsi" w:cs="Times New Roman" w:hAnsiTheme="majorHAnsi"/>
      <w:color w:val="4E9A06"/>
      <w:shd w:color="auto" w:fill="F8F8F8" w:val="clear"/>
    </w:rPr>
  </w:style>
  <w:style w:customStyle="1" w:styleId="SpecialCharTok" w:type="character">
    <w:name w:val="SpecialCharTok"/>
    <w:basedOn w:val="VerbatimChar"/>
    <w:rPr>
      <w:rFonts w:asciiTheme="majorHAnsi" w:cs="Times New Roman" w:hAnsiTheme="majorHAnsi"/>
      <w:color w:val="000000"/>
      <w:shd w:color="auto" w:fill="F8F8F8" w:val="clear"/>
    </w:rPr>
  </w:style>
  <w:style w:customStyle="1" w:styleId="StringTok" w:type="character">
    <w:name w:val="StringTok"/>
    <w:basedOn w:val="VerbatimChar"/>
    <w:rPr>
      <w:rFonts w:asciiTheme="majorHAnsi" w:cs="Times New Roman" w:hAnsiTheme="majorHAnsi"/>
      <w:color w:val="4E9A06"/>
      <w:shd w:color="auto" w:fill="F8F8F8" w:val="clear"/>
    </w:rPr>
  </w:style>
  <w:style w:customStyle="1" w:styleId="VerbatimStringTok" w:type="character">
    <w:name w:val="VerbatimStringTok"/>
    <w:basedOn w:val="VerbatimChar"/>
    <w:rPr>
      <w:rFonts w:asciiTheme="majorHAnsi" w:cs="Times New Roman" w:hAnsiTheme="majorHAnsi"/>
      <w:color w:val="4E9A06"/>
      <w:shd w:color="auto" w:fill="F8F8F8" w:val="clear"/>
    </w:rPr>
  </w:style>
  <w:style w:customStyle="1" w:styleId="SpecialStringTok" w:type="character">
    <w:name w:val="SpecialStringTok"/>
    <w:basedOn w:val="VerbatimChar"/>
    <w:rPr>
      <w:rFonts w:asciiTheme="majorHAnsi" w:cs="Times New Roman" w:hAnsiTheme="majorHAnsi"/>
      <w:color w:val="4E9A06"/>
      <w:shd w:color="auto" w:fill="F8F8F8" w:val="clear"/>
    </w:rPr>
  </w:style>
  <w:style w:customStyle="1" w:styleId="ImportTok" w:type="character">
    <w:name w:val="ImportTok"/>
    <w:basedOn w:val="VerbatimChar"/>
    <w:rPr>
      <w:rFonts w:asciiTheme="majorHAnsi" w:cs="Times New Roman" w:hAnsiTheme="majorHAnsi"/>
      <w:shd w:color="auto" w:fill="F8F8F8" w:val="clear"/>
    </w:rPr>
  </w:style>
  <w:style w:customStyle="1" w:styleId="CommentTok" w:type="character">
    <w:name w:val="CommentTok"/>
    <w:basedOn w:val="VerbatimChar"/>
    <w:rPr>
      <w:rFonts w:asciiTheme="majorHAnsi" w:cs="Times New Roman" w:hAnsiTheme="majorHAnsi"/>
      <w:i/>
      <w:color w:val="8F5902"/>
      <w:shd w:color="auto" w:fill="F8F8F8" w:val="clear"/>
    </w:rPr>
  </w:style>
  <w:style w:customStyle="1" w:styleId="DocumentationTok" w:type="character">
    <w:name w:val="DocumentationTok"/>
    <w:basedOn w:val="VerbatimChar"/>
    <w:rPr>
      <w:rFonts w:asciiTheme="majorHAnsi" w:cs="Times New Roman" w:hAnsiTheme="majorHAnsi"/>
      <w:b/>
      <w:i/>
      <w:color w:val="8F5902"/>
      <w:shd w:color="auto" w:fill="F8F8F8" w:val="clear"/>
    </w:rPr>
  </w:style>
  <w:style w:customStyle="1" w:styleId="AnnotationTok" w:type="character">
    <w:name w:val="AnnotationTok"/>
    <w:basedOn w:val="VerbatimChar"/>
    <w:rPr>
      <w:rFonts w:asciiTheme="majorHAnsi" w:cs="Times New Roman" w:hAnsiTheme="majorHAnsi"/>
      <w:b/>
      <w:i/>
      <w:color w:val="8F5902"/>
      <w:shd w:color="auto" w:fill="F8F8F8" w:val="clear"/>
    </w:rPr>
  </w:style>
  <w:style w:customStyle="1" w:styleId="CommentVarTok" w:type="character">
    <w:name w:val="CommentVarTok"/>
    <w:basedOn w:val="VerbatimChar"/>
    <w:rPr>
      <w:rFonts w:asciiTheme="majorHAnsi" w:cs="Times New Roman" w:hAnsiTheme="majorHAnsi"/>
      <w:b/>
      <w:i/>
      <w:color w:val="8F5902"/>
      <w:shd w:color="auto" w:fill="F8F8F8" w:val="clear"/>
    </w:rPr>
  </w:style>
  <w:style w:customStyle="1" w:styleId="OtherTok" w:type="character">
    <w:name w:val="OtherTok"/>
    <w:basedOn w:val="VerbatimChar"/>
    <w:rPr>
      <w:rFonts w:asciiTheme="majorHAnsi" w:cs="Times New Roman" w:hAnsiTheme="majorHAnsi"/>
      <w:color w:val="8F5902"/>
      <w:shd w:color="auto" w:fill="F8F8F8" w:val="clear"/>
    </w:rPr>
  </w:style>
  <w:style w:customStyle="1" w:styleId="FunctionTok" w:type="character">
    <w:name w:val="FunctionTok"/>
    <w:basedOn w:val="VerbatimChar"/>
    <w:rPr>
      <w:rFonts w:asciiTheme="majorHAnsi" w:cs="Times New Roman" w:hAnsiTheme="majorHAnsi"/>
      <w:color w:val="000000"/>
      <w:shd w:color="auto" w:fill="F8F8F8" w:val="clear"/>
    </w:rPr>
  </w:style>
  <w:style w:customStyle="1" w:styleId="VariableTok" w:type="character">
    <w:name w:val="VariableTok"/>
    <w:basedOn w:val="VerbatimChar"/>
    <w:rPr>
      <w:rFonts w:asciiTheme="majorHAnsi" w:cs="Times New Roman" w:hAnsiTheme="majorHAnsi"/>
      <w:color w:val="000000"/>
      <w:shd w:color="auto" w:fill="F8F8F8" w:val="clear"/>
    </w:rPr>
  </w:style>
  <w:style w:customStyle="1" w:styleId="ControlFlowTok" w:type="character">
    <w:name w:val="ControlFlowTok"/>
    <w:basedOn w:val="VerbatimChar"/>
    <w:rPr>
      <w:rFonts w:asciiTheme="majorHAnsi" w:cs="Times New Roman" w:hAnsiTheme="majorHAnsi"/>
      <w:b/>
      <w:color w:val="204A87"/>
      <w:shd w:color="auto" w:fill="F8F8F8" w:val="clear"/>
    </w:rPr>
  </w:style>
  <w:style w:customStyle="1" w:styleId="OperatorTok" w:type="character">
    <w:name w:val="OperatorTok"/>
    <w:basedOn w:val="VerbatimChar"/>
    <w:rPr>
      <w:rFonts w:asciiTheme="majorHAnsi" w:cs="Times New Roman" w:hAnsiTheme="majorHAnsi"/>
      <w:b/>
      <w:color w:val="CE5C00"/>
      <w:shd w:color="auto" w:fill="F8F8F8" w:val="clear"/>
    </w:rPr>
  </w:style>
  <w:style w:customStyle="1" w:styleId="BuiltInTok" w:type="character">
    <w:name w:val="BuiltInTok"/>
    <w:basedOn w:val="VerbatimChar"/>
    <w:rPr>
      <w:rFonts w:asciiTheme="majorHAnsi" w:cs="Times New Roman" w:hAnsiTheme="majorHAnsi"/>
      <w:shd w:color="auto" w:fill="F8F8F8" w:val="clear"/>
    </w:rPr>
  </w:style>
  <w:style w:customStyle="1" w:styleId="ExtensionTok" w:type="character">
    <w:name w:val="ExtensionTok"/>
    <w:basedOn w:val="VerbatimChar"/>
    <w:rPr>
      <w:rFonts w:asciiTheme="majorHAnsi" w:cs="Times New Roman" w:hAnsiTheme="majorHAnsi"/>
      <w:shd w:color="auto" w:fill="F8F8F8" w:val="clear"/>
    </w:rPr>
  </w:style>
  <w:style w:customStyle="1" w:styleId="PreprocessorTok" w:type="character">
    <w:name w:val="PreprocessorTok"/>
    <w:basedOn w:val="VerbatimChar"/>
    <w:rPr>
      <w:rFonts w:asciiTheme="majorHAnsi" w:cs="Times New Roman" w:hAnsiTheme="majorHAnsi"/>
      <w:i/>
      <w:color w:val="8F5902"/>
      <w:shd w:color="auto" w:fill="F8F8F8" w:val="clear"/>
    </w:rPr>
  </w:style>
  <w:style w:customStyle="1" w:styleId="AttributeTok" w:type="character">
    <w:name w:val="AttributeTok"/>
    <w:basedOn w:val="VerbatimChar"/>
    <w:rPr>
      <w:rFonts w:asciiTheme="majorHAnsi" w:cs="Times New Roman" w:hAnsiTheme="majorHAnsi"/>
      <w:color w:val="C4A000"/>
      <w:shd w:color="auto" w:fill="F8F8F8" w:val="clear"/>
    </w:rPr>
  </w:style>
  <w:style w:customStyle="1" w:styleId="RegionMarkerTok" w:type="character">
    <w:name w:val="RegionMarkerTok"/>
    <w:basedOn w:val="VerbatimChar"/>
    <w:rPr>
      <w:rFonts w:asciiTheme="majorHAnsi" w:cs="Times New Roman" w:hAnsiTheme="majorHAnsi"/>
      <w:shd w:color="auto" w:fill="F8F8F8" w:val="clear"/>
    </w:rPr>
  </w:style>
  <w:style w:customStyle="1" w:styleId="InformationTok" w:type="character">
    <w:name w:val="InformationTok"/>
    <w:basedOn w:val="VerbatimChar"/>
    <w:rPr>
      <w:rFonts w:asciiTheme="majorHAnsi" w:cs="Times New Roman" w:hAnsiTheme="majorHAnsi"/>
      <w:b/>
      <w:i/>
      <w:color w:val="8F5902"/>
      <w:shd w:color="auto" w:fill="F8F8F8" w:val="clear"/>
    </w:rPr>
  </w:style>
  <w:style w:customStyle="1" w:styleId="WarningTok" w:type="character">
    <w:name w:val="WarningTok"/>
    <w:basedOn w:val="VerbatimChar"/>
    <w:rPr>
      <w:rFonts w:asciiTheme="majorHAnsi" w:cs="Times New Roman" w:hAnsiTheme="majorHAnsi"/>
      <w:b/>
      <w:i/>
      <w:color w:val="8F5902"/>
      <w:shd w:color="auto" w:fill="F8F8F8" w:val="clear"/>
    </w:rPr>
  </w:style>
  <w:style w:customStyle="1" w:styleId="AlertTok" w:type="character">
    <w:name w:val="AlertTok"/>
    <w:basedOn w:val="VerbatimChar"/>
    <w:rPr>
      <w:rFonts w:asciiTheme="majorHAnsi" w:cs="Times New Roman" w:hAnsiTheme="majorHAnsi"/>
      <w:color w:val="EF2929"/>
      <w:shd w:color="auto" w:fill="F8F8F8" w:val="clear"/>
    </w:rPr>
  </w:style>
  <w:style w:customStyle="1" w:styleId="ErrorTok" w:type="character">
    <w:name w:val="ErrorTok"/>
    <w:basedOn w:val="VerbatimChar"/>
    <w:rPr>
      <w:rFonts w:asciiTheme="majorHAnsi" w:cs="Times New Roman" w:hAnsiTheme="majorHAnsi"/>
      <w:b/>
      <w:color w:val="A40000"/>
      <w:shd w:color="auto" w:fill="F8F8F8" w:val="clear"/>
    </w:rPr>
  </w:style>
  <w:style w:customStyle="1" w:styleId="NormalTok" w:type="character">
    <w:name w:val="NormalTok"/>
    <w:basedOn w:val="VerbatimChar"/>
    <w:rPr>
      <w:rFonts w:asciiTheme="majorHAnsi" w:cs="Times New Roman" w:hAnsiTheme="majorHAnsi"/>
      <w:shd w:color="auto" w:fill="F8F8F8" w:val="clear"/>
    </w:rPr>
  </w:style>
  <w:style w:styleId="Header" w:type="paragraph">
    <w:name w:val="header"/>
    <w:basedOn w:val="Normal"/>
    <w:link w:val="HeaderChar"/>
    <w:unhideWhenUsed/>
    <w:rsid w:val="00AA02EB"/>
    <w:pPr>
      <w:tabs>
        <w:tab w:pos="4680" w:val="center"/>
        <w:tab w:pos="9360" w:val="right"/>
      </w:tabs>
      <w:spacing w:after="0"/>
    </w:pPr>
  </w:style>
  <w:style w:customStyle="1" w:styleId="BodyTextChar" w:type="character">
    <w:name w:val="Body Text Char"/>
    <w:basedOn w:val="DefaultParagraphFont"/>
    <w:link w:val="BodyText"/>
    <w:rsid w:val="00C446BA"/>
    <w:rPr>
      <w:rFonts w:ascii="Times New Roman" w:cs="Times New Roman" w:hAnsi="Times New Roman"/>
    </w:rPr>
  </w:style>
  <w:style w:customStyle="1" w:styleId="HeaderChar" w:type="character">
    <w:name w:val="Header Char"/>
    <w:basedOn w:val="DefaultParagraphFont"/>
    <w:link w:val="Header"/>
    <w:rsid w:val="00AA02EB"/>
  </w:style>
  <w:style w:styleId="Footer" w:type="paragraph">
    <w:name w:val="footer"/>
    <w:basedOn w:val="Normal"/>
    <w:link w:val="FooterChar"/>
    <w:unhideWhenUsed/>
    <w:rsid w:val="00AA02EB"/>
    <w:pPr>
      <w:tabs>
        <w:tab w:pos="4680" w:val="center"/>
        <w:tab w:pos="9360" w:val="right"/>
      </w:tabs>
      <w:spacing w:after="0"/>
    </w:pPr>
  </w:style>
  <w:style w:customStyle="1" w:styleId="FooterChar" w:type="character">
    <w:name w:val="Footer Char"/>
    <w:basedOn w:val="DefaultParagraphFont"/>
    <w:link w:val="Footer"/>
    <w:rsid w:val="00AA02EB"/>
  </w:style>
  <w:style w:styleId="LineNumber" w:type="character">
    <w:name w:val="line number"/>
    <w:basedOn w:val="DefaultParagraphFont"/>
    <w:semiHidden/>
    <w:unhideWhenUsed/>
    <w:rsid w:val="00C446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20" Target="mailto:james.junker@unt.edu" TargetMode="External" /></Relationships>
</file>

<file path=word/_rels/footnotes.xml.rels><?xml version="1.0" encoding="UTF-8"?><Relationships xmlns="http://schemas.openxmlformats.org/package/2006/relationships"><Relationship Type="http://schemas.openxmlformats.org/officeDocument/2006/relationships/hyperlink" Id="rId20" Target="mailto:james.junker@un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193</Words>
  <Characters>1101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Your basic word tempate</vt:lpstr>
    </vt:vector>
  </TitlesOfParts>
  <Company/>
  <LinksUpToDate>false</LinksUpToDate>
  <CharactersWithSpaces>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James R. Junker1,2,✉, Jeff S. Wesner3, Justin Pomeranz4, and Vojsava Gjoni5</dc:creator>
  <cp:keywords/>
  <dcterms:created xsi:type="dcterms:W3CDTF">2026-03-12T21:09:52Z</dcterms:created>
  <dcterms:modified xsi:type="dcterms:W3CDTF">2026-03-12T21:09:52Z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supp_refs.bib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ecology.csl</vt:lpwstr>
  </property>
  <property fmtid="{D5CDD505-2E9C-101B-9397-08002B2CF9AE}" pid="15" name="date">
    <vt:lpwstr>2026-03-12</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header-includes">
    <vt:lpwstr/>
  </property>
  <property fmtid="{D5CDD505-2E9C-101B-9397-08002B2CF9AE}" pid="32" name="indent">
    <vt:lpwstr>True</vt:lpwstr>
  </property>
  <property fmtid="{D5CDD505-2E9C-101B-9397-08002B2CF9AE}" pid="33" name="lastDelim">
    <vt:lpwstr>, </vt:lpwstr>
  </property>
  <property fmtid="{D5CDD505-2E9C-101B-9397-08002B2CF9AE}" pid="34" name="linestretch">
    <vt:lpwstr>1</vt:lpwstr>
  </property>
  <property fmtid="{D5CDD505-2E9C-101B-9397-08002B2CF9AE}" pid="35" name="link-citations">
    <vt:lpwstr>False</vt:lpwstr>
  </property>
  <property fmtid="{D5CDD505-2E9C-101B-9397-08002B2CF9AE}" pid="36" name="link-color">
    <vt:lpwstr>grey</vt:lpwstr>
  </property>
  <property fmtid="{D5CDD505-2E9C-101B-9397-08002B2CF9AE}" pid="37" name="linkReferences">
    <vt:lpwstr>False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False</vt:lpwstr>
  </property>
  <property fmtid="{D5CDD505-2E9C-101B-9397-08002B2CF9AE}" pid="55" name="numberSections">
    <vt:lpwstr>False</vt:lpwstr>
  </property>
  <property fmtid="{D5CDD505-2E9C-101B-9397-08002B2CF9AE}" pid="56" name="output">
    <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