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warming</w:t>
      </w:r>
      <w:r>
        <w:t xml:space="preserve"> </w:t>
      </w:r>
      <w:r>
        <w:t xml:space="preserve">increases</w:t>
      </w:r>
      <w:r>
        <w:t xml:space="preserve"> </w:t>
      </w:r>
      <w:r>
        <w:t xml:space="preserve">the</w:t>
      </w:r>
      <w:r>
        <w:t xml:space="preserve"> </w:t>
      </w:r>
      <w:r>
        <w:t xml:space="preserve">importance</w:t>
      </w:r>
      <w:r>
        <w:t xml:space="preserve"> </w:t>
      </w:r>
      <w:r>
        <w:t xml:space="preserve">of</w:t>
      </w:r>
      <w:r>
        <w:t xml:space="preserve"> </w:t>
      </w:r>
      <w:r>
        <w:t xml:space="preserve">high-turnover</w:t>
      </w:r>
      <w:r>
        <w:t xml:space="preserve"> </w:t>
      </w:r>
      <w:r>
        <w:t xml:space="preserve">energy</w:t>
      </w:r>
      <w:r>
        <w:t xml:space="preserve"> </w:t>
      </w:r>
      <w:r>
        <w:t xml:space="preserve">channels</w:t>
      </w:r>
      <w:r>
        <w:t xml:space="preserve"> </w:t>
      </w:r>
      <w:r>
        <w:t xml:space="preserve">in</w:t>
      </w:r>
      <w:r>
        <w:t xml:space="preserve"> </w:t>
      </w:r>
      <w:r>
        <w:t xml:space="preserve">stream</w:t>
      </w:r>
      <w:r>
        <w:t xml:space="preserve"> </w:t>
      </w:r>
      <w:r>
        <w:t xml:space="preserve">food</w:t>
      </w:r>
      <w:r>
        <w:t xml:space="preserve"> </w:t>
      </w:r>
      <w:r>
        <w:t xml:space="preserve">webs</w:t>
      </w:r>
    </w:p>
    <w:p>
      <w:pPr>
        <w:pStyle w:val="Author"/>
      </w:pPr>
      <w:r>
        <w:t xml:space="preserve">James</w:t>
      </w:r>
      <w:r>
        <w:t xml:space="preserve"> </w:t>
      </w:r>
      <w:r>
        <w:t xml:space="preserve">R.</w:t>
      </w:r>
      <w:r>
        <w:t xml:space="preserve"> </w:t>
      </w:r>
      <w:r>
        <w:t xml:space="preserve">Junker</w:t>
      </w:r>
      <w:r>
        <w:t xml:space="preserve">,</w:t>
      </w:r>
      <w:r>
        <w:t xml:space="preserve"> </w:t>
      </w:r>
      <w:r>
        <w:t xml:space="preserve">Wyatt</w:t>
      </w:r>
      <w:r>
        <w:t xml:space="preserve"> </w:t>
      </w:r>
      <w:r>
        <w:t xml:space="preserve">F.</w:t>
      </w:r>
      <w:r>
        <w:t xml:space="preserve"> </w:t>
      </w:r>
      <w:r>
        <w:t xml:space="preserve">Cross</w:t>
      </w:r>
      <w:r>
        <w:t xml:space="preserve">,</w:t>
      </w:r>
      <w:r>
        <w:t xml:space="preserve"> </w:t>
      </w:r>
      <w:r>
        <w:t xml:space="preserve">James</w:t>
      </w:r>
      <w:r>
        <w:t xml:space="preserve"> </w:t>
      </w:r>
      <w:r>
        <w:t xml:space="preserve">M.</w:t>
      </w:r>
      <w:r>
        <w:t xml:space="preserve"> </w:t>
      </w:r>
      <w:r>
        <w:t xml:space="preserve">Hood</w:t>
      </w:r>
      <w:r>
        <w:t xml:space="preserve">,</w:t>
      </w:r>
      <w:r>
        <w:t xml:space="preserve"> </w:t>
      </w:r>
      <w:r>
        <w:t xml:space="preserve">Jonathan</w:t>
      </w:r>
      <w:r>
        <w:t xml:space="preserve"> </w:t>
      </w:r>
      <w:r>
        <w:t xml:space="preserve">P.</w:t>
      </w:r>
      <w:r>
        <w:t xml:space="preserve"> </w:t>
      </w:r>
      <w:r>
        <w:t xml:space="preserve">Benstead</w:t>
      </w:r>
      <w:r>
        <w:t xml:space="preserve">,</w:t>
      </w:r>
      <w:r>
        <w:t xml:space="preserve"> </w:t>
      </w:r>
      <w:r>
        <w:t xml:space="preserve">Alexander</w:t>
      </w:r>
      <w:r>
        <w:t xml:space="preserve"> </w:t>
      </w:r>
      <w:r>
        <w:t xml:space="preserve">D.</w:t>
      </w:r>
      <w:r>
        <w:t xml:space="preserve"> </w:t>
      </w:r>
      <w:r>
        <w:t xml:space="preserve">Huryn</w:t>
      </w:r>
      <w:r>
        <w:t xml:space="preserve">,</w:t>
      </w:r>
      <w:r>
        <w:t xml:space="preserve"> </w:t>
      </w:r>
      <w:r>
        <w:t xml:space="preserve">Daniel</w:t>
      </w:r>
      <w:r>
        <w:t xml:space="preserve"> </w:t>
      </w:r>
      <w:r>
        <w:t xml:space="preserve">Nelson</w:t>
      </w:r>
      <w:r>
        <w:t xml:space="preserve">,</w:t>
      </w:r>
      <w:r>
        <w:t xml:space="preserve"> </w:t>
      </w:r>
      <w:r>
        <w:t xml:space="preserve">Jón</w:t>
      </w:r>
      <w:r>
        <w:t xml:space="preserve"> </w:t>
      </w:r>
      <w:r>
        <w:t xml:space="preserve">S.</w:t>
      </w:r>
      <w:r>
        <w:t xml:space="preserve"> </w:t>
      </w:r>
      <w:r>
        <w:t xml:space="preserve">Ólafsson</w:t>
      </w:r>
      <w:r>
        <w:t xml:space="preserve">,</w:t>
      </w:r>
      <w:r>
        <w:t xml:space="preserve"> </w:t>
      </w:r>
      <w:r>
        <w:t xml:space="preserve">and</w:t>
      </w:r>
      <w:r>
        <w:t xml:space="preserve"> </w:t>
      </w:r>
      <w:r>
        <w:t xml:space="preserve">Gísli</w:t>
      </w:r>
      <w:r>
        <w:t xml:space="preserve"> </w:t>
      </w:r>
      <w:r>
        <w:t xml:space="preserve">M.</w:t>
      </w:r>
      <w:r>
        <w:t xml:space="preserve"> </w:t>
      </w:r>
      <w:r>
        <w:t xml:space="preserve">Gíslason</w:t>
      </w:r>
    </w:p>
    <w:bookmarkStart w:id="37" w:name="supporting-information-appendix-s1"/>
    <w:p>
      <w:pPr>
        <w:pStyle w:val="Heading2"/>
      </w:pPr>
      <w:r>
        <w:t xml:space="preserve">Supporting Information: Appendix S1</w:t>
      </w:r>
    </w:p>
    <w:bookmarkStart w:id="36" w:name="diet-analysis"/>
    <w:p>
      <w:pPr>
        <w:pStyle w:val="Heading3"/>
      </w:pPr>
      <w:r>
        <w:t xml:space="preserve">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 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 microscope slide, cleared with Type B immersion oil, and covered with a cover slip. We took 5–10 random photographs under 200–400x magnification, depending on the density of particles, using a digital camera mounted on a compound microscope. From these photographs we identified all particles within each field and measured the relative area of particles using image analysis software</w:t>
      </w:r>
      <w:r>
        <w:t xml:space="preserve"> </w:t>
      </w:r>
      <w:r>
        <w:t xml:space="preserve">(Schindelin et al. 2012)</w:t>
      </w:r>
      <w:r>
        <w:t xml:space="preserve">. We classified particles into six categories: diatoms, green and filamentous algae, cyanobacteria, amorphous detritus, vascular and non-vascular plants (e.g., bryophytes), and animal material and then calculated the proportion of each food category in the gut by dividing their summed area by the total area of all particles. Gut 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 hierarchical multivariate model</w:t>
      </w:r>
      <w:r>
        <w:t xml:space="preserve"> </w:t>
      </w:r>
      <w:r>
        <w:t xml:space="preserve">(Fordyce et al. 2011, 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r>
                  <m:t>j</m:t>
                </m:r>
              </m:sub>
            </m:sSub>
          </m:e>
        </m:acc>
      </m:oMath>
      <w:r>
        <w:t xml:space="preserve">, of</w:t>
      </w:r>
    </w:p>
    <w:p>
      <w:pPr>
        <w:pStyle w:val="BodyText"/>
      </w:pPr>
      <m:oMathPara>
        <m:oMathParaPr>
          <m:jc m:val="center"/>
        </m:oMathParaPr>
        <m:oMath>
          <m:acc>
            <m:accPr>
              <m:chr m:val="⃗"/>
            </m:accPr>
            <m:e>
              <m:sSub>
                <m:e>
                  <m:r>
                    <m:t>y</m:t>
                  </m:r>
                </m:e>
                <m:sub>
                  <m:r>
                    <m:t>i</m:t>
                  </m:r>
                  <m:r>
                    <m:t>j</m:t>
                  </m:r>
                </m:sub>
              </m:sSub>
            </m:e>
          </m:acc>
          <m:r>
            <m:rPr>
              <m:sty m:val="p"/>
            </m:rPr>
            <m:t>∼</m:t>
          </m:r>
          <m:r>
            <m:t>M</m:t>
          </m:r>
          <m:r>
            <m:t>u</m:t>
          </m:r>
          <m:r>
            <m:t>l</m:t>
          </m:r>
          <m:r>
            <m:t>t</m:t>
          </m:r>
          <m:r>
            <m:t>i</m:t>
          </m:r>
          <m:r>
            <m:t>n</m:t>
          </m:r>
          <m:r>
            <m:t>o</m:t>
          </m:r>
          <m:r>
            <m:t>m</m:t>
          </m:r>
          <m:r>
            <m:t>i</m:t>
          </m:r>
          <m:r>
            <m:t>a</m:t>
          </m:r>
          <m:r>
            <m:t>l</m:t>
          </m:r>
          <m:d>
            <m:dPr>
              <m:begChr m:val="("/>
              <m:endChr m:val=")"/>
              <m:sepChr m:val=""/>
              <m:grow/>
            </m:dPr>
            <m:e>
              <m:acc>
                <m:accPr>
                  <m:chr m:val="⃗"/>
                </m:accPr>
                <m:e>
                  <m:sSub>
                    <m:e>
                      <m:r>
                        <m:t>p</m:t>
                      </m:r>
                    </m:e>
                    <m:sub>
                      <m:r>
                        <m:t>i</m:t>
                      </m:r>
                      <m:r>
                        <m:t>j</m:t>
                      </m:r>
                    </m:sub>
                  </m:sSub>
                </m:e>
              </m:acc>
              <m:r>
                <m:rPr>
                  <m:sty m:val="p"/>
                </m:rPr>
                <m:t>,</m:t>
              </m:r>
              <m:sSub>
                <m:e>
                  <m:r>
                    <m:t>n</m:t>
                  </m:r>
                </m:e>
                <m:sub>
                  <m:r>
                    <m:t>i</m:t>
                  </m:r>
                  <m:r>
                    <m:t>j</m:t>
                  </m:r>
                </m:sub>
              </m:sSub>
            </m:e>
          </m:d>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d>
            <m:dPr>
              <m:begChr m:val="("/>
              <m:endChr m:val=")"/>
              <m:sepChr m:val=""/>
              <m:grow/>
            </m:dPr>
            <m:e>
              <m:acc>
                <m:accPr>
                  <m:chr m:val="⃗"/>
                </m:accPr>
                <m:e>
                  <m:sSub>
                    <m:e>
                      <m:r>
                        <m:t>q</m:t>
                      </m:r>
                    </m:e>
                    <m:sub>
                      <m:r>
                        <m:t>i</m:t>
                      </m:r>
                    </m:sub>
                  </m:sSub>
                </m:e>
              </m:acc>
              <m:r>
                <m:rPr>
                  <m:sty m:val="p"/>
                </m:rPr>
                <m:t>×</m:t>
              </m:r>
              <m:r>
                <m:t>α</m:t>
              </m:r>
            </m:e>
          </m:d>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d>
            <m:dPr>
              <m:begChr m:val="("/>
              <m:endChr m:val=")"/>
              <m:sepChr m:val=""/>
              <m:grow/>
            </m:dPr>
            <m:e>
              <m:acc>
                <m:accPr>
                  <m:chr m:val="⃗"/>
                </m:accPr>
                <m:e>
                  <m:r>
                    <m:rPr>
                      <m:nor/>
                      <m:sty m:val="b"/>
                    </m:rPr>
                    <m:t>1</m:t>
                  </m:r>
                </m:e>
              </m:acc>
            </m:e>
          </m:d>
        </m:oMath>
      </m:oMathPara>
    </w:p>
    <w:p>
      <w:pPr>
        <w:pStyle w:val="FirstParagraph"/>
      </w:pPr>
      <m:oMathPara>
        <m:oMathParaPr>
          <m:jc m:val="center"/>
        </m:oMathParaPr>
        <m:oMath>
          <m:r>
            <m:t>α</m:t>
          </m:r>
          <m:r>
            <m:rPr>
              <m:sty m:val="p"/>
            </m:rPr>
            <m:t>∼</m:t>
          </m:r>
          <m:r>
            <m:t>U</m:t>
          </m:r>
          <m:r>
            <m:t>n</m:t>
          </m:r>
          <m:r>
            <m:t>i</m:t>
          </m:r>
          <m:r>
            <m:t>f</m:t>
          </m:r>
          <m:r>
            <m:t>o</m:t>
          </m:r>
          <m:r>
            <m:t>r</m:t>
          </m:r>
          <m:r>
            <m:t>m</m:t>
          </m:r>
          <m:d>
            <m:dPr>
              <m:begChr m:val="("/>
              <m:endChr m:val=")"/>
              <m:sepChr m:val=""/>
              <m:grow/>
            </m:dPr>
            <m:e>
              <m:r>
                <m:t>0</m:t>
              </m:r>
              <m:r>
                <m:rPr>
                  <m:sty m:val="p"/>
                </m:rPr>
                <m:t>,</m:t>
              </m:r>
              <m:r>
                <m:rPr>
                  <m:nor/>
                  <m:sty m:val="i"/>
                </m:rPr>
                <m:t>c</m:t>
              </m:r>
            </m:e>
          </m:d>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assumed concentration value.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proportional similarities</w:t>
      </w:r>
      <w:r>
        <w:t xml:space="preserve"> </w:t>
      </w:r>
      <w:r>
        <w:t xml:space="preserve">( </w:t>
      </w:r>
      <w:r>
        <w:rPr>
          <w:iCs/>
          <w:i/>
        </w:rPr>
        <w:t xml:space="preserve">PS</w:t>
      </w:r>
      <w:r>
        <w:t xml:space="preserve">, Whittaker 1952)</w:t>
      </w:r>
      <w:r>
        <w:t xml:space="preserve"> </w:t>
      </w:r>
      <w:r>
        <w:t xml:space="preserve">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d>
                <m:dPr>
                  <m:begChr m:val="|"/>
                  <m:endChr m:val="|"/>
                  <m:sepChr m:val=""/>
                  <m:grow/>
                </m:dPr>
                <m:e>
                  <m:sSub>
                    <m:e>
                      <m:r>
                        <m:t>p</m:t>
                      </m:r>
                    </m:e>
                    <m:sub>
                      <m:r>
                        <m:t>x</m:t>
                      </m:r>
                      <m:r>
                        <m:rPr>
                          <m:sty m:val="p"/>
                        </m:rPr>
                        <m:t>,</m:t>
                      </m:r>
                      <m:r>
                        <m:t>i</m:t>
                      </m:r>
                    </m:sub>
                  </m:sSub>
                  <m:r>
                    <m:rPr>
                      <m:sty m:val="p"/>
                    </m:rPr>
                    <m:t>−</m:t>
                  </m:r>
                  <m:sSub>
                    <m:e>
                      <m:r>
                        <m:t>p</m:t>
                      </m:r>
                    </m:e>
                    <m:sub>
                      <m:r>
                        <m:t>y</m:t>
                      </m:r>
                      <m:r>
                        <m:rPr>
                          <m:sty m:val="p"/>
                        </m:rPr>
                        <m:t>,</m:t>
                      </m:r>
                      <m:r>
                        <m:t>i</m:t>
                      </m:r>
                    </m:sub>
                  </m:sSub>
                </m:e>
              </m:d>
            </m:e>
          </m:nary>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p>
      <w:pPr>
        <w:pStyle w:val="CaptionedFigure"/>
      </w:pPr>
      <w:r>
        <w:drawing>
          <wp:inline>
            <wp:extent cx="4582182" cy="3665746"/>
            <wp:effectExtent b="0" l="0" r="0" t="0"/>
            <wp:docPr descr="Appendix S1:Figure S1. Posterior distributions of site-level diet proportions for consumer communities across the temperature gradient." title="" id="21" name="Picture"/>
            <a:graphic>
              <a:graphicData uri="http://schemas.openxmlformats.org/drawingml/2006/picture">
                <pic:pic>
                  <pic:nvPicPr>
                    <pic:cNvPr descr="Junker_temp-energy-flux_appendixS1_files/figure-docx/diet%20figure-1.png" id="22" name="Picture"/>
                    <pic:cNvPicPr>
                      <a:picLocks noChangeArrowheads="1" noChangeAspect="1"/>
                    </pic:cNvPicPr>
                  </pic:nvPicPr>
                  <pic:blipFill>
                    <a:blip r:embed="rId20"/>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Appendix S1:Figure S1. Posterior distributions of site-level diet proportions for consumer communities across the temperature gradient.</w:t>
      </w:r>
    </w:p>
    <w:bookmarkStart w:id="35" w:name="refs"/>
    <w:bookmarkStart w:id="24" w:name="ref-burkner2017"/>
    <w:p>
      <w:pPr>
        <w:pStyle w:val="Bibliography"/>
      </w:pPr>
      <w:r>
        <w:t xml:space="preserve">Bürkner, P.-C. 2017.</w:t>
      </w:r>
      <w:r>
        <w:t xml:space="preserve"> </w:t>
      </w:r>
      <w:hyperlink r:id="rId23">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24"/>
    <w:bookmarkStart w:id="26" w:name="ref-coblentz2017"/>
    <w:p>
      <w:pPr>
        <w:pStyle w:val="Bibliography"/>
      </w:pPr>
      <w:r>
        <w:t xml:space="preserve">Coblentz, K. E., A. E. Rosenblatt, and M. Novak. 2017.</w:t>
      </w:r>
      <w:r>
        <w:t xml:space="preserve"> </w:t>
      </w:r>
      <w:hyperlink r:id="rId25">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26"/>
    <w:bookmarkStart w:id="28" w:name="ref-fordyce2011"/>
    <w:p>
      <w:pPr>
        <w:pStyle w:val="Bibliography"/>
      </w:pPr>
      <w:r>
        <w:t xml:space="preserve">Fordyce, J. A., Z. Gompert, M. L. Forister, and C. C. Nice. 2011.</w:t>
      </w:r>
      <w:r>
        <w:t xml:space="preserve"> </w:t>
      </w:r>
      <w:hyperlink r:id="rId27">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28"/>
    <w:bookmarkStart w:id="30" w:name="ref-rosi-marshall2016"/>
    <w:p>
      <w:pPr>
        <w:pStyle w:val="Bibliography"/>
      </w:pPr>
      <w:r>
        <w:t xml:space="preserve">Rosi-Marshall, E. J., H. A. Wellard Kelly, R. O. Hall, and K. A. Vallis. 2016.</w:t>
      </w:r>
      <w:r>
        <w:t xml:space="preserve"> </w:t>
      </w:r>
      <w:hyperlink r:id="rId29">
        <w:r>
          <w:rPr>
            <w:rStyle w:val="Hyperlink"/>
          </w:rPr>
          <w:t xml:space="preserve">Methods for quantifying aquatic macroinvertebrate diets</w:t>
        </w:r>
      </w:hyperlink>
      <w:r>
        <w:t xml:space="preserve">. Freshwater Science 35:229–236.</w:t>
      </w:r>
    </w:p>
    <w:bookmarkEnd w:id="30"/>
    <w:bookmarkStart w:id="32"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31">
        <w:r>
          <w:rPr>
            <w:rStyle w:val="Hyperlink"/>
          </w:rPr>
          <w:t xml:space="preserve">Fiji: An open-source platform for biological-image analysis</w:t>
        </w:r>
      </w:hyperlink>
      <w:r>
        <w:t xml:space="preserve">. Nature Methods 9:676–682.</w:t>
      </w:r>
    </w:p>
    <w:bookmarkEnd w:id="32"/>
    <w:bookmarkStart w:id="34" w:name="ref-whittaker1952"/>
    <w:p>
      <w:pPr>
        <w:pStyle w:val="Bibliography"/>
      </w:pPr>
      <w:r>
        <w:t xml:space="preserve">Whittaker, R. H. 1952.</w:t>
      </w:r>
      <w:r>
        <w:t xml:space="preserve"> </w:t>
      </w:r>
      <w:hyperlink r:id="rId33">
        <w:r>
          <w:rPr>
            <w:rStyle w:val="Hyperlink"/>
          </w:rPr>
          <w:t xml:space="preserve">A</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Summer Foliage Insect Communities</w:t>
        </w:r>
        <w:r>
          <w:rPr>
            <w:rStyle w:val="Hyperlink"/>
          </w:rPr>
          <w:t xml:space="preserve"> </w:t>
        </w:r>
        <w:r>
          <w:rPr>
            <w:rStyle w:val="Hyperlink"/>
          </w:rPr>
          <w:t xml:space="preserve">in the</w:t>
        </w:r>
        <w:r>
          <w:rPr>
            <w:rStyle w:val="Hyperlink"/>
          </w:rPr>
          <w:t xml:space="preserve"> </w:t>
        </w:r>
        <w:r>
          <w:rPr>
            <w:rStyle w:val="Hyperlink"/>
          </w:rPr>
          <w:t xml:space="preserve">Great Smoky Mountains</w:t>
        </w:r>
      </w:hyperlink>
      <w:r>
        <w:t xml:space="preserve">. Ecological Monographs 22:1–44.</w:t>
      </w:r>
    </w:p>
    <w:bookmarkEnd w:id="34"/>
    <w:bookmarkEnd w:id="35"/>
    <w:bookmarkEnd w:id="36"/>
    <w:bookmarkEnd w:id="37"/>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5" Target="https://doi.org/10.1002/ecy.1802" TargetMode="External" /><Relationship Type="http://schemas.openxmlformats.org/officeDocument/2006/relationships/hyperlink" Id="rId31" Target="https://doi.org/10.1038/nmeth.2019" TargetMode="External" /><Relationship Type="http://schemas.openxmlformats.org/officeDocument/2006/relationships/hyperlink" Id="rId29" Target="https://doi.org/10.1086/684648" TargetMode="External" /><Relationship Type="http://schemas.openxmlformats.org/officeDocument/2006/relationships/hyperlink" Id="rId27" Target="https://doi.org/10.1371/journal.pone.0026785" TargetMode="External" /><Relationship Type="http://schemas.openxmlformats.org/officeDocument/2006/relationships/hyperlink" Id="rId23" Target="https://doi.org/10.18637/jss.v080.i01" TargetMode="External" /><Relationship Type="http://schemas.openxmlformats.org/officeDocument/2006/relationships/hyperlink" Id="rId33" Target="https://doi.org/10.2307/1948527"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02/ecy.1802" TargetMode="External" /><Relationship Type="http://schemas.openxmlformats.org/officeDocument/2006/relationships/hyperlink" Id="rId31" Target="https://doi.org/10.1038/nmeth.2019" TargetMode="External" /><Relationship Type="http://schemas.openxmlformats.org/officeDocument/2006/relationships/hyperlink" Id="rId29" Target="https://doi.org/10.1086/684648" TargetMode="External" /><Relationship Type="http://schemas.openxmlformats.org/officeDocument/2006/relationships/hyperlink" Id="rId27" Target="https://doi.org/10.1371/journal.pone.0026785" TargetMode="External" /><Relationship Type="http://schemas.openxmlformats.org/officeDocument/2006/relationships/hyperlink" Id="rId23" Target="https://doi.org/10.18637/jss.v080.i01" TargetMode="External" /><Relationship Type="http://schemas.openxmlformats.org/officeDocument/2006/relationships/hyperlink" Id="rId33" Target="https://doi.org/10.2307/19485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 Wyatt F. Cross, James M. Hood, Jonathan P. Benstead, Alexander D. Huryn, Daniel Nelson, Jón S. Ólafsson, and Gísli M. Gíslason</dc:creator>
  <cp:keywords/>
  <dcterms:created xsi:type="dcterms:W3CDTF">2022-12-29T17:18:28Z</dcterms:created>
  <dcterms:modified xsi:type="dcterms:W3CDTF">2022-12-29T17:18:28Z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Title">
    <vt:lpwstr>List of Figures</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output">
    <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