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2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Environmental</w:t>
      </w:r>
      <w:r>
        <w:t xml:space="preserve"> </w:t>
      </w:r>
      <w:r>
        <w:t xml:space="preserve">warming</w:t>
      </w:r>
      <w:r>
        <w:t xml:space="preserve"> </w:t>
      </w:r>
      <w:r>
        <w:t xml:space="preserve">increases</w:t>
      </w:r>
      <w:r>
        <w:t xml:space="preserve"> </w:t>
      </w:r>
      <w:r>
        <w:t xml:space="preserve">the</w:t>
      </w:r>
      <w:r>
        <w:t xml:space="preserve"> </w:t>
      </w:r>
      <w:r>
        <w:t xml:space="preserve">importance</w:t>
      </w:r>
      <w:r>
        <w:t xml:space="preserve"> </w:t>
      </w:r>
      <w:r>
        <w:t xml:space="preserve">of</w:t>
      </w:r>
      <w:r>
        <w:t xml:space="preserve"> </w:t>
      </w:r>
      <w:r>
        <w:t xml:space="preserve">high-turnover</w:t>
      </w:r>
      <w:r>
        <w:t xml:space="preserve"> </w:t>
      </w:r>
      <w:r>
        <w:t xml:space="preserve">energy</w:t>
      </w:r>
      <w:r>
        <w:t xml:space="preserve"> </w:t>
      </w:r>
      <w:r>
        <w:t xml:space="preserve">channels</w:t>
      </w:r>
      <w:r>
        <w:t xml:space="preserve"> </w:t>
      </w:r>
      <w:r>
        <w:t xml:space="preserve">in</w:t>
      </w:r>
      <w:r>
        <w:t xml:space="preserve"> </w:t>
      </w:r>
      <w:r>
        <w:t xml:space="preserve">stream</w:t>
      </w:r>
      <w:r>
        <w:t xml:space="preserve"> </w:t>
      </w:r>
      <w:r>
        <w:t xml:space="preserve">food</w:t>
      </w:r>
      <w:r>
        <w:t xml:space="preserve"> </w:t>
      </w:r>
      <w:r>
        <w:t xml:space="preserve">webs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R.</w:t>
      </w:r>
      <w:r>
        <w:t xml:space="preserve"> </w:t>
      </w:r>
      <w:r>
        <w:t xml:space="preserve">Junker</w:t>
      </w:r>
      <w:r>
        <w:t xml:space="preserve">,</w:t>
      </w:r>
      <w:r>
        <w:t xml:space="preserve"> </w:t>
      </w:r>
      <w:r>
        <w:t xml:space="preserve">Wyatt</w:t>
      </w:r>
      <w:r>
        <w:t xml:space="preserve"> </w:t>
      </w:r>
      <w:r>
        <w:t xml:space="preserve">F.</w:t>
      </w:r>
      <w:r>
        <w:t xml:space="preserve"> </w:t>
      </w:r>
      <w:r>
        <w:t xml:space="preserve">Cross</w:t>
      </w:r>
      <w:r>
        <w:t xml:space="preserve">,</w:t>
      </w:r>
      <w:r>
        <w:t xml:space="preserve"> </w:t>
      </w:r>
      <w:r>
        <w:t xml:space="preserve">James</w:t>
      </w:r>
      <w:r>
        <w:t xml:space="preserve"> </w:t>
      </w:r>
      <w:r>
        <w:t xml:space="preserve">M.</w:t>
      </w:r>
      <w:r>
        <w:t xml:space="preserve"> </w:t>
      </w:r>
      <w:r>
        <w:t xml:space="preserve">Hood</w:t>
      </w:r>
      <w:r>
        <w:t xml:space="preserve">,</w:t>
      </w:r>
      <w:r>
        <w:t xml:space="preserve"> </w:t>
      </w:r>
      <w:r>
        <w:t xml:space="preserve">Jonathan</w:t>
      </w:r>
      <w:r>
        <w:t xml:space="preserve"> </w:t>
      </w:r>
      <w:r>
        <w:t xml:space="preserve">P.</w:t>
      </w:r>
      <w:r>
        <w:t xml:space="preserve"> </w:t>
      </w:r>
      <w:r>
        <w:t xml:space="preserve">Benstead</w:t>
      </w:r>
      <w:r>
        <w:t xml:space="preserve">,</w:t>
      </w:r>
      <w:r>
        <w:t xml:space="preserve"> </w:t>
      </w:r>
      <w:r>
        <w:t xml:space="preserve">Alexander</w:t>
      </w:r>
      <w:r>
        <w:t xml:space="preserve"> </w:t>
      </w:r>
      <w:r>
        <w:t xml:space="preserve">D.</w:t>
      </w:r>
      <w:r>
        <w:t xml:space="preserve"> </w:t>
      </w:r>
      <w:r>
        <w:t xml:space="preserve">Huryn</w:t>
      </w:r>
      <w:r>
        <w:t xml:space="preserve">,</w:t>
      </w:r>
      <w:r>
        <w:t xml:space="preserve"> </w:t>
      </w:r>
      <w:r>
        <w:t xml:space="preserve">Daniel</w:t>
      </w:r>
      <w:r>
        <w:t xml:space="preserve"> </w:t>
      </w:r>
      <w:r>
        <w:t xml:space="preserve">Nelson</w:t>
      </w:r>
      <w:r>
        <w:t xml:space="preserve">,</w:t>
      </w:r>
      <w:r>
        <w:t xml:space="preserve"> </w:t>
      </w:r>
      <w:r>
        <w:t xml:space="preserve">Jón</w:t>
      </w:r>
      <w:r>
        <w:t xml:space="preserve"> </w:t>
      </w:r>
      <w:r>
        <w:t xml:space="preserve">S.</w:t>
      </w:r>
      <w:r>
        <w:t xml:space="preserve"> </w:t>
      </w:r>
      <w:r>
        <w:t xml:space="preserve">Ólafsson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Gísli</w:t>
      </w:r>
      <w:r>
        <w:t xml:space="preserve"> </w:t>
      </w:r>
      <w:r>
        <w:t xml:space="preserve">M.</w:t>
      </w:r>
      <w:r>
        <w:t xml:space="preserve"> </w:t>
      </w:r>
      <w:r>
        <w:t xml:space="preserve">Gíslason</w:t>
      </w:r>
    </w:p>
    <w:bookmarkStart w:id="33" w:name="supporting-information-appendix-s2"/>
    <w:p>
      <w:pPr>
        <w:pStyle w:val="Heading2"/>
      </w:pPr>
      <w:r>
        <w:t xml:space="preserve">Supporting Information: Appendix S2</w:t>
      </w:r>
    </w:p>
    <w:bookmarkStart w:id="20" w:name="appendix-s2-table-s1"/>
    <w:p>
      <w:pPr>
        <w:pStyle w:val="Heading3"/>
      </w:pPr>
      <w:r>
        <w:t xml:space="preserve">Appendix S2: Table S1</w:t>
      </w:r>
    </w:p>
    <w:p>
      <w:pPr>
        <w:pStyle w:val="TableCaption"/>
      </w:pPr>
      <w:r>
        <w:t xml:space="preserve">Appendix S2:Table S1. Evenness of organic matter fluxes among consumers within a stream community measured by the Gini index, both raw ('non-normalized') and 'normalized' for consumer richness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ppendix S2:Table S1. Evenness of organic matter fluxes among consumers within a stream community measured by the Gini index, both raw ('non-normalized') and 'normalized' for consumer richnes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Non-normalized Gini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Normalized Gini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 ( 0.18 - 0.27 )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 ( 0.11 - 0.19 )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oh2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 ( 0.25 - 0.32 )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 ( 0.23 - 0.3 )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 ( 0.097 - 0.21 )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 ( 0.059 - 0.17 )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 ( 0.11 - 0.16 )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 ( 0.079 - 0.13 )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 ( 0.2 - 0.26 )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 ( 0.18 - 0.23 )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 ( 0.073 - 0.11 )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 ( 0.045 - 0.082 )</w:t>
            </w:r>
          </w:p>
        </w:tc>
      </w:tr>
    </w:tbl>
    <w:p>
      <w:r>
        <w:br w:type="page"/>
      </w:r>
    </w:p>
    <w:bookmarkEnd w:id="20"/>
    <w:bookmarkStart w:id="24" w:name="appendix-s2-figure-s1"/>
    <w:p>
      <w:pPr>
        <w:pStyle w:val="Heading3"/>
      </w:pPr>
      <w:r>
        <w:t xml:space="preserve">Appendix S2: Figure S1</w:t>
      </w:r>
    </w:p>
    <w:p>
      <w:pPr>
        <w:pStyle w:val="CaptionedFigure"/>
      </w:pPr>
      <w:r>
        <w:drawing>
          <wp:inline>
            <wp:extent cx="4583458" cy="3666766"/>
            <wp:effectExtent b="0" l="0" r="0" t="0"/>
            <wp:docPr descr="Appendix S2:Figure S1. Lorenz plot of relative community flux by species in ascending order of annual population organic matter flux (g AFDM m-2 y-1)" title="" id="22" name="Picture"/>
            <a:graphic>
              <a:graphicData uri="http://schemas.openxmlformats.org/drawingml/2006/picture">
                <pic:pic>
                  <pic:nvPicPr>
                    <pic:cNvPr descr="Junker_temp-energy-flux_appendixS2_files/figure-docx/raw%20lorenz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Appendix S2:Figure S1. Lorenz plot of relative community flux by species in ascending order of annual population organic matter flux (g AFDM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y</w:t>
      </w:r>
      <w:r>
        <w:rPr>
          <w:vertAlign w:val="superscript"/>
        </w:rPr>
        <w:t xml:space="preserve">-1</w:t>
      </w:r>
      <w:r>
        <w:t xml:space="preserve">)</w:t>
      </w:r>
    </w:p>
    <w:p>
      <w:r>
        <w:br w:type="page"/>
      </w:r>
    </w:p>
    <w:bookmarkEnd w:id="24"/>
    <w:bookmarkStart w:id="28" w:name="appendix-s2-figure-s2"/>
    <w:p>
      <w:pPr>
        <w:pStyle w:val="Heading3"/>
      </w:pPr>
      <w:r>
        <w:t xml:space="preserve">Appendix S2: Figure S2</w:t>
      </w:r>
    </w:p>
    <w:p>
      <w:pPr>
        <w:pStyle w:val="CaptionedFigure"/>
      </w:pPr>
      <w:r>
        <w:drawing>
          <wp:inline>
            <wp:extent cx="4583458" cy="3666766"/>
            <wp:effectExtent b="0" l="0" r="0" t="0"/>
            <wp:docPr descr="Appendix S2:Figure S2. Cumulative plot of relative community flux by species in relation to mean annual population biomass (mg m-2)." title="" id="26" name="Picture"/>
            <a:graphic>
              <a:graphicData uri="http://schemas.openxmlformats.org/drawingml/2006/picture">
                <pic:pic>
                  <pic:nvPicPr>
                    <pic:cNvPr descr="Junker_temp-energy-flux_appendixS2_files/figure-docx/biomass%20lorenz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Appendix S2:Figure S2. Cumulative plot of relative community flux by species in relation to mean annual population biomass (mg m</w:t>
      </w:r>
      <w:r>
        <w:rPr>
          <w:vertAlign w:val="superscript"/>
        </w:rPr>
        <w:t xml:space="preserve">-2</w:t>
      </w:r>
      <w:r>
        <w:t xml:space="preserve">).</w:t>
      </w:r>
    </w:p>
    <w:p>
      <w:r>
        <w:br w:type="page"/>
      </w:r>
    </w:p>
    <w:bookmarkEnd w:id="28"/>
    <w:bookmarkStart w:id="32" w:name="appendix-s2-figure-s3"/>
    <w:p>
      <w:pPr>
        <w:pStyle w:val="Heading3"/>
      </w:pPr>
      <w:r>
        <w:t xml:space="preserve">Appendix S2: Figure S3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Appendix S2:Figure S3. Probability distribution of empirical Skflux measurements in relation to (a) mean body size and (b) annual P:B compared to random species ordering. The red lines represent the 2.5% and 97.5% percentiles of the Skflux values from random ordering distributions in each stream community." title="" id="30" name="Picture"/>
            <a:graphic>
              <a:graphicData uri="http://schemas.openxmlformats.org/drawingml/2006/picture">
                <pic:pic>
                  <pic:nvPicPr>
                    <pic:cNvPr descr="Junker_temp-energy-flux_appendixS2_files/figure-docx/skew%20distribution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Appendix S2:Figure S3. Probability distribution of empirical Sk</w:t>
      </w:r>
      <w:r>
        <w:rPr>
          <w:vertAlign w:val="subscript"/>
        </w:rPr>
        <w:t xml:space="preserve">flux</w:t>
      </w:r>
      <w:r>
        <w:t xml:space="preserve"> </w:t>
      </w:r>
      <w:r>
        <w:t xml:space="preserve">measurements in relation to (a) mean body size and (b) annual P:B compared to random species ordering. The red lines represent the 2.5% and 97.5% percentiles of the Sk</w:t>
      </w:r>
      <w:r>
        <w:rPr>
          <w:vertAlign w:val="subscript"/>
        </w:rPr>
        <w:t xml:space="preserve">flux</w:t>
      </w:r>
      <w:r>
        <w:t xml:space="preserve"> </w:t>
      </w:r>
      <w:r>
        <w:t xml:space="preserve">values from random ordering distributions in each stream community.</w:t>
      </w:r>
    </w:p>
    <w:bookmarkEnd w:id="32"/>
    <w:bookmarkEnd w:id="33"/>
    <w:sectPr w:rsidR="008935F9" w:rsidSect="00C446BA">
      <w:headerReference r:id="rId9" w:type="default"/>
      <w:footerReference r:id="rId10" w:type="default"/>
      <w:pgSz w:code="1"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6038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985" w:rsidRDefault="009169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02EB" w:rsidRDefault="00AA02E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5DF0468E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E57C68F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7E548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616135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C49E9D9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1ED4FD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61F6896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F4C2A0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0A2692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8A6695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8F2851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B1C9B1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C446BA"/>
    <w:pPr>
      <w:keepNext/>
      <w:keepLines/>
      <w:spacing w:after="240" w:before="120"/>
      <w:outlineLvl w:val="0"/>
    </w:pPr>
    <w:rPr>
      <w:rFonts w:ascii="Times New Roman" w:cs="Times New Roman" w:eastAsiaTheme="majorEastAsia" w:hAnsi="Times New Roman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446BA"/>
    <w:pPr>
      <w:keepNext/>
      <w:keepLines/>
      <w:spacing w:after="240" w:before="120"/>
      <w:outlineLvl w:val="1"/>
    </w:pPr>
    <w:rPr>
      <w:rFonts w:ascii="Times New Roman" w:cs="Times New Roman" w:eastAsiaTheme="majorEastAsia" w:hAnsi="Times New Roman"/>
      <w:bCs/>
      <w:u w:val="single"/>
    </w:rPr>
  </w:style>
  <w:style w:styleId="Heading3" w:type="paragraph">
    <w:name w:val="heading 3"/>
    <w:basedOn w:val="Normal"/>
    <w:next w:val="BodyText"/>
    <w:uiPriority w:val="9"/>
    <w:unhideWhenUsed/>
    <w:qFormat/>
    <w:rsid w:val="00C446BA"/>
    <w:pPr>
      <w:keepNext/>
      <w:keepLines/>
      <w:spacing w:after="240" w:before="120"/>
      <w:outlineLvl w:val="2"/>
    </w:pPr>
    <w:rPr>
      <w:rFonts w:ascii="Times New Roman" w:cs="Times New Roman" w:eastAsiaTheme="majorEastAsia" w:hAnsi="Times New Roman"/>
      <w:bCs/>
      <w:i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121A2E"/>
    <w:pPr>
      <w:keepNext/>
      <w:keepLines/>
      <w:spacing w:after="0" w:before="200"/>
      <w:outlineLvl w:val="3"/>
    </w:pPr>
    <w:rPr>
      <w:rFonts w:ascii="Times New Roman" w:cs="Times New Roman" w:eastAsiaTheme="majorEastAsia" w:hAnsi="Times New Roman"/>
      <w:bCs/>
      <w:i/>
      <w:color w:themeColor="text1" w:val="000000"/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rsid w:val="00121A2E"/>
    <w:pPr>
      <w:keepNext/>
      <w:keepLines/>
      <w:spacing w:after="0" w:before="200"/>
      <w:outlineLvl w:val="4"/>
    </w:pPr>
    <w:rPr>
      <w:rFonts w:ascii="Times New Roman" w:cs="Times New Roman" w:eastAsiaTheme="majorEastAsia" w:hAnsi="Times New Roman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446BA"/>
    <w:pPr>
      <w:spacing w:after="180" w:before="180" w:line="480" w:lineRule="auto"/>
      <w:ind w:firstLine="36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C446B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21A2E"/>
    <w:pPr>
      <w:keepNext/>
      <w:keepLines/>
      <w:spacing w:after="240" w:before="480"/>
      <w:jc w:val="center"/>
    </w:pPr>
    <w:rPr>
      <w:rFonts w:ascii="Times New Roman" w:cs="Times New Roman" w:eastAsiaTheme="majorEastAsia" w:hAnsi="Times New Roman"/>
      <w:b/>
      <w:bCs/>
      <w:i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0234"/>
    <w:pPr>
      <w:keepNext/>
      <w:keepLines/>
    </w:pPr>
    <w:rPr>
      <w:rFonts w:ascii="Times New Roman" w:hAnsi="Times New Roman"/>
    </w:rPr>
  </w:style>
  <w:style w:styleId="Date" w:type="paragraph">
    <w:name w:val="Date"/>
    <w:next w:val="BodyText"/>
    <w:qFormat/>
    <w:rsid w:val="00980234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121A2E"/>
    <w:rPr>
      <w:rFonts w:asciiTheme="majorHAnsi" w:cs="Times New Roman" w:hAnsiTheme="majorHAnsi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121A2E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BodyText"/>
    <w:link w:val="VerbatimChar"/>
    <w:rsid w:val="00121A2E"/>
    <w:rPr>
      <w:rFonts w:asciiTheme="majorHAnsi" w:hAnsiTheme="majorHAnsi"/>
    </w:rPr>
  </w:style>
  <w:style w:customStyle="1" w:styleId="KeywordTok" w:type="character">
    <w:name w:val="KeywordTok"/>
    <w:basedOn w:val="VerbatimChar"/>
    <w:rPr>
      <w:rFonts w:asciiTheme="majorHAnsi" w:cs="Times New Roman" w:hAnsiTheme="majorHAnsi"/>
      <w:b/>
      <w:color w:val="204A87"/>
      <w:shd w:color="auto" w:fill="F8F8F8" w:val="clear"/>
    </w:rPr>
  </w:style>
  <w:style w:customStyle="1" w:styleId="DataTypeTok" w:type="character">
    <w:name w:val="DataTypeTok"/>
    <w:basedOn w:val="VerbatimChar"/>
    <w:rPr>
      <w:rFonts w:asciiTheme="majorHAnsi" w:cs="Times New Roman" w:hAnsiTheme="majorHAnsi"/>
      <w:color w:val="204A87"/>
      <w:shd w:color="auto" w:fill="F8F8F8" w:val="clear"/>
    </w:rPr>
  </w:style>
  <w:style w:customStyle="1" w:styleId="DecValTok" w:type="character">
    <w:name w:val="DecValTok"/>
    <w:basedOn w:val="VerbatimChar"/>
    <w:rPr>
      <w:rFonts w:asciiTheme="majorHAnsi" w:cs="Times New Roman" w:hAnsiTheme="majorHAnsi"/>
      <w:color w:val="0000CF"/>
      <w:shd w:color="auto" w:fill="F8F8F8" w:val="clear"/>
    </w:rPr>
  </w:style>
  <w:style w:customStyle="1" w:styleId="BaseNTok" w:type="character">
    <w:name w:val="BaseNTok"/>
    <w:basedOn w:val="VerbatimChar"/>
    <w:rPr>
      <w:rFonts w:asciiTheme="majorHAnsi" w:cs="Times New Roman" w:hAnsiTheme="majorHAnsi"/>
      <w:color w:val="0000CF"/>
      <w:shd w:color="auto" w:fill="F8F8F8" w:val="clear"/>
    </w:rPr>
  </w:style>
  <w:style w:customStyle="1" w:styleId="FloatTok" w:type="character">
    <w:name w:val="FloatTok"/>
    <w:basedOn w:val="VerbatimChar"/>
    <w:rPr>
      <w:rFonts w:asciiTheme="majorHAnsi" w:cs="Times New Roman" w:hAnsiTheme="majorHAnsi"/>
      <w:color w:val="0000CF"/>
      <w:shd w:color="auto" w:fill="F8F8F8" w:val="clear"/>
    </w:rPr>
  </w:style>
  <w:style w:customStyle="1" w:styleId="ConstantTok" w:type="character">
    <w:name w:val="ConstantTok"/>
    <w:basedOn w:val="VerbatimChar"/>
    <w:rPr>
      <w:rFonts w:asciiTheme="majorHAnsi" w:cs="Times New Roman" w:hAnsiTheme="majorHAnsi"/>
      <w:color w:val="000000"/>
      <w:shd w:color="auto" w:fill="F8F8F8" w:val="clear"/>
    </w:rPr>
  </w:style>
  <w:style w:customStyle="1" w:styleId="CharTok" w:type="character">
    <w:name w:val="CharTok"/>
    <w:basedOn w:val="VerbatimChar"/>
    <w:rPr>
      <w:rFonts w:asciiTheme="majorHAnsi" w:cs="Times New Roman" w:hAnsiTheme="majorHAnsi"/>
      <w:color w:val="4E9A06"/>
      <w:shd w:color="auto" w:fill="F8F8F8" w:val="clear"/>
    </w:rPr>
  </w:style>
  <w:style w:customStyle="1" w:styleId="SpecialCharTok" w:type="character">
    <w:name w:val="SpecialCharTok"/>
    <w:basedOn w:val="VerbatimChar"/>
    <w:rPr>
      <w:rFonts w:asciiTheme="majorHAnsi" w:cs="Times New Roman" w:hAnsiTheme="majorHAnsi"/>
      <w:color w:val="000000"/>
      <w:shd w:color="auto" w:fill="F8F8F8" w:val="clear"/>
    </w:rPr>
  </w:style>
  <w:style w:customStyle="1" w:styleId="StringTok" w:type="character">
    <w:name w:val="StringTok"/>
    <w:basedOn w:val="VerbatimChar"/>
    <w:rPr>
      <w:rFonts w:asciiTheme="majorHAnsi" w:cs="Times New Roman" w:hAnsiTheme="majorHAnsi"/>
      <w:color w:val="4E9A0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Theme="majorHAnsi" w:cs="Times New Roman" w:hAnsiTheme="majorHAnsi"/>
      <w:color w:val="4E9A0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Theme="majorHAnsi" w:cs="Times New Roman" w:hAnsiTheme="majorHAnsi"/>
      <w:color w:val="4E9A06"/>
      <w:shd w:color="auto" w:fill="F8F8F8" w:val="clear"/>
    </w:rPr>
  </w:style>
  <w:style w:customStyle="1" w:styleId="ImportTok" w:type="character">
    <w:name w:val="ImportTok"/>
    <w:basedOn w:val="VerbatimChar"/>
    <w:rPr>
      <w:rFonts w:asciiTheme="majorHAnsi" w:cs="Times New Roman" w:hAnsiTheme="majorHAnsi"/>
      <w:shd w:color="auto" w:fill="F8F8F8" w:val="clear"/>
    </w:rPr>
  </w:style>
  <w:style w:customStyle="1" w:styleId="CommentTok" w:type="character">
    <w:name w:val="CommentTok"/>
    <w:basedOn w:val="VerbatimChar"/>
    <w:rPr>
      <w:rFonts w:asciiTheme="majorHAnsi" w:cs="Times New Roman" w:hAnsiTheme="majorHAnsi"/>
      <w:i/>
      <w:color w:val="8F590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AnnotationTok" w:type="character">
    <w:name w:val="Annotation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CommentVarTok" w:type="character">
    <w:name w:val="CommentVar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OtherTok" w:type="character">
    <w:name w:val="OtherTok"/>
    <w:basedOn w:val="VerbatimChar"/>
    <w:rPr>
      <w:rFonts w:asciiTheme="majorHAnsi" w:cs="Times New Roman" w:hAnsiTheme="majorHAnsi"/>
      <w:color w:val="8F5902"/>
      <w:shd w:color="auto" w:fill="F8F8F8" w:val="clear"/>
    </w:rPr>
  </w:style>
  <w:style w:customStyle="1" w:styleId="FunctionTok" w:type="character">
    <w:name w:val="FunctionTok"/>
    <w:basedOn w:val="VerbatimChar"/>
    <w:rPr>
      <w:rFonts w:asciiTheme="majorHAnsi" w:cs="Times New Roman" w:hAnsiTheme="majorHAnsi"/>
      <w:color w:val="000000"/>
      <w:shd w:color="auto" w:fill="F8F8F8" w:val="clear"/>
    </w:rPr>
  </w:style>
  <w:style w:customStyle="1" w:styleId="VariableTok" w:type="character">
    <w:name w:val="VariableTok"/>
    <w:basedOn w:val="VerbatimChar"/>
    <w:rPr>
      <w:rFonts w:asciiTheme="majorHAnsi" w:cs="Times New Roman" w:hAnsiTheme="majorHAnsi"/>
      <w:color w:val="000000"/>
      <w:shd w:color="auto" w:fill="F8F8F8" w:val="clear"/>
    </w:rPr>
  </w:style>
  <w:style w:customStyle="1" w:styleId="ControlFlowTok" w:type="character">
    <w:name w:val="ControlFlowTok"/>
    <w:basedOn w:val="VerbatimChar"/>
    <w:rPr>
      <w:rFonts w:asciiTheme="majorHAnsi" w:cs="Times New Roman" w:hAnsiTheme="majorHAnsi"/>
      <w:b/>
      <w:color w:val="204A87"/>
      <w:shd w:color="auto" w:fill="F8F8F8" w:val="clear"/>
    </w:rPr>
  </w:style>
  <w:style w:customStyle="1" w:styleId="OperatorTok" w:type="character">
    <w:name w:val="OperatorTok"/>
    <w:basedOn w:val="VerbatimChar"/>
    <w:rPr>
      <w:rFonts w:asciiTheme="majorHAnsi" w:cs="Times New Roman" w:hAnsiTheme="majorHAnsi"/>
      <w:b/>
      <w:color w:val="CE5C00"/>
      <w:shd w:color="auto" w:fill="F8F8F8" w:val="clear"/>
    </w:rPr>
  </w:style>
  <w:style w:customStyle="1" w:styleId="BuiltInTok" w:type="character">
    <w:name w:val="BuiltInTok"/>
    <w:basedOn w:val="VerbatimChar"/>
    <w:rPr>
      <w:rFonts w:asciiTheme="majorHAnsi" w:cs="Times New Roman" w:hAnsiTheme="majorHAnsi"/>
      <w:shd w:color="auto" w:fill="F8F8F8" w:val="clear"/>
    </w:rPr>
  </w:style>
  <w:style w:customStyle="1" w:styleId="ExtensionTok" w:type="character">
    <w:name w:val="ExtensionTok"/>
    <w:basedOn w:val="VerbatimChar"/>
    <w:rPr>
      <w:rFonts w:asciiTheme="majorHAnsi" w:cs="Times New Roman" w:hAnsiTheme="majorHAnsi"/>
      <w:shd w:color="auto" w:fill="F8F8F8" w:val="clear"/>
    </w:rPr>
  </w:style>
  <w:style w:customStyle="1" w:styleId="PreprocessorTok" w:type="character">
    <w:name w:val="PreprocessorTok"/>
    <w:basedOn w:val="VerbatimChar"/>
    <w:rPr>
      <w:rFonts w:asciiTheme="majorHAnsi" w:cs="Times New Roman" w:hAnsiTheme="majorHAnsi"/>
      <w:i/>
      <w:color w:val="8F5902"/>
      <w:shd w:color="auto" w:fill="F8F8F8" w:val="clear"/>
    </w:rPr>
  </w:style>
  <w:style w:customStyle="1" w:styleId="AttributeTok" w:type="character">
    <w:name w:val="AttributeTok"/>
    <w:basedOn w:val="VerbatimChar"/>
    <w:rPr>
      <w:rFonts w:asciiTheme="majorHAnsi" w:cs="Times New Roman" w:hAnsiTheme="majorHAnsi"/>
      <w:color w:val="C4A000"/>
      <w:shd w:color="auto" w:fill="F8F8F8" w:val="clear"/>
    </w:rPr>
  </w:style>
  <w:style w:customStyle="1" w:styleId="RegionMarkerTok" w:type="character">
    <w:name w:val="RegionMarkerTok"/>
    <w:basedOn w:val="VerbatimChar"/>
    <w:rPr>
      <w:rFonts w:asciiTheme="majorHAnsi" w:cs="Times New Roman" w:hAnsiTheme="majorHAnsi"/>
      <w:shd w:color="auto" w:fill="F8F8F8" w:val="clear"/>
    </w:rPr>
  </w:style>
  <w:style w:customStyle="1" w:styleId="InformationTok" w:type="character">
    <w:name w:val="Information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WarningTok" w:type="character">
    <w:name w:val="Warning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AlertTok" w:type="character">
    <w:name w:val="AlertTok"/>
    <w:basedOn w:val="VerbatimChar"/>
    <w:rPr>
      <w:rFonts w:asciiTheme="majorHAnsi" w:cs="Times New Roman" w:hAnsiTheme="majorHAnsi"/>
      <w:color w:val="EF2929"/>
      <w:shd w:color="auto" w:fill="F8F8F8" w:val="clear"/>
    </w:rPr>
  </w:style>
  <w:style w:customStyle="1" w:styleId="ErrorTok" w:type="character">
    <w:name w:val="ErrorTok"/>
    <w:basedOn w:val="VerbatimChar"/>
    <w:rPr>
      <w:rFonts w:asciiTheme="majorHAnsi" w:cs="Times New Roman" w:hAnsiTheme="majorHAnsi"/>
      <w:b/>
      <w:color w:val="A40000"/>
      <w:shd w:color="auto" w:fill="F8F8F8" w:val="clear"/>
    </w:rPr>
  </w:style>
  <w:style w:customStyle="1" w:styleId="NormalTok" w:type="character">
    <w:name w:val="NormalTok"/>
    <w:basedOn w:val="VerbatimChar"/>
    <w:rPr>
      <w:rFonts w:asciiTheme="majorHAnsi" w:cs="Times New Roman" w:hAnsiTheme="majorHAnsi"/>
      <w:shd w:color="auto" w:fill="F8F8F8" w:val="clear"/>
    </w:rPr>
  </w:style>
  <w:style w:styleId="Header" w:type="paragraph">
    <w:name w:val="header"/>
    <w:basedOn w:val="Normal"/>
    <w:link w:val="HeaderChar"/>
    <w:unhideWhenUsed/>
    <w:rsid w:val="00AA02EB"/>
    <w:pPr>
      <w:tabs>
        <w:tab w:pos="4680" w:val="center"/>
        <w:tab w:pos="9360" w:val="right"/>
      </w:tabs>
      <w:spacing w:after="0"/>
    </w:pPr>
  </w:style>
  <w:style w:customStyle="1" w:styleId="BodyTextChar" w:type="character">
    <w:name w:val="Body Text Char"/>
    <w:basedOn w:val="DefaultParagraphFont"/>
    <w:link w:val="BodyText"/>
    <w:rsid w:val="00C446BA"/>
    <w:rPr>
      <w:rFonts w:ascii="Times New Roman" w:cs="Times New Roman" w:hAnsi="Times New Roman"/>
    </w:rPr>
  </w:style>
  <w:style w:customStyle="1" w:styleId="HeaderChar" w:type="character">
    <w:name w:val="Header Char"/>
    <w:basedOn w:val="DefaultParagraphFont"/>
    <w:link w:val="Header"/>
    <w:rsid w:val="00AA02EB"/>
  </w:style>
  <w:style w:styleId="Footer" w:type="paragraph">
    <w:name w:val="footer"/>
    <w:basedOn w:val="Normal"/>
    <w:link w:val="FooterChar"/>
    <w:uiPriority w:val="99"/>
    <w:unhideWhenUsed/>
    <w:rsid w:val="00AA02E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AA02EB"/>
  </w:style>
  <w:style w:styleId="LineNumber" w:type="character">
    <w:name w:val="line number"/>
    <w:basedOn w:val="DefaultParagraphFont"/>
    <w:semiHidden/>
    <w:unhideWhenUsed/>
    <w:rsid w:val="00C4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basic word tempate</vt:lpstr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warming increases the importance of high-turnover energy channels in stream food webs</dc:title>
  <dc:creator>James R. Junker, Wyatt F. Cross, James M. Hood, Jonathan P. Benstead, Alexander D. Huryn, Daniel Nelson, Jón S. Ólafsson, and Gísli M. Gíslason</dc:creator>
  <cp:keywords/>
  <dcterms:created xsi:type="dcterms:W3CDTF">2022-12-29T17:19:59Z</dcterms:created>
  <dcterms:modified xsi:type="dcterms:W3CDTF">2022-12-29T17:19:59Z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refs.bib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ecology.csl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IndexTemplate">
    <vt:lpwstr>(i)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</vt:lpwstr>
  </property>
  <property fmtid="{D5CDD505-2E9C-101B-9397-08002B2CF9AE}" pid="32" name="link-citations">
    <vt:lpwstr>False</vt:lpwstr>
  </property>
  <property fmtid="{D5CDD505-2E9C-101B-9397-08002B2CF9AE}" pid="33" name="link-color">
    <vt:lpwstr>grey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output">
    <vt:lpwstr/>
  </property>
  <property fmtid="{D5CDD505-2E9C-101B-9397-08002B2CF9AE}" pid="47" name="pairDelim">
    <vt:lpwstr>, 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secHeaderDelim">
    <vt:lpwstr> </vt:lpwstr>
  </property>
  <property fmtid="{D5CDD505-2E9C-101B-9397-08002B2CF9AE}" pid="52" name="secHeaderTemplate">
    <vt:lpwstr>isecHeaderDelim[n]t</vt:lpwstr>
  </property>
  <property fmtid="{D5CDD505-2E9C-101B-9397-08002B2CF9AE}" pid="53" name="secLabels">
    <vt:lpwstr>arabic</vt:lpwstr>
  </property>
  <property fmtid="{D5CDD505-2E9C-101B-9397-08002B2CF9AE}" pid="54" name="secPrefix">
    <vt:lpwstr/>
  </property>
  <property fmtid="{D5CDD505-2E9C-101B-9397-08002B2CF9AE}" pid="55" name="secPrefixTemplate">
    <vt:lpwstr>p i</vt:lpwstr>
  </property>
  <property fmtid="{D5CDD505-2E9C-101B-9397-08002B2CF9AE}" pid="56" name="sectionsDepth">
    <vt:lpwstr>0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</Properties>
</file>