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S3: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bookmarkStart w:id="23" w:name="X6e9016742ddb176a053026a6389e61c038f95e2"/>
    <w:p>
      <w:pPr>
        <w:pStyle w:val="Heading2"/>
      </w:pPr>
      <w:r>
        <w:t xml:space="preserve">Appendix S3: Section S1: Trophic basis of production workflow and assumptions</w:t>
      </w:r>
    </w:p>
    <w:p>
      <w:pPr>
        <w:pStyle w:val="FirstParagraph"/>
      </w:pPr>
      <w:r>
        <w:t xml:space="preserve">We estimated organic matter consumption (g m</w:t>
      </w:r>
      <w:r>
        <w:rPr>
          <w:vertAlign w:val="superscript"/>
        </w:rPr>
        <w:t xml:space="preserve">-2</w:t>
      </w:r>
      <w:r>
        <w:t xml:space="preserve"> </w:t>
      </w:r>
      <w:r>
        <w:t xml:space="preserve">y</w:t>
      </w:r>
      <w:r>
        <w:rPr>
          <w:vertAlign w:val="superscript"/>
        </w:rPr>
        <w:t xml:space="preserve">-1</w:t>
      </w:r>
      <w:r>
        <w:t xml:space="preserve">) for all taxa using the trophic basis of production method</w:t>
      </w:r>
      <w:r>
        <w:t xml:space="preserve"> </w:t>
      </w:r>
      <w:r>
        <w:t xml:space="preserve">(Benke and Wallace 1980, 1997)</w:t>
      </w:r>
      <w:r>
        <w:t xml:space="preserve">. This method combines empirical estimates of secondary production and diet composition with assumed diet-specific assimilation efficiency,</w:t>
      </w:r>
      <w:r>
        <w:t xml:space="preserve"> </w:t>
      </w:r>
      <w:r>
        <w:rPr>
          <w:iCs/>
          <w:i/>
        </w:rPr>
        <w:t xml:space="preserve">AE</w:t>
      </w:r>
      <w:r>
        <w:t xml:space="preserve">, and community-level net production efficiency,</w:t>
      </w:r>
      <w:r>
        <w:t xml:space="preserve"> </w:t>
      </w:r>
      <w:r>
        <w:rPr>
          <w:iCs/>
          <w:i/>
        </w:rPr>
        <w:t xml:space="preserve">NPE</w:t>
      </w:r>
      <w:r>
        <w:t xml:space="preserve">, to calculate consumption of each diet item required to support secondary production of a consumer.</w:t>
      </w:r>
    </w:p>
    <w:p>
      <w:pPr>
        <w:pStyle w:val="BodyText"/>
      </w:pPr>
      <w:r>
        <w:t xml:space="preserve">To propagate uncertainty in consumption estimates, we combined bootstrapped secondary production estimates calculated from resampling replicated surber samples across sampling dates with diet composition estimates from a hierarchical Bayesian model and assumed distributions of ecological efficiencies (Figure S1).</w:t>
      </w:r>
    </w:p>
    <w:p>
      <w:pPr>
        <w:pStyle w:val="BodyText"/>
      </w:pPr>
      <w:r>
        <w:t xml:space="preserve">The estimation of consumption via the trophic basis of production method requires the measurement of secondary production,</w:t>
      </w:r>
      <w:r>
        <w:t xml:space="preserve"> </w:t>
      </w:r>
      <m:oMath>
        <m:r>
          <m:t>S</m:t>
        </m:r>
        <m:sSub>
          <m:e>
            <m:r>
              <m:t>P</m:t>
            </m:r>
          </m:e>
          <m:sub>
            <m:r>
              <m:t>t</m:t>
            </m:r>
            <m:r>
              <m:t>o</m:t>
            </m:r>
            <m:r>
              <m:t>t</m:t>
            </m:r>
          </m:sub>
        </m:sSub>
      </m:oMath>
      <w:r>
        <w:t xml:space="preserve">, and relative diet composition for all diet categories,</w:t>
      </w:r>
      <w:r>
        <w:t xml:space="preserve"> </w:t>
      </w:r>
      <m:oMath>
        <m:sSub>
          <m:e>
            <m:r>
              <m:t>p</m:t>
            </m:r>
          </m:e>
          <m:sub>
            <m:r>
              <m:t>j</m:t>
            </m:r>
          </m:sub>
        </m:sSub>
      </m:oMath>
      <w:r>
        <w:t xml:space="preserve">, where,</w:t>
      </w:r>
    </w:p>
    <w:p>
      <w:pPr>
        <w:pStyle w:val="BodyText"/>
      </w:pPr>
      <m:oMathPara>
        <m:oMathParaPr>
          <m:jc m:val="center"/>
        </m:oMathParaPr>
        <m:oMath>
          <m:nary>
            <m:naryPr>
              <m:chr m:val="∑"/>
              <m:limLoc m:val="undOvr"/>
              <m:subHide m:val="0"/>
              <m:supHide m:val="1"/>
            </m:naryPr>
            <m:sub>
              <m:r>
                <m:t>j</m:t>
              </m:r>
              <m:r>
                <m:rPr>
                  <m:sty m:val="p"/>
                </m:rPr>
                <m:t>=</m:t>
              </m:r>
              <m:r>
                <m:t>1</m:t>
              </m:r>
            </m:sub>
            <m:sup>
              <m:r>
                <m:t>​</m:t>
              </m:r>
            </m:sup>
            <m:e>
              <m:sSub>
                <m:e>
                  <m:r>
                    <m:t>p</m:t>
                  </m:r>
                </m:e>
                <m:sub>
                  <m:r>
                    <m:t>j</m:t>
                  </m:r>
                </m:sub>
              </m:sSub>
            </m:e>
          </m:nary>
          <m:r>
            <m:rPr>
              <m:sty m:val="p"/>
            </m:rPr>
            <m:t>=</m:t>
          </m:r>
          <m:r>
            <m:t>1</m:t>
          </m:r>
        </m:oMath>
      </m:oMathPara>
    </w:p>
    <w:p>
      <w:pPr>
        <w:pStyle w:val="FirstParagraph"/>
      </w:pPr>
      <w:r>
        <w:t xml:space="preserve">Many intrinsic and extrinsic factors (e.g., taxonomic identity, size/age, development or reproductive status, habitat, food availability, food quality, stream flow, temperature, etc.) can control the proportion of energy assimilated. It is intractable to perform experiments under all of the conditions, therefore, we must make assumptions of the efficiency of energy assimilation,</w:t>
      </w:r>
      <w:r>
        <w:t xml:space="preserve"> </w:t>
      </w:r>
      <m:oMath>
        <m:r>
          <m:t>A</m:t>
        </m:r>
        <m:r>
          <m:t>E</m:t>
        </m:r>
      </m:oMath>
      <w:r>
        <w:t xml:space="preserve">, food items and the efficiency by which assimilated energy is subsequently directed towards new biomass growth,</w:t>
      </w:r>
      <w:r>
        <w:t xml:space="preserve"> </w:t>
      </w:r>
      <m:oMath>
        <m:r>
          <m:t>N</m:t>
        </m:r>
        <m:r>
          <m:t>P</m:t>
        </m:r>
        <m:r>
          <m:t>E</m:t>
        </m:r>
      </m:oMath>
      <w:r>
        <w:t xml:space="preserve">. Food items differ in their quality and the amount of energy organisms can extract from them as they pass through the digestive system leading to varying assimilation efficiency by diet categrory,</w:t>
      </w:r>
      <w:r>
        <w:t xml:space="preserve"> </w:t>
      </w:r>
      <m:oMath>
        <m:r>
          <m:t>A</m:t>
        </m:r>
        <m:sSub>
          <m:e>
            <m:r>
              <m:t>E</m:t>
            </m:r>
          </m:e>
          <m:sub>
            <m:r>
              <m:t>j</m:t>
            </m:r>
          </m:sub>
        </m:sSub>
      </m:oMath>
      <w:r>
        <w:t xml:space="preserve">. In contrast, the proportion of assimilated energy put into new growth is more fixed and exists within a narrower range, therefore, we assume a constant value for all diet categories,</w:t>
      </w:r>
      <w:r>
        <w:t xml:space="preserve"> </w:t>
      </w:r>
      <m:oMath>
        <m:r>
          <m:t>N</m:t>
        </m:r>
        <m:r>
          <m:t>P</m:t>
        </m:r>
        <m:r>
          <m:t>E</m:t>
        </m:r>
      </m:oMath>
      <w:r>
        <w:t xml:space="preserve">. To properly account for the uncertainty in these values, in this work we draw values of</w:t>
      </w:r>
      <w:r>
        <w:t xml:space="preserve"> </w:t>
      </w:r>
      <m:oMath>
        <m:r>
          <m:t>A</m:t>
        </m:r>
        <m:sSub>
          <m:e>
            <m:r>
              <m:t>E</m:t>
            </m:r>
          </m:e>
          <m:sub>
            <m:r>
              <m:t>j</m:t>
            </m:r>
          </m:sub>
        </m:sSub>
      </m:oMath>
      <w:r>
        <w:t xml:space="preserve"> </w:t>
      </w:r>
      <w:r>
        <w:t xml:space="preserve">from diet category-specific distributions and from a fixed distribution for all diet categories for</w:t>
      </w:r>
      <w:r>
        <w:t xml:space="preserve"> </w:t>
      </w:r>
      <m:oMath>
        <m:r>
          <m:t>N</m:t>
        </m:r>
        <m:r>
          <m:t>P</m:t>
        </m:r>
        <m:r>
          <m:t>E</m:t>
        </m:r>
      </m:oMath>
      <w:r>
        <w:t xml:space="preserve">.</w:t>
      </w:r>
    </w:p>
    <w:p>
      <w:pPr>
        <w:pStyle w:val="BodyText"/>
      </w:pPr>
      <w:r>
        <w:t xml:space="preserve">From these variables, we can calculate consumption of each food category,</w:t>
      </w:r>
      <w:r>
        <w:t xml:space="preserve"> </w:t>
      </w:r>
      <m:oMath>
        <m:sSub>
          <m:e>
            <m:r>
              <m:t>C</m:t>
            </m:r>
          </m:e>
          <m:sub>
            <m:r>
              <m:t>j</m:t>
            </m:r>
          </m:sub>
        </m:sSub>
      </m:oMath>
      <w:r>
        <w:t xml:space="preserve"> </w:t>
      </w:r>
      <w:r>
        <w:t xml:space="preserve">through the following procedure:</w:t>
      </w:r>
    </w:p>
    <w:p>
      <w:pPr>
        <w:numPr>
          <w:ilvl w:val="0"/>
          <w:numId w:val="1001"/>
        </w:numPr>
        <w:pStyle w:val="Compact"/>
      </w:pPr>
      <w:r>
        <w:t xml:space="preserve">Reweight diet category proportions by the assimilation and production efficiency to calculate relative amount to production for each diet category,</w:t>
      </w:r>
      <w:r>
        <w:t xml:space="preserve"> </w:t>
      </w:r>
      <m:oMath>
        <m:r>
          <m:t>r</m:t>
        </m:r>
        <m:r>
          <m:t>e</m:t>
        </m:r>
        <m:r>
          <m:t>l</m:t>
        </m:r>
        <m:sSub>
          <m:e>
            <m:r>
              <m:t>P</m:t>
            </m:r>
          </m:e>
          <m:sub>
            <m:r>
              <m:t>j</m:t>
            </m:r>
          </m:sub>
        </m:sSub>
      </m:oMath>
    </w:p>
    <w:p>
      <w:pPr>
        <w:pStyle w:val="FirstParagraph"/>
      </w:pPr>
      <m:oMathPara>
        <m:oMathParaPr>
          <m:jc m:val="center"/>
        </m:oMathParaPr>
        <m:oMath>
          <m:r>
            <m:t>r</m:t>
          </m:r>
          <m:r>
            <m:t>e</m:t>
          </m:r>
          <m:r>
            <m:t>l</m:t>
          </m:r>
          <m:sSub>
            <m:e>
              <m:r>
                <m:t>P</m:t>
              </m:r>
            </m:e>
            <m:sub>
              <m:r>
                <m:t>j</m:t>
              </m:r>
            </m:sub>
          </m:sSub>
          <m:r>
            <m:rPr>
              <m:sty m:val="p"/>
            </m:rPr>
            <m:t>=</m:t>
          </m:r>
          <m:sSub>
            <m:e>
              <m:r>
                <m:t>p</m:t>
              </m:r>
            </m:e>
            <m:sub>
              <m:r>
                <m:t>j</m:t>
              </m:r>
            </m:sub>
          </m:sSub>
          <m:r>
            <m:rPr>
              <m:sty m:val="p"/>
            </m:rPr>
            <m:t>×</m:t>
          </m:r>
          <m:r>
            <m:t>A</m:t>
          </m:r>
          <m:sSub>
            <m:e>
              <m:r>
                <m:t>E</m:t>
              </m:r>
            </m:e>
            <m:sub>
              <m:r>
                <m:t>j</m:t>
              </m:r>
            </m:sub>
          </m:sSub>
          <m:r>
            <m:rPr>
              <m:sty m:val="p"/>
            </m:rPr>
            <m:t>×</m:t>
          </m:r>
          <m:r>
            <m:t>N</m:t>
          </m:r>
          <m:r>
            <m:t>P</m:t>
          </m:r>
          <m:r>
            <m:t>E</m:t>
          </m:r>
        </m:oMath>
      </m:oMathPara>
    </w:p>
    <w:p>
      <w:pPr>
        <w:numPr>
          <w:ilvl w:val="0"/>
          <w:numId w:val="1002"/>
        </w:numPr>
        <w:pStyle w:val="Compact"/>
      </w:pPr>
      <w:r>
        <w:t xml:space="preserve">Rescale to relative production attributed to each food category and multiply by production to calculate production attributed to each food category,</w:t>
      </w:r>
      <w:r>
        <w:t xml:space="preserve"> </w:t>
      </w:r>
      <m:oMath>
        <m:r>
          <m:t>S</m:t>
        </m:r>
        <m:sSub>
          <m:e>
            <m:r>
              <m:t>P</m:t>
            </m:r>
          </m:e>
          <m:sub>
            <m:r>
              <m:t>j</m:t>
            </m:r>
          </m:sub>
        </m:sSub>
      </m:oMath>
      <w:r>
        <w:t xml:space="preserve">.</w:t>
      </w:r>
    </w:p>
    <w:p>
      <w:pPr>
        <w:pStyle w:val="FirstParagraph"/>
      </w:pPr>
      <m:oMathPara>
        <m:oMathParaPr>
          <m:jc m:val="center"/>
        </m:oMathParaPr>
        <m:oMath>
          <m:r>
            <m:t>S</m:t>
          </m:r>
          <m:sSub>
            <m:e>
              <m:r>
                <m:t>P</m:t>
              </m:r>
            </m:e>
            <m:sub>
              <m:r>
                <m:t>j</m:t>
              </m:r>
            </m:sub>
          </m:sSub>
          <m:r>
            <m:rPr>
              <m:sty m:val="p"/>
            </m:rPr>
            <m:t>=</m:t>
          </m:r>
          <m:f>
            <m:fPr>
              <m:type m:val="bar"/>
            </m:fPr>
            <m:num>
              <m:r>
                <m:t>r</m:t>
              </m:r>
              <m:r>
                <m:t>e</m:t>
              </m:r>
              <m:r>
                <m:t>l</m:t>
              </m:r>
              <m:sSub>
                <m:e>
                  <m:r>
                    <m:t>P</m:t>
                  </m:r>
                </m:e>
                <m:sub>
                  <m:r>
                    <m:t>j</m:t>
                  </m:r>
                </m:sub>
              </m:sSub>
            </m:num>
            <m:den>
              <m:r>
                <m:rPr>
                  <m:sty m:val="p"/>
                </m:rPr>
                <m:t>∑</m:t>
              </m:r>
              <m:r>
                <m:t>j</m:t>
              </m:r>
              <m:r>
                <m:t>r</m:t>
              </m:r>
              <m:r>
                <m:t>e</m:t>
              </m:r>
              <m:r>
                <m:t>l</m:t>
              </m:r>
              <m:sSub>
                <m:e>
                  <m:r>
                    <m:t>P</m:t>
                  </m:r>
                </m:e>
                <m:sub>
                  <m:r>
                    <m:t>j</m:t>
                  </m:r>
                </m:sub>
              </m:sSub>
            </m:den>
          </m:f>
          <m:r>
            <m:rPr>
              <m:sty m:val="p"/>
            </m:rPr>
            <m:t>×</m:t>
          </m:r>
          <m:r>
            <m:t>S</m:t>
          </m:r>
          <m:sSub>
            <m:e>
              <m:r>
                <m:t>P</m:t>
              </m:r>
            </m:e>
            <m:sub>
              <m:r>
                <m:t>t</m:t>
              </m:r>
              <m:r>
                <m:t>o</m:t>
              </m:r>
              <m:r>
                <m:t>t</m:t>
              </m:r>
            </m:sub>
          </m:sSub>
        </m:oMath>
      </m:oMathPara>
    </w:p>
    <w:p>
      <w:pPr>
        <w:numPr>
          <w:ilvl w:val="0"/>
          <w:numId w:val="1003"/>
        </w:numPr>
        <w:pStyle w:val="Compact"/>
      </w:pPr>
      <w:r>
        <w:t xml:space="preserve">finally, we divide by the gross growth efficiency (</w:t>
      </w:r>
      <m:oMath>
        <m:r>
          <m:t>A</m:t>
        </m:r>
        <m:sSub>
          <m:e>
            <m:r>
              <m:t>E</m:t>
            </m:r>
          </m:e>
          <m:sub>
            <m:r>
              <m:t>j</m:t>
            </m:r>
          </m:sub>
        </m:sSub>
        <m:r>
          <m:rPr>
            <m:sty m:val="p"/>
          </m:rPr>
          <m:t>×</m:t>
        </m:r>
        <m:r>
          <m:t>N</m:t>
        </m:r>
        <m:r>
          <m:t>P</m:t>
        </m:r>
        <m:r>
          <m:t>E</m:t>
        </m:r>
      </m:oMath>
      <w:r>
        <w:t xml:space="preserve">) to calculate consumption of each food category:</w:t>
      </w:r>
    </w:p>
    <w:p>
      <w:pPr>
        <w:pStyle w:val="FirstParagraph"/>
      </w:pPr>
      <m:oMathPara>
        <m:oMathParaPr>
          <m:jc m:val="center"/>
        </m:oMathParaPr>
        <m:oMath>
          <m:sSub>
            <m:e>
              <m:r>
                <m:t>C</m:t>
              </m:r>
            </m:e>
            <m:sub>
              <m:r>
                <m:t>j</m:t>
              </m:r>
            </m:sub>
          </m:sSub>
          <m:r>
            <m:rPr>
              <m:sty m:val="p"/>
            </m:rPr>
            <m:t>=</m:t>
          </m:r>
          <m:r>
            <m:t>S</m:t>
          </m:r>
          <m:sSub>
            <m:e>
              <m:r>
                <m:t>P</m:t>
              </m:r>
            </m:e>
            <m:sub>
              <m:r>
                <m:t>j</m:t>
              </m:r>
            </m:sub>
          </m:sSub>
          <m:r>
            <m:rPr>
              <m:sty m:val="p"/>
            </m:rPr>
            <m:t>÷</m:t>
          </m:r>
          <m:r>
            <m:t>A</m:t>
          </m:r>
          <m:sSub>
            <m:e>
              <m:r>
                <m:t>E</m:t>
              </m:r>
            </m:e>
            <m:sub>
              <m:r>
                <m:t>j</m:t>
              </m:r>
            </m:sub>
          </m:sSub>
          <m:r>
            <m:rPr>
              <m:sty m:val="p"/>
            </m:rPr>
            <m:t>×</m:t>
          </m:r>
          <m:r>
            <m:t>N</m:t>
          </m:r>
          <m:r>
            <m:t>P</m:t>
          </m:r>
          <m:r>
            <m:t>E</m:t>
          </m:r>
        </m:oMath>
      </m:oMathPara>
    </w:p>
    <w:p>
      <w:pPr>
        <w:pStyle w:val="FirstParagraph"/>
      </w:pPr>
      <w:r>
        <w:t xml:space="preserve">Together,</w:t>
      </w:r>
    </w:p>
    <w:p>
      <w:r>
        <w:br w:type="page"/>
      </w:r>
    </w:p>
    <w:p>
      <w:pPr>
        <w:pStyle w:val="BodyText"/>
      </w:pPr>
      <w:r>
        <w:drawing>
          <wp:inline>
            <wp:extent cx="5943600" cy="4458157"/>
            <wp:effectExtent b="0" l="0" r="0" t="0"/>
            <wp:docPr descr="" title="" id="21" name="Picture"/>
            <a:graphic>
              <a:graphicData uri="http://schemas.openxmlformats.org/drawingml/2006/picture">
                <pic:pic>
                  <pic:nvPicPr>
                    <pic:cNvPr descr="C:/Users/jrjunker/Documents/Projects/MT_projects/Junker_temperature-energy-flux/doc/revision/TBP-supplemental_flat.tif" id="22" name="Picture"/>
                    <pic:cNvPicPr>
                      <a:picLocks noChangeArrowheads="1" noChangeAspect="1"/>
                    </pic:cNvPicPr>
                  </pic:nvPicPr>
                  <pic:blipFill>
                    <a:blip r:embed="rId20"/>
                    <a:stretch>
                      <a:fillRect/>
                    </a:stretch>
                  </pic:blipFill>
                  <pic:spPr bwMode="auto">
                    <a:xfrm>
                      <a:off x="0" y="0"/>
                      <a:ext cx="5943600" cy="4458157"/>
                    </a:xfrm>
                    <a:prstGeom prst="rect">
                      <a:avLst/>
                    </a:prstGeom>
                    <a:noFill/>
                    <a:ln w="9525">
                      <a:noFill/>
                      <a:headEnd/>
                      <a:tailEnd/>
                    </a:ln>
                  </pic:spPr>
                </pic:pic>
              </a:graphicData>
            </a:graphic>
          </wp:inline>
        </w:drawing>
      </w:r>
    </w:p>
    <w:bookmarkEnd w:id="23"/>
    <w:bookmarkStart w:id="29" w:name="references"/>
    <w:p>
      <w:pPr>
        <w:pStyle w:val="Heading1"/>
      </w:pPr>
      <w:r>
        <w:t xml:space="preserve">References</w:t>
      </w:r>
    </w:p>
    <w:bookmarkStart w:id="28" w:name="refs"/>
    <w:bookmarkStart w:id="25" w:name="ref-benke1980"/>
    <w:p>
      <w:pPr>
        <w:pStyle w:val="Bibliography"/>
      </w:pPr>
      <w:r>
        <w:t xml:space="preserve">Benke, A. C., and J. B. Wallace. 1980.</w:t>
      </w:r>
      <w:r>
        <w:t xml:space="preserve"> </w:t>
      </w:r>
      <w:hyperlink r:id="rId24">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25"/>
    <w:bookmarkStart w:id="27" w:name="ref-benke1997"/>
    <w:p>
      <w:pPr>
        <w:pStyle w:val="Bibliography"/>
      </w:pPr>
      <w:r>
        <w:t xml:space="preserve">Benke, A. C., and J. B. Wallace. 1997.</w:t>
      </w:r>
      <w:r>
        <w:t xml:space="preserve"> </w:t>
      </w:r>
      <w:hyperlink r:id="rId26">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27"/>
    <w:bookmarkEnd w:id="28"/>
    <w:bookmarkEnd w:id="29"/>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tiff" /><Relationship Type="http://schemas.openxmlformats.org/officeDocument/2006/relationships/hyperlink" Id="rId26" Target="https://doi.org/10.1890/0012-9658(1997)078[1132:TBOPAR]2.0.CO;2" TargetMode="External" /><Relationship Type="http://schemas.openxmlformats.org/officeDocument/2006/relationships/hyperlink" Id="rId24" Target="https://doi.org/10.2307/1937161"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890/0012-9658(1997)078[1132:TBOPAR]2.0.CO;2" TargetMode="External" /><Relationship Type="http://schemas.openxmlformats.org/officeDocument/2006/relationships/hyperlink" Id="rId24" Target="https://doi.org/10.2307/1937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2023-08-01T17:04:38Z</dcterms:created>
  <dcterms:modified xsi:type="dcterms:W3CDTF">2023-08-01T17:04:38Z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