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Appendix S1: Supporting information for James R. Junker, Wyatt F. Cross, James M. Hood, Jonathan P. Benstead, Alexander D. Huryn, Daniel Nelson, Jón S. Ólafsson, and Gísli M. Gíslason,</w:t>
      </w:r>
      <w:r>
        <w:t xml:space="preserve"> </w:t>
      </w:r>
      <w:r>
        <w:rPr>
          <w:iCs/>
          <w:i/>
        </w:rPr>
        <w:t xml:space="preserve">Environmental warming increases the importance of high-turnover energy channels in stream food webs</w:t>
      </w:r>
      <w:r>
        <w:t xml:space="preserve">. Ecology.</w:t>
      </w:r>
    </w:p>
    <w:bookmarkStart w:id="24" w:name="appendix-s1"/>
    <w:p>
      <w:pPr>
        <w:pStyle w:val="Heading2"/>
      </w:pPr>
      <w:r>
        <w:t xml:space="preserve">Appendix S1</w:t>
      </w:r>
    </w:p>
    <w:bookmarkStart w:id="23" w:name="section-s1-diet-analysis"/>
    <w:p>
      <w:pPr>
        <w:pStyle w:val="Heading3"/>
      </w:pPr>
      <w:r>
        <w:t xml:space="preserve">Section S1: Diet analysis</w:t>
      </w:r>
    </w:p>
    <w:p>
      <w:pPr>
        <w:pStyle w:val="FirstParagraph"/>
      </w:pP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contents for quantification. Briefly, we removed the foregut from each individual or collection of individuals and sonicated contents in water for 30 seconds. Gut content slurries were filtered 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 microscope slide, cleared with Type B immersion oil, and covered with a cover slip. We took 5–10 random photographs under 200–400x magnification, depending on the density of particles, using a digital camera mounted on a compound microscope. From these photographs we identified all particles within each field and measured the relative area of particles using image analysis software</w:t>
      </w:r>
      <w:r>
        <w:t xml:space="preserve"> </w:t>
      </w:r>
      <w:r>
        <w:t xml:space="preserve">(Schindelin et al. 2012)</w:t>
      </w:r>
      <w:r>
        <w:t xml:space="preserve">. We classified particles into six categories: diatoms, green and filamentous algae, cyanobacteria, amorphous detritus, vascular and non-vascular plants (e.g., bryophytes), and animal material and then calculated the proportion of each food category in the gut by dividing their summed area by the total area of all particles. Gut 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 hierarchical multivariate model</w:t>
      </w:r>
      <w:r>
        <w:t xml:space="preserve"> </w:t>
      </w:r>
      <w:r>
        <w:t xml:space="preserve">(Fordyce et al. 2011, Coblentz et al. 2017)</w:t>
      </w:r>
      <w:r>
        <w:t xml:space="preserve">. Here, the diet proportions of a consumer population,</w:t>
      </w:r>
      <w:r>
        <w:t xml:space="preserve"> </w:t>
      </w:r>
      <w:r>
        <w:rPr>
          <w:iCs/>
          <w:i/>
        </w:rPr>
        <w:t xml:space="preserve">i</w:t>
      </w:r>
      <w:r>
        <w:t xml:space="preserve">, in stream,</w:t>
      </w:r>
      <w:r>
        <w:t xml:space="preserve"> </w:t>
      </w:r>
      <w:r>
        <w:rPr>
          <w:iCs/>
          <w:i/>
        </w:rPr>
        <w:t xml:space="preserve">j</w:t>
      </w:r>
      <w:r>
        <w:t xml:space="preserve">, is estimated as:</w:t>
      </w:r>
    </w:p>
    <w:p>
      <w:pPr>
        <w:pStyle w:val="BodyText"/>
      </w:pPr>
      <m:oMathPara>
        <m:oMathParaPr>
          <m:jc m:val="center"/>
        </m:oMathParaPr>
        <m:oMath>
          <m:acc>
            <m:accPr>
              <m:chr m:val="⃗"/>
            </m:accPr>
            <m:e>
              <m:sSub>
                <m:e>
                  <m:r>
                    <m:t>p</m:t>
                  </m:r>
                </m:e>
                <m:sub>
                  <m:r>
                    <m:t>i</m:t>
                  </m:r>
                  <m:r>
                    <m:t>j</m:t>
                  </m:r>
                </m:sub>
              </m:sSub>
            </m:e>
          </m:acc>
          <m:r>
            <m:rPr>
              <m:sty m:val="p"/>
            </m:rPr>
            <m:t>∼</m:t>
          </m:r>
          <m:r>
            <m:t>D</m:t>
          </m:r>
          <m:r>
            <m:t>i</m:t>
          </m:r>
          <m:r>
            <m:t>r</m:t>
          </m:r>
          <m:r>
            <m:t>i</m:t>
          </m:r>
          <m:r>
            <m:t>c</m:t>
          </m:r>
          <m:r>
            <m:t>h</m:t>
          </m:r>
          <m:r>
            <m:t>l</m:t>
          </m:r>
          <m:r>
            <m:t>e</m:t>
          </m:r>
          <m:r>
            <m:t>t</m:t>
          </m:r>
          <m:d>
            <m:dPr>
              <m:begChr m:val="("/>
              <m:endChr m:val=")"/>
              <m:sepChr m:val=""/>
              <m:grow/>
            </m:dPr>
            <m:e>
              <m:acc>
                <m:accPr>
                  <m:chr m:val="⃗"/>
                </m:accPr>
                <m:e>
                  <m:sSub>
                    <m:e>
                      <m:r>
                        <m:t>q</m:t>
                      </m:r>
                    </m:e>
                    <m:sub>
                      <m:r>
                        <m:t>i</m:t>
                      </m:r>
                    </m:sub>
                  </m:sSub>
                </m:e>
              </m:acc>
              <m:r>
                <m:rPr>
                  <m:sty m:val="p"/>
                </m:rPr>
                <m:t>×</m:t>
              </m:r>
              <m:r>
                <m:t>α</m:t>
              </m:r>
            </m:e>
          </m:d>
        </m:oMath>
      </m:oMathPara>
    </w:p>
    <w:p>
      <w:pPr>
        <w:pStyle w:val="FirstParagraph"/>
      </w:pPr>
      <w:r>
        <w:t xml:space="preserve">where,</w:t>
      </w:r>
      <w:r>
        <w:t xml:space="preserve"> </w:t>
      </w:r>
      <m:oMath>
        <m:acc>
          <m:accPr>
            <m:chr m:val="⃗"/>
          </m:accPr>
          <m:e>
            <m:sSub>
              <m:e>
                <m:r>
                  <m:t>p</m:t>
                </m:r>
              </m:e>
              <m:sub>
                <m:r>
                  <m:t>i</m:t>
                </m:r>
                <m:r>
                  <m:t>j</m:t>
                </m:r>
              </m:sub>
            </m:sSub>
          </m:e>
        </m:acc>
      </m:oMath>
      <w:r>
        <w:t xml:space="preserve">, is</w:t>
      </w:r>
      <w:r>
        <w:t xml:space="preserve"> </w:t>
      </w:r>
      <w:r>
        <w:t xml:space="preserve">a vector of consumer diet proportions,</w:t>
      </w:r>
      <w:r>
        <w:t xml:space="preserve"> </w:t>
      </w:r>
      <m:oMath>
        <m:acc>
          <m:accPr>
            <m:chr m:val="⃗"/>
          </m:accPr>
          <m:e>
            <m:sSub>
              <m:e>
                <m:r>
                  <m:t>q</m:t>
                </m:r>
              </m:e>
              <m:sub>
                <m:r>
                  <m:t>i</m:t>
                </m:r>
                <m:r>
                  <m:t>j</m:t>
                </m:r>
              </m:sub>
            </m:sSub>
          </m:e>
        </m:acc>
      </m:oMath>
      <w:r>
        <w:t xml:space="preserve"> </w:t>
      </w:r>
      <w:r>
        <w:t xml:space="preserve">is a vector of the population</w:t>
      </w:r>
      <w:r>
        <w:t xml:space="preserve"> </w:t>
      </w:r>
      <m:oMath>
        <m:r>
          <m:t>i</m:t>
        </m:r>
      </m:oMath>
      <w:r>
        <w:t xml:space="preserve">’s diet proportions in stream</w:t>
      </w:r>
      <w:r>
        <w:t xml:space="preserve"> </w:t>
      </w:r>
      <m:oMath>
        <m:r>
          <m:t>j</m:t>
        </m:r>
      </m:oMath>
      <w:r>
        <w:t xml:space="preserve">. We used informed priors for the</w:t>
      </w:r>
      <w:r>
        <w:t xml:space="preserve"> </w:t>
      </w:r>
      <m:oMath>
        <m:acc>
          <m:accPr>
            <m:chr m:val="⃗"/>
          </m:accPr>
          <m:e>
            <m:sSub>
              <m:e>
                <m:r>
                  <m:t>q</m:t>
                </m:r>
              </m:e>
              <m:sub>
                <m:r>
                  <m:t>i</m:t>
                </m:r>
              </m:sub>
            </m:sSub>
          </m:e>
        </m:acc>
      </m:oMath>
      <w:r>
        <w:t xml:space="preserve"> </w:t>
      </w:r>
      <w:r>
        <w:t xml:space="preserve">vector of resource categories based on previous research that has determined diets are dominated by diatoms and green algae</w:t>
      </w:r>
      <w:r>
        <w:t xml:space="preserve"> </w:t>
      </w:r>
      <w:r>
        <w:t xml:space="preserve">(O’Gorman et al. 2012, Nelson et al. 2020)</w:t>
      </w:r>
      <w:r>
        <w:t xml:space="preserve">. The resource-specific</w:t>
      </w:r>
      <w:r>
        <w:t xml:space="preserve"> </w:t>
      </w:r>
      <m:oMath>
        <m:acc>
          <m:accPr>
            <m:chr m:val="⃗"/>
          </m:accPr>
          <m:e>
            <m:sSub>
              <m:e>
                <m:r>
                  <m:t>q</m:t>
                </m:r>
              </m:e>
              <m:sub>
                <m:r>
                  <m:t>i</m:t>
                </m:r>
              </m:sub>
            </m:sSub>
          </m:e>
        </m:acc>
      </m:oMath>
      <w:r>
        <w:t xml:space="preserve"> </w:t>
      </w:r>
      <w:r>
        <w:t xml:space="preserve">priors were as follows:</w:t>
      </w:r>
    </w:p>
    <w:p>
      <w:pPr>
        <w:pStyle w:val="BodyText"/>
      </w:pPr>
      <m:oMathPara>
        <m:oMathParaPr>
          <m:jc m:val="center"/>
        </m:oMathParaPr>
        <m:oMath>
          <m:sSub>
            <m:e>
              <m:r>
                <m:t>q</m:t>
              </m:r>
            </m:e>
            <m:sub>
              <m:r>
                <m:t>a</m:t>
              </m:r>
              <m:r>
                <m:t>n</m:t>
              </m:r>
              <m:r>
                <m:t>i</m:t>
              </m:r>
              <m:r>
                <m:t>m</m:t>
              </m:r>
              <m:r>
                <m:t>a</m:t>
              </m:r>
              <m:r>
                <m:t>l</m:t>
              </m:r>
            </m:sub>
          </m:sSub>
          <m:r>
            <m:rPr>
              <m:sty m:val="p"/>
            </m:rPr>
            <m:t>∼</m:t>
          </m:r>
          <m:r>
            <m:t>N</m:t>
          </m:r>
          <m:r>
            <m:t>o</m:t>
          </m:r>
          <m:r>
            <m:t>r</m:t>
          </m:r>
          <m:r>
            <m:t>m</m:t>
          </m:r>
          <m:r>
            <m:t>a</m:t>
          </m:r>
          <m:r>
            <m:t>l</m:t>
          </m:r>
          <m:d>
            <m:dPr>
              <m:begChr m:val="("/>
              <m:endChr m:val=")"/>
              <m:sepChr m:val=""/>
              <m:grow/>
            </m:dPr>
            <m:e>
              <m:r>
                <m:t>0</m:t>
              </m:r>
              <m:r>
                <m:rPr>
                  <m:sty m:val="p"/>
                </m:rPr>
                <m:t>,</m:t>
              </m:r>
              <m:r>
                <m:t>0.2</m:t>
              </m:r>
            </m:e>
          </m:d>
        </m:oMath>
      </m:oMathPara>
    </w:p>
    <w:p>
      <w:pPr>
        <w:pStyle w:val="FirstParagraph"/>
      </w:pPr>
      <m:oMathPara>
        <m:oMathParaPr>
          <m:jc m:val="center"/>
        </m:oMathParaPr>
        <m:oMath>
          <m:sSub>
            <m:e>
              <m:r>
                <m:t>q</m:t>
              </m:r>
            </m:e>
            <m:sub>
              <m:r>
                <m:t>c</m:t>
              </m:r>
              <m:r>
                <m:t>y</m:t>
              </m:r>
              <m:r>
                <m:t>a</m:t>
              </m:r>
              <m:r>
                <m:t>n</m:t>
              </m:r>
              <m:r>
                <m:t>o</m:t>
              </m:r>
              <m:r>
                <m:t>b</m:t>
              </m:r>
              <m:r>
                <m:t>a</m:t>
              </m:r>
              <m:r>
                <m:t>c</m:t>
              </m:r>
              <m:r>
                <m:t>t</m:t>
              </m:r>
              <m:r>
                <m:t>e</m:t>
              </m:r>
              <m:r>
                <m:t>r</m:t>
              </m:r>
              <m:r>
                <m:t>i</m:t>
              </m:r>
              <m:r>
                <m:t>a</m:t>
              </m:r>
            </m:sub>
          </m:sSub>
          <m:r>
            <m:rPr>
              <m:sty m:val="p"/>
            </m:rPr>
            <m:t>∼</m:t>
          </m:r>
          <m:r>
            <m:t>N</m:t>
          </m:r>
          <m:r>
            <m:t>o</m:t>
          </m:r>
          <m:r>
            <m:t>r</m:t>
          </m:r>
          <m:r>
            <m:t>m</m:t>
          </m:r>
          <m:r>
            <m:t>a</m:t>
          </m:r>
          <m:r>
            <m:t>l</m:t>
          </m:r>
          <m:d>
            <m:dPr>
              <m:begChr m:val="("/>
              <m:endChr m:val=")"/>
              <m:sepChr m:val=""/>
              <m:grow/>
            </m:dPr>
            <m:e>
              <m:r>
                <m:t>0</m:t>
              </m:r>
              <m:r>
                <m:rPr>
                  <m:sty m:val="p"/>
                </m:rPr>
                <m:t>,</m:t>
              </m:r>
              <m:r>
                <m:t>0.2</m:t>
              </m:r>
            </m:e>
          </m:d>
        </m:oMath>
      </m:oMathPara>
    </w:p>
    <w:p>
      <w:pPr>
        <w:pStyle w:val="FirstParagraph"/>
      </w:pPr>
      <m:oMathPara>
        <m:oMathParaPr>
          <m:jc m:val="center"/>
        </m:oMathParaPr>
        <m:oMath>
          <m:sSub>
            <m:e>
              <m:r>
                <m:t>q</m:t>
              </m:r>
            </m:e>
            <m:sub>
              <m:r>
                <m:t>d</m:t>
              </m:r>
              <m:r>
                <m:t>i</m:t>
              </m:r>
              <m:r>
                <m:t>a</m:t>
              </m:r>
              <m:r>
                <m:t>t</m:t>
              </m:r>
              <m:r>
                <m:t>o</m:t>
              </m:r>
              <m:r>
                <m:t>m</m:t>
              </m:r>
            </m:sub>
          </m:sSub>
          <m:r>
            <m:rPr>
              <m:sty m:val="p"/>
            </m:rPr>
            <m:t>∼</m:t>
          </m:r>
          <m:r>
            <m:t>N</m:t>
          </m:r>
          <m:r>
            <m:t>o</m:t>
          </m:r>
          <m:r>
            <m:t>r</m:t>
          </m:r>
          <m:r>
            <m:t>m</m:t>
          </m:r>
          <m:r>
            <m:t>a</m:t>
          </m:r>
          <m:r>
            <m:t>l</m:t>
          </m:r>
          <m:d>
            <m:dPr>
              <m:begChr m:val="("/>
              <m:endChr m:val=")"/>
              <m:sepChr m:val=""/>
              <m:grow/>
            </m:dPr>
            <m:e>
              <m:r>
                <m:t>1</m:t>
              </m:r>
              <m:r>
                <m:rPr>
                  <m:sty m:val="p"/>
                </m:rPr>
                <m:t>,</m:t>
              </m:r>
              <m:r>
                <m:t>2</m:t>
              </m:r>
            </m:e>
          </m:d>
        </m:oMath>
      </m:oMathPara>
    </w:p>
    <w:p>
      <w:pPr>
        <w:pStyle w:val="FirstParagraph"/>
      </w:pPr>
      <m:oMathPara>
        <m:oMathParaPr>
          <m:jc m:val="center"/>
        </m:oMathParaPr>
        <m:oMath>
          <m:sSub>
            <m:e>
              <m:r>
                <m:t>q</m:t>
              </m:r>
            </m:e>
            <m:sub>
              <m:r>
                <m:t>f</m:t>
              </m:r>
              <m:r>
                <m:t>i</m:t>
              </m:r>
              <m:r>
                <m:t>l</m:t>
              </m:r>
              <m:r>
                <m:t>a</m:t>
              </m:r>
              <m:r>
                <m:t>m</m:t>
              </m:r>
              <m:r>
                <m:t>e</m:t>
              </m:r>
              <m:r>
                <m:t>n</m:t>
              </m:r>
              <m:r>
                <m:t>t</m:t>
              </m:r>
              <m:r>
                <m:t>o</m:t>
              </m:r>
              <m:r>
                <m:t>u</m:t>
              </m:r>
              <m:r>
                <m:t>s</m:t>
              </m:r>
            </m:sub>
          </m:sSub>
          <m:r>
            <m:rPr>
              <m:sty m:val="p"/>
            </m:rPr>
            <m:t>∼</m:t>
          </m:r>
          <m:r>
            <m:t>N</m:t>
          </m:r>
          <m:r>
            <m:t>o</m:t>
          </m:r>
          <m:r>
            <m:t>r</m:t>
          </m:r>
          <m:r>
            <m:t>m</m:t>
          </m:r>
          <m:r>
            <m:t>a</m:t>
          </m:r>
          <m:r>
            <m:t>l</m:t>
          </m:r>
          <m:d>
            <m:dPr>
              <m:begChr m:val="("/>
              <m:endChr m:val=")"/>
              <m:sepChr m:val=""/>
              <m:grow/>
            </m:dPr>
            <m:e>
              <m:r>
                <m:t>0</m:t>
              </m:r>
              <m:r>
                <m:rPr>
                  <m:sty m:val="p"/>
                </m:rPr>
                <m:t>,</m:t>
              </m:r>
              <m:r>
                <m:t>3</m:t>
              </m:r>
            </m:e>
          </m:d>
        </m:oMath>
      </m:oMathPara>
    </w:p>
    <w:p>
      <w:pPr>
        <w:pStyle w:val="FirstParagraph"/>
      </w:pPr>
      <m:oMathPara>
        <m:oMathParaPr>
          <m:jc m:val="center"/>
        </m:oMathParaPr>
        <m:oMath>
          <m:sSub>
            <m:e>
              <m:r>
                <m:t>q</m:t>
              </m:r>
            </m:e>
            <m:sub>
              <m:r>
                <m:t>g</m:t>
              </m:r>
              <m:r>
                <m:t>r</m:t>
              </m:r>
              <m:r>
                <m:t>e</m:t>
              </m:r>
              <m:r>
                <m:t>e</m:t>
              </m:r>
              <m:r>
                <m:t>n</m:t>
              </m:r>
              <m:r>
                <m:t>a</m:t>
              </m:r>
              <m:r>
                <m:t>l</m:t>
              </m:r>
              <m:r>
                <m:t>g</m:t>
              </m:r>
              <m:r>
                <m:t>a</m:t>
              </m:r>
              <m:r>
                <m:t>e</m:t>
              </m:r>
            </m:sub>
          </m:sSub>
          <m:r>
            <m:rPr>
              <m:sty m:val="p"/>
            </m:rPr>
            <m:t>∼</m:t>
          </m:r>
          <m:r>
            <m:t>N</m:t>
          </m:r>
          <m:r>
            <m:t>o</m:t>
          </m:r>
          <m:r>
            <m:t>r</m:t>
          </m:r>
          <m:r>
            <m:t>m</m:t>
          </m:r>
          <m:r>
            <m:t>a</m:t>
          </m:r>
          <m:r>
            <m:t>l</m:t>
          </m:r>
          <m:d>
            <m:dPr>
              <m:begChr m:val="("/>
              <m:endChr m:val=")"/>
              <m:sepChr m:val=""/>
              <m:grow/>
            </m:dPr>
            <m:e>
              <m:r>
                <m:t>0</m:t>
              </m:r>
              <m:r>
                <m:rPr>
                  <m:sty m:val="p"/>
                </m:rPr>
                <m:t>,</m:t>
              </m:r>
              <m:r>
                <m:t>3</m:t>
              </m:r>
            </m:e>
          </m:d>
        </m:oMath>
      </m:oMathPara>
    </w:p>
    <w:p>
      <w:pPr>
        <w:pStyle w:val="FirstParagraph"/>
      </w:pPr>
      <m:oMathPara>
        <m:oMathParaPr>
          <m:jc m:val="center"/>
        </m:oMathParaPr>
        <m:oMath>
          <m:sSub>
            <m:e>
              <m:r>
                <m:t>q</m:t>
              </m:r>
            </m:e>
            <m:sub>
              <m:r>
                <m:t>p</m:t>
              </m:r>
              <m:r>
                <m:t>l</m:t>
              </m:r>
              <m:r>
                <m:t>a</m:t>
              </m:r>
              <m:r>
                <m:t>n</m:t>
              </m:r>
              <m:r>
                <m:t>t</m:t>
              </m:r>
              <m:r>
                <m:t>m</m:t>
              </m:r>
              <m:r>
                <m:t>a</m:t>
              </m:r>
              <m:r>
                <m:t>t</m:t>
              </m:r>
              <m:r>
                <m:t>e</m:t>
              </m:r>
              <m:r>
                <m:t>r</m:t>
              </m:r>
              <m:r>
                <m:t>i</m:t>
              </m:r>
              <m:r>
                <m:t>a</m:t>
              </m:r>
              <m:r>
                <m:t>l</m:t>
              </m:r>
            </m:sub>
          </m:sSub>
          <m:r>
            <m:rPr>
              <m:sty m:val="p"/>
            </m:rPr>
            <m:t>∼</m:t>
          </m:r>
          <m:r>
            <m:t>N</m:t>
          </m:r>
          <m:r>
            <m:t>o</m:t>
          </m:r>
          <m:r>
            <m:t>r</m:t>
          </m:r>
          <m:r>
            <m:t>m</m:t>
          </m:r>
          <m:r>
            <m:t>a</m:t>
          </m:r>
          <m:r>
            <m:t>l</m:t>
          </m:r>
          <m:d>
            <m:dPr>
              <m:begChr m:val="("/>
              <m:endChr m:val=")"/>
              <m:sepChr m:val=""/>
              <m:grow/>
            </m:dPr>
            <m:e>
              <m:r>
                <m:t>0</m:t>
              </m:r>
              <m:r>
                <m:rPr>
                  <m:sty m:val="p"/>
                </m:rPr>
                <m:t>,</m:t>
              </m:r>
              <m:r>
                <m:t>3</m:t>
              </m:r>
            </m:e>
          </m:d>
        </m:oMath>
      </m:oMathPara>
    </w:p>
    <w:p>
      <w:pPr>
        <w:pStyle w:val="FirstParagraph"/>
      </w:pPr>
      <w:r>
        <w:t xml:space="preserve">For</w:t>
      </w:r>
      <w:r>
        <w:t xml:space="preserve"> </w:t>
      </w:r>
      <m:oMath>
        <m:r>
          <m:t>α</m:t>
        </m:r>
      </m:oMath>
      <w:r>
        <w:t xml:space="preserve">, the parameter the describes the concentration (described as</w:t>
      </w:r>
      <w:r>
        <w:t xml:space="preserve"> </w:t>
      </w:r>
      <m:oMath>
        <m:r>
          <m:t>ϕ</m:t>
        </m:r>
      </m:oMath>
      <w:r>
        <w:t xml:space="preserve"> </w:t>
      </w:r>
      <w:r>
        <w:t xml:space="preserve">in the Stan model), we applied default priors:</w:t>
      </w:r>
    </w:p>
    <w:p>
      <w:pPr>
        <w:pStyle w:val="BodyText"/>
      </w:pPr>
      <m:oMathPara>
        <m:oMathParaPr>
          <m:jc m:val="center"/>
        </m:oMathParaPr>
        <m:oMath>
          <m:r>
            <m:t>α</m:t>
          </m:r>
          <m:r>
            <m:rPr>
              <m:sty m:val="p"/>
            </m:rPr>
            <m:t>∼</m:t>
          </m:r>
          <m:r>
            <m:t>G</m:t>
          </m:r>
          <m:r>
            <m:t>a</m:t>
          </m:r>
          <m:r>
            <m:t>m</m:t>
          </m:r>
          <m:r>
            <m:t>m</m:t>
          </m:r>
          <m:r>
            <m:t>a</m:t>
          </m:r>
          <m:d>
            <m:dPr>
              <m:begChr m:val="("/>
              <m:endChr m:val=")"/>
              <m:sepChr m:val=""/>
              <m:grow/>
            </m:dPr>
            <m:e>
              <m:r>
                <m:t>0.01</m:t>
              </m:r>
              <m:r>
                <m:rPr>
                  <m:sty m:val="p"/>
                </m:rPr>
                <m:t>,</m:t>
              </m:r>
              <m:r>
                <m:t>0.01</m:t>
              </m:r>
            </m:e>
          </m:d>
        </m:oMath>
      </m:oMathPara>
    </w:p>
    <w:p>
      <w:pPr>
        <w:pStyle w:val="FirstParagraph"/>
      </w:pPr>
      <w:r>
        <w:t xml:space="preserve">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 from the hierarchical model by resampling from posterior distributions. Importantly, this process allowed to maintain the hierarchical structure of the data when imputing missing values.</w:t>
      </w:r>
    </w:p>
    <w:p>
      <w:pPr>
        <w:pStyle w:val="BodyText"/>
      </w:pPr>
      <w:r>
        <w:t xml:space="preserve">From modeled diet compositions, we estimated trophic redundancy within and across stream food webs by calculating diet overlap with the</w:t>
      </w:r>
      <w:r>
        <w:t xml:space="preserve"> </w:t>
      </w:r>
      <w:r>
        <w:t xml:space="preserve">‘</w:t>
      </w:r>
      <w:r>
        <w:t xml:space="preserve">overlap()</w:t>
      </w:r>
      <w:r>
        <w:t xml:space="preserve">’</w:t>
      </w:r>
      <w:r>
        <w:t xml:space="preserve"> </w:t>
      </w:r>
      <w:r>
        <w:t xml:space="preserve">function in</w:t>
      </w:r>
      <w:r>
        <w:t xml:space="preserve"> </w:t>
      </w:r>
      <w:r>
        <w:t xml:space="preserve">‘</w:t>
      </w:r>
      <w:r>
        <w:t xml:space="preserve">RInSp</w:t>
      </w:r>
      <w:r>
        <w:t xml:space="preserve">’</w:t>
      </w:r>
      <w:r>
        <w:t xml:space="preserve"> </w:t>
      </w:r>
      <w:r>
        <w:t xml:space="preserve">package in R</w:t>
      </w:r>
      <w:r>
        <w:t xml:space="preserve"> </w:t>
      </w:r>
      <w:r>
        <w:t xml:space="preserve">(Zaccarelli et al. 2013)</w:t>
      </w:r>
      <w:r>
        <w:t xml:space="preserve">. Overlap was calculated across all taxa within a stream based on modeled diet contributions from each taxon. To calculate overlap among streams we sampled 1000 estimates of the stream-level diet proportions for each stream and calculated overlap for each.</w:t>
      </w:r>
    </w:p>
    <w:p>
      <w:pPr>
        <w:pStyle w:val="CaptionedFigure"/>
      </w:pPr>
      <w:r>
        <w:drawing>
          <wp:inline>
            <wp:extent cx="4582182" cy="3665746"/>
            <wp:effectExtent b="0" l="0" r="0" t="0"/>
            <wp:docPr descr="Appendix S1: Figure S1. Posterior distributions of site-level diet proportions for consumer communities across the temperature gradient." title="" id="21" name="Picture"/>
            <a:graphic>
              <a:graphicData uri="http://schemas.openxmlformats.org/drawingml/2006/picture">
                <pic:pic>
                  <pic:nvPicPr>
                    <pic:cNvPr descr="appendixS1_files/figure-docx/diet%20figure-1.png" id="22" name="Picture"/>
                    <pic:cNvPicPr>
                      <a:picLocks noChangeArrowheads="1" noChangeAspect="1"/>
                    </pic:cNvPicPr>
                  </pic:nvPicPr>
                  <pic:blipFill>
                    <a:blip r:embed="rId20"/>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Appendix S1: Figure S1. Posterior distributions of site-level diet proportions for consumer communities across the temperature gradient.</w:t>
      </w:r>
    </w:p>
    <w:bookmarkEnd w:id="23"/>
    <w:bookmarkEnd w:id="24"/>
    <w:bookmarkStart w:id="42" w:name="references"/>
    <w:p>
      <w:pPr>
        <w:pStyle w:val="Heading1"/>
      </w:pPr>
      <w:r>
        <w:t xml:space="preserve">References</w:t>
      </w:r>
    </w:p>
    <w:bookmarkStart w:id="41" w:name="refs"/>
    <w:bookmarkStart w:id="26" w:name="ref-burkner2017"/>
    <w:p>
      <w:pPr>
        <w:pStyle w:val="Bibliography"/>
      </w:pPr>
      <w:r>
        <w:t xml:space="preserve">Bürkner, P.-C. 2017.</w:t>
      </w:r>
      <w:r>
        <w:t xml:space="preserve"> </w:t>
      </w:r>
      <w:hyperlink r:id="rId25">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26"/>
    <w:bookmarkStart w:id="28" w:name="ref-coblentz2017"/>
    <w:p>
      <w:pPr>
        <w:pStyle w:val="Bibliography"/>
      </w:pPr>
      <w:r>
        <w:t xml:space="preserve">Coblentz, K. E., A. E. Rosenblatt, and M. Novak. 2017.</w:t>
      </w:r>
      <w:r>
        <w:t xml:space="preserve"> </w:t>
      </w:r>
      <w:hyperlink r:id="rId27">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28"/>
    <w:bookmarkStart w:id="30" w:name="ref-fordyce2011"/>
    <w:p>
      <w:pPr>
        <w:pStyle w:val="Bibliography"/>
      </w:pPr>
      <w:r>
        <w:t xml:space="preserve">Fordyce, J. A., Z. Gompert, M. L. Forister, and C. C. Nice. 2011.</w:t>
      </w:r>
      <w:r>
        <w:t xml:space="preserve"> </w:t>
      </w:r>
      <w:hyperlink r:id="rId29">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30"/>
    <w:bookmarkStart w:id="32" w:name="ref-nelson2020"/>
    <w:p>
      <w:pPr>
        <w:pStyle w:val="Bibliography"/>
      </w:pPr>
      <w:r>
        <w:t xml:space="preserve">Nelson, D., J. P. Benstead, A. D. Huryn, W. F. Cross, J. M. Hood, P. W. Johnson, J. R. Junker, G. M. Gíslason, and J. S. Ólafsson. 2020.</w:t>
      </w:r>
      <w:r>
        <w:t xml:space="preserve"> </w:t>
      </w:r>
      <w:hyperlink r:id="rId31">
        <w:r>
          <w:rPr>
            <w:rStyle w:val="Hyperlink"/>
          </w:rPr>
          <w:t xml:space="preserve">Thermal niche diversity and trophic redundancy drive neutral effects of warming on energy flux through a stream food web</w:t>
        </w:r>
      </w:hyperlink>
      <w:r>
        <w:t xml:space="preserve">. Ecology.</w:t>
      </w:r>
    </w:p>
    <w:bookmarkEnd w:id="32"/>
    <w:bookmarkStart w:id="34"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33">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34"/>
    <w:bookmarkStart w:id="36" w:name="ref-rosi-marshall2016"/>
    <w:p>
      <w:pPr>
        <w:pStyle w:val="Bibliography"/>
      </w:pPr>
      <w:r>
        <w:t xml:space="preserve">Rosi-Marshall, E. J., H. A. Wellard Kelly, R. O. Hall, and K. A. Vallis. 2016.</w:t>
      </w:r>
      <w:r>
        <w:t xml:space="preserve"> </w:t>
      </w:r>
      <w:hyperlink r:id="rId35">
        <w:r>
          <w:rPr>
            <w:rStyle w:val="Hyperlink"/>
          </w:rPr>
          <w:t xml:space="preserve">Methods for quantifying aquatic macroinvertebrate diets</w:t>
        </w:r>
      </w:hyperlink>
      <w:r>
        <w:t xml:space="preserve">. Freshwater Science 35:229–236.</w:t>
      </w:r>
    </w:p>
    <w:bookmarkEnd w:id="36"/>
    <w:bookmarkStart w:id="38"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37">
        <w:r>
          <w:rPr>
            <w:rStyle w:val="Hyperlink"/>
          </w:rPr>
          <w:t xml:space="preserve">Fiji: An open-source platform for biological-image analysis</w:t>
        </w:r>
      </w:hyperlink>
      <w:r>
        <w:t xml:space="preserve">. Nature Methods 9:676–682.</w:t>
      </w:r>
    </w:p>
    <w:bookmarkEnd w:id="38"/>
    <w:bookmarkStart w:id="40" w:name="ref-zaccarelli2013"/>
    <w:p>
      <w:pPr>
        <w:pStyle w:val="Bibliography"/>
      </w:pPr>
      <w:r>
        <w:t xml:space="preserve">Zaccarelli, N., D. I. Bolnick, and G. Mancinelli. 2013.</w:t>
      </w:r>
      <w:r>
        <w:t xml:space="preserve"> </w:t>
      </w:r>
      <w:hyperlink r:id="rId39">
        <w:r>
          <w:rPr>
            <w:rStyle w:val="Hyperlink"/>
          </w:rPr>
          <w:t xml:space="preserve">RInSp</w:t>
        </w:r>
        <w:r>
          <w:rPr>
            <w:rStyle w:val="Hyperlink"/>
          </w:rPr>
          <w:t xml:space="preserve">: An r package for the analysis of individual specialization in resource use</w:t>
        </w:r>
      </w:hyperlink>
      <w:r>
        <w:t xml:space="preserve">. Methods in Ecology and Evolution 4:1018–1023.</w:t>
      </w:r>
    </w:p>
    <w:bookmarkEnd w:id="40"/>
    <w:bookmarkEnd w:id="41"/>
    <w:bookmarkEnd w:id="42"/>
    <w:sectPr w:rsidR="008935F9" w:rsidSect="00634CDB">
      <w:headerReference r:id="rId9" w:type="default"/>
      <w:footerReference r:id="rId10" w:type="default"/>
      <w:pgSz w:code="1"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doi.org/10.1002/ecy.1802" TargetMode="External" /><Relationship Type="http://schemas.openxmlformats.org/officeDocument/2006/relationships/hyperlink" Id="rId31" Target="https://doi.org/10.1002/ecy.2952" TargetMode="External" /><Relationship Type="http://schemas.openxmlformats.org/officeDocument/2006/relationships/hyperlink" Id="rId33" Target="https://doi.org/10.1016/B978-0-12-398315-2.00002-8" TargetMode="External" /><Relationship Type="http://schemas.openxmlformats.org/officeDocument/2006/relationships/hyperlink" Id="rId37" Target="https://doi.org/10.1038/nmeth.2019" TargetMode="External" /><Relationship Type="http://schemas.openxmlformats.org/officeDocument/2006/relationships/hyperlink" Id="rId35" Target="https://doi.org/10.1086/684648" TargetMode="External" /><Relationship Type="http://schemas.openxmlformats.org/officeDocument/2006/relationships/hyperlink" Id="rId39" Target="https://doi.org/10.1111/2041-210X.12079" TargetMode="External" /><Relationship Type="http://schemas.openxmlformats.org/officeDocument/2006/relationships/hyperlink" Id="rId29" Target="https://doi.org/10.1371/journal.pone.0026785" TargetMode="External" /><Relationship Type="http://schemas.openxmlformats.org/officeDocument/2006/relationships/hyperlink" Id="rId25" Target="https://doi.org/10.18637/jss.v080.i01"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02/ecy.1802" TargetMode="External" /><Relationship Type="http://schemas.openxmlformats.org/officeDocument/2006/relationships/hyperlink" Id="rId31" Target="https://doi.org/10.1002/ecy.2952" TargetMode="External" /><Relationship Type="http://schemas.openxmlformats.org/officeDocument/2006/relationships/hyperlink" Id="rId33" Target="https://doi.org/10.1016/B978-0-12-398315-2.00002-8" TargetMode="External" /><Relationship Type="http://schemas.openxmlformats.org/officeDocument/2006/relationships/hyperlink" Id="rId37" Target="https://doi.org/10.1038/nmeth.2019" TargetMode="External" /><Relationship Type="http://schemas.openxmlformats.org/officeDocument/2006/relationships/hyperlink" Id="rId35" Target="https://doi.org/10.1086/684648" TargetMode="External" /><Relationship Type="http://schemas.openxmlformats.org/officeDocument/2006/relationships/hyperlink" Id="rId39" Target="https://doi.org/10.1111/2041-210X.12079" TargetMode="External" /><Relationship Type="http://schemas.openxmlformats.org/officeDocument/2006/relationships/hyperlink" Id="rId29" Target="https://doi.org/10.1371/journal.pone.0026785" TargetMode="External" /><Relationship Type="http://schemas.openxmlformats.org/officeDocument/2006/relationships/hyperlink" Id="rId25" Target="https://doi.org/10.18637/jss.v080.i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2023-12-20T21:13:00Z</dcterms:created>
  <dcterms:modified xsi:type="dcterms:W3CDTF">2023-12-20T21:13:00Z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institute">
    <vt:lpwstr/>
  </property>
  <property fmtid="{D5CDD505-2E9C-101B-9397-08002B2CF9AE}" pid="31" name="lastDelim">
    <vt:lpwstr>, </vt:lpwstr>
  </property>
  <property fmtid="{D5CDD505-2E9C-101B-9397-08002B2CF9AE}" pid="32" name="linestretch">
    <vt:lpwstr>1</vt:lpwstr>
  </property>
  <property fmtid="{D5CDD505-2E9C-101B-9397-08002B2CF9AE}" pid="33" name="link-citations">
    <vt:lpwstr>False</vt:lpwstr>
  </property>
  <property fmtid="{D5CDD505-2E9C-101B-9397-08002B2CF9AE}" pid="34" name="link-color">
    <vt:lpwstr>grey</vt:lpwstr>
  </property>
  <property fmtid="{D5CDD505-2E9C-101B-9397-08002B2CF9AE}" pid="35" name="linkReferences">
    <vt:lpwstr>False</vt:lpwstr>
  </property>
  <property fmtid="{D5CDD505-2E9C-101B-9397-08002B2CF9AE}" pid="36" name="listItemTitleDelim">
    <vt:lpwstr>.</vt:lpwstr>
  </property>
  <property fmtid="{D5CDD505-2E9C-101B-9397-08002B2CF9AE}" pid="37" name="listingTemplate">
    <vt:lpwstr>listingTitle ititleDelim t</vt:lpwstr>
  </property>
  <property fmtid="{D5CDD505-2E9C-101B-9397-08002B2CF9AE}" pid="38" name="listingTitle">
    <vt:lpwstr>Listing</vt:lpwstr>
  </property>
  <property fmtid="{D5CDD505-2E9C-101B-9397-08002B2CF9AE}" pid="39" name="listings">
    <vt:lpwstr>False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nameInLink">
    <vt:lpwstr>False</vt:lpwstr>
  </property>
  <property fmtid="{D5CDD505-2E9C-101B-9397-08002B2CF9AE}" pid="53" name="numberSections">
    <vt:lpwstr>False</vt:lpwstr>
  </property>
  <property fmtid="{D5CDD505-2E9C-101B-9397-08002B2CF9AE}" pid="54" name="output">
    <vt:lpwstr/>
  </property>
  <property fmtid="{D5CDD505-2E9C-101B-9397-08002B2CF9AE}" pid="55" name="pairDelim">
    <vt:lpwstr>,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secHeaderDelim">
    <vt:lpwstr> </vt:lpwstr>
  </property>
  <property fmtid="{D5CDD505-2E9C-101B-9397-08002B2CF9AE}" pid="60" name="secHeaderTemplate">
    <vt:lpwstr>isecHeaderDelim[n]t</vt:lpwstr>
  </property>
  <property fmtid="{D5CDD505-2E9C-101B-9397-08002B2CF9AE}" pid="61" name="secLabels">
    <vt:lpwstr>arabic</vt:lpwstr>
  </property>
  <property fmtid="{D5CDD505-2E9C-101B-9397-08002B2CF9AE}" pid="62" name="secPrefix">
    <vt:lpwstr/>
  </property>
  <property fmtid="{D5CDD505-2E9C-101B-9397-08002B2CF9AE}" pid="63" name="secPrefixTemplate">
    <vt:lpwstr>p i</vt:lpwstr>
  </property>
  <property fmtid="{D5CDD505-2E9C-101B-9397-08002B2CF9AE}" pid="64" name="sectionsDepth">
    <vt:lpwstr>0</vt:lpwstr>
  </property>
  <property fmtid="{D5CDD505-2E9C-101B-9397-08002B2CF9AE}" pid="65" name="subfigGrid">
    <vt:lpwstr>False</vt:lpwstr>
  </property>
  <property fmtid="{D5CDD505-2E9C-101B-9397-08002B2CF9AE}" pid="66" name="subfigLabels">
    <vt:lpwstr>alpha a</vt:lpwstr>
  </property>
  <property fmtid="{D5CDD505-2E9C-101B-9397-08002B2CF9AE}" pid="67" name="subfigureChildTemplate">
    <vt:lpwstr>i</vt:lpwstr>
  </property>
  <property fmtid="{D5CDD505-2E9C-101B-9397-08002B2CF9AE}" pid="68" name="subfigureRefIndexTemplate">
    <vt:lpwstr>isuf (s)</vt:lpwstr>
  </property>
  <property fmtid="{D5CDD505-2E9C-101B-9397-08002B2CF9AE}" pid="69" name="subfigureTemplate">
    <vt:lpwstr>figureTitle ititleDelim t. ccs</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ies>
</file>