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9B2" w:rsidRDefault="008A7EBA">
      <w:pPr>
        <w:pStyle w:val="FirstParagraph"/>
      </w:pPr>
      <w:r>
        <w:t xml:space="preserve">Appendix S2: Supporting information for Junker, J. R., W. F. Cross, J. M. Hood, J. P. Benstead, A. D. Huryn, D. Nelson, J. S. Ólafsson, and G. M. Gíslason, </w:t>
      </w:r>
      <w:r>
        <w:rPr>
          <w:i/>
          <w:iCs/>
        </w:rPr>
        <w:t>Environmental warming increases the importance of high-turnover energy channels in stream food webs</w:t>
      </w:r>
      <w:r>
        <w:t>. Ecology.</w:t>
      </w:r>
    </w:p>
    <w:p w:rsidR="003159B2" w:rsidRDefault="008A7EBA">
      <w:pPr>
        <w:pStyle w:val="Heading2"/>
      </w:pPr>
      <w:bookmarkStart w:id="0" w:name="appendix-s2"/>
      <w:r>
        <w:t>Appendix S2:</w:t>
      </w:r>
    </w:p>
    <w:p w:rsidR="003159B2" w:rsidRDefault="008A7EBA">
      <w:pPr>
        <w:pStyle w:val="FirstParagraph"/>
      </w:pPr>
      <w:r>
        <w:t>Appendix S2: Figure S1</w:t>
      </w:r>
    </w:p>
    <w:p w:rsidR="003159B2" w:rsidRDefault="008A7EBA">
      <w:pPr>
        <w:pStyle w:val="CaptionedFigure"/>
      </w:pPr>
      <w:r>
        <w:rPr>
          <w:noProof/>
        </w:rPr>
        <w:drawing>
          <wp:inline distT="0" distB="0" distL="0" distR="0">
            <wp:extent cx="5943600" cy="3661742"/>
            <wp:effectExtent l="0" t="0" r="0" b="0"/>
            <wp:docPr id="21" name="Picture" descr="Figure S1. Daily mean temperature (°C) across study streams for each day of year (doy) over the course of the study. Legend represents the annual mean temperate within each stream. This figure was modified from Junker 2019 with permissiom."/>
            <wp:cNvGraphicFramePr/>
            <a:graphic xmlns:a="http://schemas.openxmlformats.org/drawingml/2006/main">
              <a:graphicData uri="http://schemas.openxmlformats.org/drawingml/2006/picture">
                <pic:pic xmlns:pic="http://schemas.openxmlformats.org/drawingml/2006/picture">
                  <pic:nvPicPr>
                    <pic:cNvPr id="22" name="Picture" descr="C:/Users/jrjunker/Documents/Projects/MT_projects/Junker_temperature-energy-flux/doc/revision/tempDOY.png"/>
                    <pic:cNvPicPr>
                      <a:picLocks noChangeAspect="1" noChangeArrowheads="1"/>
                    </pic:cNvPicPr>
                  </pic:nvPicPr>
                  <pic:blipFill>
                    <a:blip r:embed="rId7"/>
                    <a:stretch>
                      <a:fillRect/>
                    </a:stretch>
                  </pic:blipFill>
                  <pic:spPr bwMode="auto">
                    <a:xfrm>
                      <a:off x="0" y="0"/>
                      <a:ext cx="5943600" cy="3661742"/>
                    </a:xfrm>
                    <a:prstGeom prst="rect">
                      <a:avLst/>
                    </a:prstGeom>
                    <a:noFill/>
                    <a:ln w="9525">
                      <a:noFill/>
                      <a:headEnd/>
                      <a:tailEnd/>
                    </a:ln>
                  </pic:spPr>
                </pic:pic>
              </a:graphicData>
            </a:graphic>
          </wp:inline>
        </w:drawing>
      </w:r>
    </w:p>
    <w:p w:rsidR="003159B2" w:rsidRDefault="008A7EBA">
      <w:pPr>
        <w:pStyle w:val="ImageCaption"/>
      </w:pPr>
      <w:r>
        <w:t>Figure S1. Daily mean temperature (°C) across study streams for each day of year (doy) over the course of the study. Legend represents the annual mean temperate within each stream. This figure was modified f</w:t>
      </w:r>
      <w:r>
        <w:t>rom Junker 2019 with permissiom.</w:t>
      </w:r>
    </w:p>
    <w:p w:rsidR="003159B2" w:rsidRDefault="008A7EBA">
      <w:r>
        <w:br w:type="page"/>
      </w:r>
    </w:p>
    <w:p w:rsidR="003159B2" w:rsidRDefault="008A7EBA">
      <w:pPr>
        <w:pStyle w:val="BodyText"/>
      </w:pPr>
      <w:r>
        <w:lastRenderedPageBreak/>
        <w:t>Appendix S2: Figure S2</w:t>
      </w:r>
    </w:p>
    <w:p w:rsidR="003159B2" w:rsidRDefault="008A7EBA">
      <w:pPr>
        <w:pStyle w:val="CaptionedFigure"/>
      </w:pPr>
      <w:r>
        <w:rPr>
          <w:noProof/>
        </w:rPr>
        <w:drawing>
          <wp:inline distT="0" distB="0" distL="0" distR="0">
            <wp:extent cx="5943600" cy="6736080"/>
            <wp:effectExtent l="0" t="0" r="0" b="0"/>
            <wp:docPr id="24" name="Picture" descr="Appendix S2: Figure S2. Species-level distributions of population variables (median \pm median absolute deviations) observed across all streams in the study. a) total annual organic matter flux, b) standing population biomass, c) population abundance, and d) mean individual body size. All variables have been log10-transformed."/>
            <wp:cNvGraphicFramePr/>
            <a:graphic xmlns:a="http://schemas.openxmlformats.org/drawingml/2006/main">
              <a:graphicData uri="http://schemas.openxmlformats.org/drawingml/2006/picture">
                <pic:pic xmlns:pic="http://schemas.openxmlformats.org/drawingml/2006/picture">
                  <pic:nvPicPr>
                    <pic:cNvPr id="25" name="Picture" descr="appendixS2_files/figure-docx/spp%20trait%20plot-1.png"/>
                    <pic:cNvPicPr>
                      <a:picLocks noChangeAspect="1" noChangeArrowheads="1"/>
                    </pic:cNvPicPr>
                  </pic:nvPicPr>
                  <pic:blipFill>
                    <a:blip r:embed="rId8"/>
                    <a:stretch>
                      <a:fillRect/>
                    </a:stretch>
                  </pic:blipFill>
                  <pic:spPr bwMode="auto">
                    <a:xfrm>
                      <a:off x="0" y="0"/>
                      <a:ext cx="5943600" cy="6736080"/>
                    </a:xfrm>
                    <a:prstGeom prst="rect">
                      <a:avLst/>
                    </a:prstGeom>
                    <a:noFill/>
                    <a:ln w="9525">
                      <a:noFill/>
                      <a:headEnd/>
                      <a:tailEnd/>
                    </a:ln>
                  </pic:spPr>
                </pic:pic>
              </a:graphicData>
            </a:graphic>
          </wp:inline>
        </w:drawing>
      </w:r>
    </w:p>
    <w:p w:rsidR="003159B2" w:rsidRDefault="008A7EBA" w:rsidP="00A42CD5">
      <w:pPr>
        <w:pStyle w:val="ImageCaption"/>
      </w:pPr>
      <w:r>
        <w:t xml:space="preserve">Appendix S2: Figure S2. Species-level distributions of population variables (median </w:t>
      </w:r>
      <m:oMath>
        <m:r>
          <w:rPr>
            <w:rFonts w:ascii="Cambria Math" w:hAnsi="Cambria Math"/>
          </w:rPr>
          <m:t>±</m:t>
        </m:r>
      </m:oMath>
      <w:r>
        <w:t xml:space="preserve"> median absolute deviations) observed across all streams in the study. a) total annual organic matter flux, b) </w:t>
      </w:r>
      <w:r>
        <w:t>standing population biomass, c) population abundance, and d) mean individual body size. All variables have been log</w:t>
      </w:r>
      <w:r>
        <w:rPr>
          <w:vertAlign w:val="subscript"/>
        </w:rPr>
        <w:t>10</w:t>
      </w:r>
      <w:r>
        <w:t>-transformed.</w:t>
      </w:r>
      <w:r>
        <w:br w:type="page"/>
      </w:r>
    </w:p>
    <w:p w:rsidR="003159B2" w:rsidRDefault="008A7EBA">
      <w:pPr>
        <w:pStyle w:val="BodyText"/>
      </w:pPr>
      <w:r>
        <w:lastRenderedPageBreak/>
        <w:t>A</w:t>
      </w:r>
      <w:r>
        <w:t>ppendix S2: Table S1</w:t>
      </w:r>
    </w:p>
    <w:p w:rsidR="003159B2" w:rsidRDefault="008A7EBA">
      <w:pPr>
        <w:pStyle w:val="TableCaption"/>
      </w:pPr>
      <w:r>
        <w:t>Appendix S2:Table S1. Evenness of organic matter fluxes among consumers within a stream community mea</w:t>
      </w:r>
      <w:r>
        <w:t>sured by the Gini index, both raw ('non-normalized') and 'normalized' for consumer richness</w:t>
      </w:r>
    </w:p>
    <w:tbl>
      <w:tblPr>
        <w:tblStyle w:val="Table"/>
        <w:tblW w:w="0" w:type="auto"/>
        <w:tblLook w:val="0020" w:firstRow="1" w:lastRow="0" w:firstColumn="0" w:lastColumn="0" w:noHBand="0" w:noVBand="0"/>
        <w:tblCaption w:val="Appendix S2:Table S1. Evenness of organic matter fluxes among consumers within a stream community measured by the Gini index, both raw ('non-normalized') and 'normalized' for consumer richness"/>
      </w:tblPr>
      <w:tblGrid>
        <w:gridCol w:w="1003"/>
        <w:gridCol w:w="2636"/>
        <w:gridCol w:w="2736"/>
      </w:tblGrid>
      <w:tr w:rsidR="003159B2" w:rsidTr="003159B2">
        <w:trPr>
          <w:cnfStyle w:val="100000000000" w:firstRow="1" w:lastRow="0" w:firstColumn="0" w:lastColumn="0" w:oddVBand="0" w:evenVBand="0" w:oddHBand="0" w:evenHBand="0" w:firstRowFirstColumn="0" w:firstRowLastColumn="0" w:lastRowFirstColumn="0" w:lastRowLastColumn="0"/>
          <w:tblHeader/>
        </w:trPr>
        <w:tc>
          <w:tcPr>
            <w:tcW w:w="0" w:type="auto"/>
          </w:tcPr>
          <w:p w:rsidR="003159B2" w:rsidRDefault="008A7EBA">
            <w:pPr>
              <w:pStyle w:val="Compact"/>
            </w:pPr>
            <w:r>
              <w:t>site</w:t>
            </w:r>
          </w:p>
        </w:tc>
        <w:tc>
          <w:tcPr>
            <w:tcW w:w="0" w:type="auto"/>
          </w:tcPr>
          <w:p w:rsidR="003159B2" w:rsidRDefault="008A7EBA">
            <w:pPr>
              <w:pStyle w:val="Compact"/>
              <w:jc w:val="right"/>
            </w:pPr>
            <w:r>
              <w:t>Non-normalized Gini</w:t>
            </w:r>
          </w:p>
        </w:tc>
        <w:tc>
          <w:tcPr>
            <w:tcW w:w="0" w:type="auto"/>
          </w:tcPr>
          <w:p w:rsidR="003159B2" w:rsidRDefault="008A7EBA">
            <w:pPr>
              <w:pStyle w:val="Compact"/>
              <w:jc w:val="right"/>
            </w:pPr>
            <w:r>
              <w:t>Normalized Gini</w:t>
            </w:r>
          </w:p>
        </w:tc>
      </w:tr>
      <w:tr w:rsidR="003159B2">
        <w:tc>
          <w:tcPr>
            <w:tcW w:w="0" w:type="auto"/>
          </w:tcPr>
          <w:p w:rsidR="003159B2" w:rsidRDefault="008A7EBA">
            <w:pPr>
              <w:pStyle w:val="Compact"/>
            </w:pPr>
            <w:r>
              <w:t>hver</w:t>
            </w:r>
          </w:p>
        </w:tc>
        <w:tc>
          <w:tcPr>
            <w:tcW w:w="0" w:type="auto"/>
          </w:tcPr>
          <w:p w:rsidR="003159B2" w:rsidRDefault="008A7EBA">
            <w:pPr>
              <w:pStyle w:val="Compact"/>
              <w:jc w:val="right"/>
            </w:pPr>
            <w:r>
              <w:t>0.22 ( 0.18 - 0.27 )</w:t>
            </w:r>
          </w:p>
        </w:tc>
        <w:tc>
          <w:tcPr>
            <w:tcW w:w="0" w:type="auto"/>
          </w:tcPr>
          <w:p w:rsidR="003159B2" w:rsidRDefault="008A7EBA">
            <w:pPr>
              <w:pStyle w:val="Compact"/>
              <w:jc w:val="right"/>
            </w:pPr>
            <w:r>
              <w:t>0.15 ( 0.11 - 0.19 )</w:t>
            </w:r>
          </w:p>
        </w:tc>
      </w:tr>
      <w:tr w:rsidR="003159B2">
        <w:tc>
          <w:tcPr>
            <w:tcW w:w="0" w:type="auto"/>
          </w:tcPr>
          <w:p w:rsidR="003159B2" w:rsidRDefault="008A7EBA">
            <w:pPr>
              <w:pStyle w:val="Compact"/>
            </w:pPr>
            <w:r>
              <w:t>oh2</w:t>
            </w:r>
          </w:p>
        </w:tc>
        <w:tc>
          <w:tcPr>
            <w:tcW w:w="0" w:type="auto"/>
          </w:tcPr>
          <w:p w:rsidR="003159B2" w:rsidRDefault="008A7EBA">
            <w:pPr>
              <w:pStyle w:val="Compact"/>
              <w:jc w:val="right"/>
            </w:pPr>
            <w:r>
              <w:t>0.29 ( 0.25 - 0.32 )</w:t>
            </w:r>
          </w:p>
        </w:tc>
        <w:tc>
          <w:tcPr>
            <w:tcW w:w="0" w:type="auto"/>
          </w:tcPr>
          <w:p w:rsidR="003159B2" w:rsidRDefault="008A7EBA">
            <w:pPr>
              <w:pStyle w:val="Compact"/>
              <w:jc w:val="right"/>
            </w:pPr>
            <w:r>
              <w:t>0.26 ( 0.23 - 0.3 )</w:t>
            </w:r>
          </w:p>
        </w:tc>
      </w:tr>
      <w:tr w:rsidR="003159B2">
        <w:tc>
          <w:tcPr>
            <w:tcW w:w="0" w:type="auto"/>
          </w:tcPr>
          <w:p w:rsidR="003159B2" w:rsidRDefault="008A7EBA">
            <w:pPr>
              <w:pStyle w:val="Compact"/>
            </w:pPr>
            <w:r>
              <w:t>st14</w:t>
            </w:r>
          </w:p>
        </w:tc>
        <w:tc>
          <w:tcPr>
            <w:tcW w:w="0" w:type="auto"/>
          </w:tcPr>
          <w:p w:rsidR="003159B2" w:rsidRDefault="008A7EBA">
            <w:pPr>
              <w:pStyle w:val="Compact"/>
              <w:jc w:val="right"/>
            </w:pPr>
            <w:r>
              <w:t>0.14 ( 0.097 - 0.21 )</w:t>
            </w:r>
          </w:p>
        </w:tc>
        <w:tc>
          <w:tcPr>
            <w:tcW w:w="0" w:type="auto"/>
          </w:tcPr>
          <w:p w:rsidR="003159B2" w:rsidRDefault="008A7EBA">
            <w:pPr>
              <w:pStyle w:val="Compact"/>
              <w:jc w:val="right"/>
            </w:pPr>
            <w:r>
              <w:t>0.1 ( 0.059 - 0.17 )</w:t>
            </w:r>
          </w:p>
        </w:tc>
      </w:tr>
      <w:tr w:rsidR="003159B2">
        <w:tc>
          <w:tcPr>
            <w:tcW w:w="0" w:type="auto"/>
          </w:tcPr>
          <w:p w:rsidR="003159B2" w:rsidRDefault="008A7EBA">
            <w:pPr>
              <w:pStyle w:val="Compact"/>
            </w:pPr>
            <w:r>
              <w:t>st6</w:t>
            </w:r>
          </w:p>
        </w:tc>
        <w:tc>
          <w:tcPr>
            <w:tcW w:w="0" w:type="auto"/>
          </w:tcPr>
          <w:p w:rsidR="003159B2" w:rsidRDefault="008A7EBA">
            <w:pPr>
              <w:pStyle w:val="Compact"/>
              <w:jc w:val="right"/>
            </w:pPr>
            <w:r>
              <w:t>0.13 ( 0.11 - 0.16 )</w:t>
            </w:r>
          </w:p>
        </w:tc>
        <w:tc>
          <w:tcPr>
            <w:tcW w:w="0" w:type="auto"/>
          </w:tcPr>
          <w:p w:rsidR="003159B2" w:rsidRDefault="008A7EBA">
            <w:pPr>
              <w:pStyle w:val="Compact"/>
              <w:jc w:val="right"/>
            </w:pPr>
            <w:r>
              <w:t>0.1 ( 0.079 - 0.13 )</w:t>
            </w:r>
          </w:p>
        </w:tc>
      </w:tr>
      <w:tr w:rsidR="003159B2">
        <w:tc>
          <w:tcPr>
            <w:tcW w:w="0" w:type="auto"/>
          </w:tcPr>
          <w:p w:rsidR="003159B2" w:rsidRDefault="008A7EBA">
            <w:pPr>
              <w:pStyle w:val="Compact"/>
            </w:pPr>
            <w:r>
              <w:t>st7</w:t>
            </w:r>
          </w:p>
        </w:tc>
        <w:tc>
          <w:tcPr>
            <w:tcW w:w="0" w:type="auto"/>
          </w:tcPr>
          <w:p w:rsidR="003159B2" w:rsidRDefault="008A7EBA">
            <w:pPr>
              <w:pStyle w:val="Compact"/>
              <w:jc w:val="right"/>
            </w:pPr>
            <w:r>
              <w:t>0.23 ( 0.2 - 0.26 )</w:t>
            </w:r>
          </w:p>
        </w:tc>
        <w:tc>
          <w:tcPr>
            <w:tcW w:w="0" w:type="auto"/>
          </w:tcPr>
          <w:p w:rsidR="003159B2" w:rsidRDefault="008A7EBA">
            <w:pPr>
              <w:pStyle w:val="Compact"/>
              <w:jc w:val="right"/>
            </w:pPr>
            <w:r>
              <w:t>0.2 ( 0.18 - 0.23 )</w:t>
            </w:r>
          </w:p>
        </w:tc>
      </w:tr>
      <w:tr w:rsidR="003159B2">
        <w:tc>
          <w:tcPr>
            <w:tcW w:w="0" w:type="auto"/>
          </w:tcPr>
          <w:p w:rsidR="003159B2" w:rsidRDefault="008A7EBA">
            <w:pPr>
              <w:pStyle w:val="Compact"/>
            </w:pPr>
            <w:r>
              <w:t>st9</w:t>
            </w:r>
          </w:p>
        </w:tc>
        <w:tc>
          <w:tcPr>
            <w:tcW w:w="0" w:type="auto"/>
          </w:tcPr>
          <w:p w:rsidR="003159B2" w:rsidRDefault="008A7EBA">
            <w:pPr>
              <w:pStyle w:val="Compact"/>
              <w:jc w:val="right"/>
            </w:pPr>
            <w:r>
              <w:t>0.091 ( 0.073 - 0.11 )</w:t>
            </w:r>
          </w:p>
        </w:tc>
        <w:tc>
          <w:tcPr>
            <w:tcW w:w="0" w:type="auto"/>
          </w:tcPr>
          <w:p w:rsidR="003159B2" w:rsidRDefault="008A7EBA">
            <w:pPr>
              <w:pStyle w:val="Compact"/>
              <w:jc w:val="right"/>
            </w:pPr>
            <w:r>
              <w:t>0.064 ( 0.045 - 0.082 )</w:t>
            </w:r>
          </w:p>
        </w:tc>
      </w:tr>
    </w:tbl>
    <w:p w:rsidR="003159B2" w:rsidRDefault="008A7EBA">
      <w:r>
        <w:br w:type="page"/>
      </w:r>
    </w:p>
    <w:p w:rsidR="003159B2" w:rsidRDefault="008A7EBA">
      <w:pPr>
        <w:pStyle w:val="BodyText"/>
      </w:pPr>
      <w:r>
        <w:lastRenderedPageBreak/>
        <w:t>Appendix S2: Figure S3</w:t>
      </w:r>
    </w:p>
    <w:p w:rsidR="003159B2" w:rsidRDefault="008A7EBA">
      <w:pPr>
        <w:pStyle w:val="CaptionedFigure"/>
      </w:pPr>
      <w:r>
        <w:rPr>
          <w:noProof/>
        </w:rPr>
        <w:drawing>
          <wp:inline distT="0" distB="0" distL="0" distR="0">
            <wp:extent cx="4583458" cy="3666766"/>
            <wp:effectExtent l="0" t="0" r="0" b="0"/>
            <wp:docPr id="27" name="Picture" descr="Appendix S2:Figure S3. Lorenz plot of relative community flux by species in ascending order of annual population organic matter flux (g AFDM m-2 y-1)"/>
            <wp:cNvGraphicFramePr/>
            <a:graphic xmlns:a="http://schemas.openxmlformats.org/drawingml/2006/main">
              <a:graphicData uri="http://schemas.openxmlformats.org/drawingml/2006/picture">
                <pic:pic xmlns:pic="http://schemas.openxmlformats.org/drawingml/2006/picture">
                  <pic:nvPicPr>
                    <pic:cNvPr id="28" name="Picture" descr="appendixS2_files/figure-docx/raw%20lorenz-1.png"/>
                    <pic:cNvPicPr>
                      <a:picLocks noChangeAspect="1" noChangeArrowheads="1"/>
                    </pic:cNvPicPr>
                  </pic:nvPicPr>
                  <pic:blipFill>
                    <a:blip r:embed="rId9"/>
                    <a:stretch>
                      <a:fillRect/>
                    </a:stretch>
                  </pic:blipFill>
                  <pic:spPr bwMode="auto">
                    <a:xfrm>
                      <a:off x="0" y="0"/>
                      <a:ext cx="4583458" cy="3666766"/>
                    </a:xfrm>
                    <a:prstGeom prst="rect">
                      <a:avLst/>
                    </a:prstGeom>
                    <a:noFill/>
                    <a:ln w="9525">
                      <a:noFill/>
                      <a:headEnd/>
                      <a:tailEnd/>
                    </a:ln>
                  </pic:spPr>
                </pic:pic>
              </a:graphicData>
            </a:graphic>
          </wp:inline>
        </w:drawing>
      </w:r>
    </w:p>
    <w:p w:rsidR="003159B2" w:rsidRDefault="008A7EBA">
      <w:pPr>
        <w:pStyle w:val="ImageCaption"/>
      </w:pPr>
      <w:r>
        <w:t>Appendix S2:Figure S3. Lorenz plot of relative community flux by species in ascending order of annual population organic matter flux (g AFDM m</w:t>
      </w:r>
      <w:r>
        <w:rPr>
          <w:vertAlign w:val="superscript"/>
        </w:rPr>
        <w:t>-2</w:t>
      </w:r>
      <w:r>
        <w:t xml:space="preserve"> y</w:t>
      </w:r>
      <w:r>
        <w:rPr>
          <w:vertAlign w:val="superscript"/>
        </w:rPr>
        <w:t>-1</w:t>
      </w:r>
      <w:r>
        <w:t>)</w:t>
      </w:r>
    </w:p>
    <w:p w:rsidR="003159B2" w:rsidRDefault="008A7EBA">
      <w:r>
        <w:br w:type="page"/>
      </w:r>
    </w:p>
    <w:p w:rsidR="003159B2" w:rsidRDefault="008A7EBA">
      <w:pPr>
        <w:pStyle w:val="BodyText"/>
      </w:pPr>
      <w:r>
        <w:lastRenderedPageBreak/>
        <w:t>Appendix S2: Figure S4</w:t>
      </w:r>
    </w:p>
    <w:p w:rsidR="003159B2" w:rsidRDefault="008A7EBA">
      <w:pPr>
        <w:pStyle w:val="CaptionedFigure"/>
      </w:pPr>
      <w:r>
        <w:rPr>
          <w:noProof/>
        </w:rPr>
        <w:drawing>
          <wp:inline distT="0" distB="0" distL="0" distR="0">
            <wp:extent cx="4583458" cy="3666766"/>
            <wp:effectExtent l="0" t="0" r="0" b="0"/>
            <wp:docPr id="30" name="Picture" descr="Appendix S2:Figure S4. Cumulative plot of relative community flux by species in relation to mean annual population biomass (mg m-2)."/>
            <wp:cNvGraphicFramePr/>
            <a:graphic xmlns:a="http://schemas.openxmlformats.org/drawingml/2006/main">
              <a:graphicData uri="http://schemas.openxmlformats.org/drawingml/2006/picture">
                <pic:pic xmlns:pic="http://schemas.openxmlformats.org/drawingml/2006/picture">
                  <pic:nvPicPr>
                    <pic:cNvPr id="31" name="Picture" descr="appendixS2_files/figure-docx/biomass%20lorenz-1.png"/>
                    <pic:cNvPicPr>
                      <a:picLocks noChangeAspect="1" noChangeArrowheads="1"/>
                    </pic:cNvPicPr>
                  </pic:nvPicPr>
                  <pic:blipFill>
                    <a:blip r:embed="rId10"/>
                    <a:stretch>
                      <a:fillRect/>
                    </a:stretch>
                  </pic:blipFill>
                  <pic:spPr bwMode="auto">
                    <a:xfrm>
                      <a:off x="0" y="0"/>
                      <a:ext cx="4583458" cy="3666766"/>
                    </a:xfrm>
                    <a:prstGeom prst="rect">
                      <a:avLst/>
                    </a:prstGeom>
                    <a:noFill/>
                    <a:ln w="9525">
                      <a:noFill/>
                      <a:headEnd/>
                      <a:tailEnd/>
                    </a:ln>
                  </pic:spPr>
                </pic:pic>
              </a:graphicData>
            </a:graphic>
          </wp:inline>
        </w:drawing>
      </w:r>
    </w:p>
    <w:p w:rsidR="003159B2" w:rsidRDefault="008A7EBA">
      <w:pPr>
        <w:pStyle w:val="ImageCaption"/>
      </w:pPr>
      <w:r>
        <w:t>Appendix S2:Figure S4. Cumulative plot of relative community flux by species in relation to mean annual population biomass (mg m</w:t>
      </w:r>
      <w:r>
        <w:rPr>
          <w:vertAlign w:val="superscript"/>
        </w:rPr>
        <w:t>-2</w:t>
      </w:r>
      <w:r>
        <w:t>).</w:t>
      </w:r>
    </w:p>
    <w:p w:rsidR="003159B2" w:rsidRDefault="008A7EBA">
      <w:r>
        <w:br w:type="page"/>
      </w:r>
    </w:p>
    <w:p w:rsidR="003159B2" w:rsidRDefault="008A7EBA">
      <w:pPr>
        <w:pStyle w:val="BodyText"/>
      </w:pPr>
      <w:r>
        <w:lastRenderedPageBreak/>
        <w:t>Appendix S2: Figure S5</w:t>
      </w:r>
    </w:p>
    <w:p w:rsidR="003159B2" w:rsidRDefault="008A7EBA">
      <w:pPr>
        <w:pStyle w:val="CaptionedFigure"/>
      </w:pPr>
      <w:r>
        <w:rPr>
          <w:noProof/>
        </w:rPr>
        <w:drawing>
          <wp:inline distT="0" distB="0" distL="0" distR="0">
            <wp:extent cx="4620126" cy="3696101"/>
            <wp:effectExtent l="0" t="0" r="0" b="0"/>
            <wp:docPr id="33" name="Picture" descr="Appendix S2:Figure S5. Probability distribution of empirical Skflux measurements in relation to (a) mean body size and (b) annual P:B compared to random species ordering. The red lines represent the 2.5% and 97.5% percentiles of the Skflux values from random ordering distributions in each stream community."/>
            <wp:cNvGraphicFramePr/>
            <a:graphic xmlns:a="http://schemas.openxmlformats.org/drawingml/2006/main">
              <a:graphicData uri="http://schemas.openxmlformats.org/drawingml/2006/picture">
                <pic:pic xmlns:pic="http://schemas.openxmlformats.org/drawingml/2006/picture">
                  <pic:nvPicPr>
                    <pic:cNvPr id="34" name="Picture" descr="appendixS2_files/figure-docx/skew%20distribution-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159B2" w:rsidRDefault="008A7EBA">
      <w:pPr>
        <w:pStyle w:val="ImageCaption"/>
      </w:pPr>
      <w:r>
        <w:t>Appendix S2:Figure S5. Probability distribution of empirical Sk</w:t>
      </w:r>
      <w:r>
        <w:rPr>
          <w:vertAlign w:val="subscript"/>
        </w:rPr>
        <w:t>flux</w:t>
      </w:r>
      <w:r>
        <w:t xml:space="preserve"> measurements in relation to </w:t>
      </w:r>
      <w:r>
        <w:t>(a) mean body size and (b) annual P:B compared to random species ordering. The red lines represent the 2.5% and 97.5% percentiles of the Sk</w:t>
      </w:r>
      <w:r>
        <w:rPr>
          <w:vertAlign w:val="subscript"/>
        </w:rPr>
        <w:t>flux</w:t>
      </w:r>
      <w:r>
        <w:t xml:space="preserve"> values from random ordering distributions in each stream community.</w:t>
      </w:r>
    </w:p>
    <w:p w:rsidR="003159B2" w:rsidRDefault="008A7EBA">
      <w:pPr>
        <w:pStyle w:val="Heading1"/>
      </w:pPr>
      <w:bookmarkStart w:id="1" w:name="references"/>
      <w:bookmarkEnd w:id="0"/>
      <w:r>
        <w:t>References</w:t>
      </w:r>
    </w:p>
    <w:p w:rsidR="003159B2" w:rsidRPr="00A42CD5" w:rsidRDefault="008A7EBA" w:rsidP="00A42CD5">
      <w:pPr>
        <w:pStyle w:val="Bibliography"/>
        <w:spacing w:line="480" w:lineRule="auto"/>
        <w:ind w:left="360" w:hanging="360"/>
        <w:rPr>
          <w:rFonts w:ascii="Times New Roman" w:hAnsi="Times New Roman" w:cs="Times New Roman"/>
        </w:rPr>
      </w:pPr>
      <w:bookmarkStart w:id="2" w:name="ref-junker2019"/>
      <w:bookmarkStart w:id="3" w:name="refs"/>
      <w:bookmarkStart w:id="4" w:name="_GoBack"/>
      <w:r w:rsidRPr="00A42CD5">
        <w:rPr>
          <w:rFonts w:ascii="Times New Roman" w:hAnsi="Times New Roman" w:cs="Times New Roman"/>
        </w:rPr>
        <w:t>Junker, J. R. 2019, November. The</w:t>
      </w:r>
      <w:r w:rsidRPr="00A42CD5">
        <w:rPr>
          <w:rFonts w:ascii="Times New Roman" w:hAnsi="Times New Roman" w:cs="Times New Roman"/>
        </w:rPr>
        <w:t xml:space="preserve"> effects of temperature on stream ecosystem structure, secondary production, and food web dynamics. Doctoral, Montana State University, Bozeman, MT.</w:t>
      </w:r>
      <w:bookmarkEnd w:id="1"/>
      <w:bookmarkEnd w:id="2"/>
      <w:bookmarkEnd w:id="3"/>
      <w:bookmarkEnd w:id="4"/>
    </w:p>
    <w:sectPr w:rsidR="003159B2" w:rsidRPr="00A42CD5" w:rsidSect="00634CDB">
      <w:headerReference w:type="default" r:id="rId12"/>
      <w:footerReference w:type="default" r:id="rId13"/>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7EBA" w:rsidRDefault="008A7EBA">
      <w:pPr>
        <w:spacing w:after="0"/>
      </w:pPr>
      <w:r>
        <w:separator/>
      </w:r>
    </w:p>
  </w:endnote>
  <w:endnote w:type="continuationSeparator" w:id="0">
    <w:p w:rsidR="008A7EBA" w:rsidRDefault="008A7E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8A7E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8A7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7EBA" w:rsidRDefault="008A7EBA">
      <w:r>
        <w:separator/>
      </w:r>
    </w:p>
  </w:footnote>
  <w:footnote w:type="continuationSeparator" w:id="0">
    <w:p w:rsidR="008A7EBA" w:rsidRDefault="008A7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8A7E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93802C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9B2"/>
    <w:rsid w:val="003159B2"/>
    <w:rsid w:val="008A7EBA"/>
    <w:rsid w:val="00A42C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AACB0-7F78-4779-97AE-9D93288E3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James Junker</cp:lastModifiedBy>
  <cp:revision>2</cp:revision>
  <dcterms:created xsi:type="dcterms:W3CDTF">2023-08-02T15:06:00Z</dcterms:created>
  <dcterms:modified xsi:type="dcterms:W3CDTF">2023-08-02T15:07:00Z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institute">
    <vt:lpwstr/>
  </property>
  <property fmtid="{D5CDD505-2E9C-101B-9397-08002B2CF9AE}" pid="31" name="lastDelim">
    <vt:lpwstr>, </vt:lpwstr>
  </property>
  <property fmtid="{D5CDD505-2E9C-101B-9397-08002B2CF9AE}" pid="32" name="linestretch">
    <vt:lpwstr>1</vt:lpwstr>
  </property>
  <property fmtid="{D5CDD505-2E9C-101B-9397-08002B2CF9AE}" pid="33" name="link-citations">
    <vt:lpwstr>False</vt:lpwstr>
  </property>
  <property fmtid="{D5CDD505-2E9C-101B-9397-08002B2CF9AE}" pid="34" name="link-color">
    <vt:lpwstr>grey</vt:lpwstr>
  </property>
  <property fmtid="{D5CDD505-2E9C-101B-9397-08002B2CF9AE}" pid="35" name="linkReferences">
    <vt:lpwstr>False</vt:lpwstr>
  </property>
  <property fmtid="{D5CDD505-2E9C-101B-9397-08002B2CF9AE}" pid="36" name="listItemTitleDelim">
    <vt:lpwstr>.</vt:lpwstr>
  </property>
  <property fmtid="{D5CDD505-2E9C-101B-9397-08002B2CF9AE}" pid="37" name="listingTemplate">
    <vt:lpwstr>listingTitle ititleDelim t</vt:lpwstr>
  </property>
  <property fmtid="{D5CDD505-2E9C-101B-9397-08002B2CF9AE}" pid="38" name="listingTitle">
    <vt:lpwstr>Listing</vt:lpwstr>
  </property>
  <property fmtid="{D5CDD505-2E9C-101B-9397-08002B2CF9AE}" pid="39" name="listings">
    <vt:lpwstr>False</vt:lpwstr>
  </property>
  <property fmtid="{D5CDD505-2E9C-101B-9397-08002B2CF9AE}" pid="40" name="lofItemTemplate">
    <vt:lpwstr>lofItemTitleilistItemTitleDelimt </vt:lpwstr>
  </property>
  <property fmtid="{D5CDD505-2E9C-101B-9397-08002B2CF9AE}" pid="41" name="lofItemTitle">
    <vt:lpwstr/>
  </property>
  <property fmtid="{D5CDD505-2E9C-101B-9397-08002B2CF9AE}" pid="42" name="lofTitle">
    <vt:lpwstr>List of Figures</vt:lpwstr>
  </property>
  <property fmtid="{D5CDD505-2E9C-101B-9397-08002B2CF9AE}" pid="43" name="lolItemTemplate">
    <vt:lpwstr>lolItemTitleilistItemTitleDelimt </vt:lpwstr>
  </property>
  <property fmtid="{D5CDD505-2E9C-101B-9397-08002B2CF9AE}" pid="44" name="lolItemTitle">
    <vt:lpwstr/>
  </property>
  <property fmtid="{D5CDD505-2E9C-101B-9397-08002B2CF9AE}" pid="45" name="lolTitle">
    <vt:lpwstr>List of Listings</vt:lpwstr>
  </property>
  <property fmtid="{D5CDD505-2E9C-101B-9397-08002B2CF9AE}" pid="46" name="lotItemTemplate">
    <vt:lpwstr>lotItemTitleilistItemTitleDelimt </vt:lpwstr>
  </property>
  <property fmtid="{D5CDD505-2E9C-101B-9397-08002B2CF9AE}" pid="47" name="lotItemTitle">
    <vt:lpwstr/>
  </property>
  <property fmtid="{D5CDD505-2E9C-101B-9397-08002B2CF9AE}" pid="48" name="lotTitle">
    <vt:lpwstr>List of Tables</vt:lpwstr>
  </property>
  <property fmtid="{D5CDD505-2E9C-101B-9397-08002B2CF9AE}" pid="49" name="lstLabels">
    <vt:lpwstr>arabic</vt:lpwstr>
  </property>
  <property fmtid="{D5CDD505-2E9C-101B-9397-08002B2CF9AE}" pid="50" name="lstPrefix">
    <vt:lpwstr/>
  </property>
  <property fmtid="{D5CDD505-2E9C-101B-9397-08002B2CF9AE}" pid="51" name="lstPrefixTemplate">
    <vt:lpwstr>p i</vt:lpwstr>
  </property>
  <property fmtid="{D5CDD505-2E9C-101B-9397-08002B2CF9AE}" pid="52" name="nameInLink">
    <vt:lpwstr>False</vt:lpwstr>
  </property>
  <property fmtid="{D5CDD505-2E9C-101B-9397-08002B2CF9AE}" pid="53" name="nocite">
    <vt:lpwstr>@junker2019</vt:lpwstr>
  </property>
  <property fmtid="{D5CDD505-2E9C-101B-9397-08002B2CF9AE}" pid="54" name="numberSections">
    <vt:lpwstr>False</vt:lpwstr>
  </property>
  <property fmtid="{D5CDD505-2E9C-101B-9397-08002B2CF9AE}" pid="55" name="output">
    <vt:lpwstr/>
  </property>
  <property fmtid="{D5CDD505-2E9C-101B-9397-08002B2CF9AE}" pid="56" name="pairDelim">
    <vt:lpwstr>,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secHeaderDelim">
    <vt:lpwstr> </vt:lpwstr>
  </property>
  <property fmtid="{D5CDD505-2E9C-101B-9397-08002B2CF9AE}" pid="61" name="secHeaderTemplate">
    <vt:lpwstr>isecHeaderDelim[n]t</vt:lpwstr>
  </property>
  <property fmtid="{D5CDD505-2E9C-101B-9397-08002B2CF9AE}" pid="62" name="secLabels">
    <vt:lpwstr>arabic</vt:lpwstr>
  </property>
  <property fmtid="{D5CDD505-2E9C-101B-9397-08002B2CF9AE}" pid="63" name="secPrefix">
    <vt:lpwstr/>
  </property>
  <property fmtid="{D5CDD505-2E9C-101B-9397-08002B2CF9AE}" pid="64" name="secPrefixTemplate">
    <vt:lpwstr>p i</vt:lpwstr>
  </property>
  <property fmtid="{D5CDD505-2E9C-101B-9397-08002B2CF9AE}" pid="65" name="sectionsDepth">
    <vt:lpwstr>0</vt:lpwstr>
  </property>
  <property fmtid="{D5CDD505-2E9C-101B-9397-08002B2CF9AE}" pid="66" name="subfigGrid">
    <vt:lpwstr>False</vt:lpwstr>
  </property>
  <property fmtid="{D5CDD505-2E9C-101B-9397-08002B2CF9AE}" pid="67" name="subfigLabels">
    <vt:lpwstr>alpha a</vt:lpwstr>
  </property>
  <property fmtid="{D5CDD505-2E9C-101B-9397-08002B2CF9AE}" pid="68" name="subfigureChildTemplate">
    <vt:lpwstr>i</vt:lpwstr>
  </property>
  <property fmtid="{D5CDD505-2E9C-101B-9397-08002B2CF9AE}" pid="69" name="subfigureRefIndexTemplate">
    <vt:lpwstr>isuf (s)</vt:lpwstr>
  </property>
  <property fmtid="{D5CDD505-2E9C-101B-9397-08002B2CF9AE}" pid="70" name="subfigureTemplate">
    <vt:lpwstr>figureTitle ititleDelim t. ccs</vt:lpwstr>
  </property>
  <property fmtid="{D5CDD505-2E9C-101B-9397-08002B2CF9AE}" pid="71" name="tableEqns">
    <vt:lpwstr>False</vt:lpwstr>
  </property>
  <property fmtid="{D5CDD505-2E9C-101B-9397-08002B2CF9AE}" pid="72" name="tableTemplate">
    <vt:lpwstr>tableTitle ititleDelim t</vt:lpwstr>
  </property>
  <property fmtid="{D5CDD505-2E9C-101B-9397-08002B2CF9AE}" pid="73" name="tableTitle">
    <vt:lpwstr>Table</vt:lpwstr>
  </property>
  <property fmtid="{D5CDD505-2E9C-101B-9397-08002B2CF9AE}" pid="74" name="tblLabels">
    <vt:lpwstr>arabic</vt:lpwstr>
  </property>
  <property fmtid="{D5CDD505-2E9C-101B-9397-08002B2CF9AE}" pid="75" name="tblPrefix">
    <vt:lpwstr/>
  </property>
  <property fmtid="{D5CDD505-2E9C-101B-9397-08002B2CF9AE}" pid="76" name="tblPrefixTemplate">
    <vt:lpwstr>p i</vt:lpwstr>
  </property>
  <property fmtid="{D5CDD505-2E9C-101B-9397-08002B2CF9AE}" pid="77" name="titleDelim">
    <vt:lpwstr>:</vt:lpwstr>
  </property>
</Properties>
</file>