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t>
      </w:r>
      <w:r w:rsidR="005B3361">
        <w:t xml:space="preserve">that </w:t>
      </w:r>
      <w:r w:rsidR="00864164">
        <w:t xml:space="preserve">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w:t>
      </w:r>
      <w:proofErr w:type="spellStart"/>
      <w:r w:rsidR="009E5E05">
        <w:t>Blei</w:t>
      </w:r>
      <w:proofErr w:type="spellEnd"/>
      <w:r w:rsidR="009E5E05">
        <w:t xml:space="preserve">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w:t>
      </w:r>
      <w:proofErr w:type="spellStart"/>
      <w:r w:rsidR="00687740">
        <w:t>Blei</w:t>
      </w:r>
      <w:proofErr w:type="spellEnd"/>
      <w:r w:rsidR="00687740">
        <w:t xml:space="preserve">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scription and notation (</w:t>
      </w:r>
      <w:proofErr w:type="spellStart"/>
      <w:r w:rsidR="00687740">
        <w:t>Blei</w:t>
      </w:r>
      <w:proofErr w:type="spellEnd"/>
      <w:r w:rsidR="00687740">
        <w:t xml:space="preserve">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w:t>
      </w:r>
      <w:proofErr w:type="spellStart"/>
      <w:r w:rsidR="00B206DA">
        <w:t>Blei</w:t>
      </w:r>
      <w:proofErr w:type="spellEnd"/>
      <w:r w:rsidR="00B206DA">
        <w:t xml:space="preserve">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w:t>
      </w:r>
      <w:proofErr w:type="spellStart"/>
      <w:r w:rsidR="00835BDB">
        <w:t>Kleykamp</w:t>
      </w:r>
      <w:proofErr w:type="spellEnd"/>
      <w:r w:rsidR="00835BDB">
        <w:t xml:space="preserve">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xml:space="preserve">; Western and </w:t>
      </w:r>
      <w:proofErr w:type="spellStart"/>
      <w:r w:rsidR="00BC09AA">
        <w:t>Kleykamp</w:t>
      </w:r>
      <w:proofErr w:type="spellEnd"/>
      <w:r w:rsidR="00BC09AA">
        <w:t xml:space="preserve">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 xml:space="preserve">Western and </w:t>
      </w:r>
      <w:proofErr w:type="spellStart"/>
      <w:r w:rsidR="00430CB6" w:rsidRPr="00BC1CE1">
        <w:t>Kleykamp</w:t>
      </w:r>
      <w:proofErr w:type="spellEnd"/>
      <w:r w:rsidR="00430CB6" w:rsidRPr="00BC1CE1">
        <w:t xml:space="preserve">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w:t>
      </w:r>
      <w:proofErr w:type="spellStart"/>
      <w:r w:rsidR="003152B8">
        <w:t>Ratajczak</w:t>
      </w:r>
      <w:proofErr w:type="spellEnd"/>
      <w:r w:rsidR="003152B8">
        <w:t xml:space="preserve">,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 xml:space="preserve">Western and </w:t>
      </w:r>
      <w:proofErr w:type="spellStart"/>
      <w:r w:rsidR="00BC09AA" w:rsidRPr="00BC1CE1">
        <w:t>Kleykamp</w:t>
      </w:r>
      <w:proofErr w:type="spellEnd"/>
      <w:r w:rsidR="00BC09AA" w:rsidRPr="00BC1CE1">
        <w:t xml:space="preserve">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 xml:space="preserve">McCullagh and </w:t>
      </w:r>
      <w:proofErr w:type="spellStart"/>
      <w:r w:rsidR="00BC09AA">
        <w:rPr>
          <w:rFonts w:eastAsiaTheme="minorEastAsia"/>
        </w:rPr>
        <w:t>Nelder</w:t>
      </w:r>
      <w:proofErr w:type="spellEnd"/>
      <w:r w:rsidR="00BC09AA">
        <w:rPr>
          <w:rFonts w:eastAsiaTheme="minorEastAsia"/>
        </w:rPr>
        <w:t xml:space="preserve"> 1989</w:t>
      </w:r>
      <w:r w:rsidR="00BC09AA">
        <w:t xml:space="preserve">) the model of Western and </w:t>
      </w:r>
      <w:proofErr w:type="spellStart"/>
      <w:r w:rsidR="00BC09AA">
        <w:t>Kleykamp</w:t>
      </w:r>
      <w:proofErr w:type="spellEnd"/>
      <w:r w:rsidR="00BC09AA">
        <w:t xml:space="preserve"> (2004) </w:t>
      </w:r>
      <w:r w:rsidR="00F10277">
        <w:t xml:space="preserve">using </w:t>
      </w:r>
      <w:proofErr w:type="spellStart"/>
      <w:r w:rsidR="00F10277">
        <w:t>softmax</w:t>
      </w:r>
      <w:proofErr w:type="spellEnd"/>
      <w:r w:rsidR="00F10277">
        <w:t xml:space="preserve">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w:t>
      </w:r>
      <w:proofErr w:type="spellStart"/>
      <w:r w:rsidR="00687740">
        <w:t>ptMCMC</w:t>
      </w:r>
      <w:proofErr w:type="spellEnd"/>
      <w:r w:rsidR="00687740">
        <w:t>)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proofErr w:type="spellStart"/>
      <w:r w:rsidR="00A67185" w:rsidRPr="00A67185">
        <w:t>Karssenberg</w:t>
      </w:r>
      <w:proofErr w:type="spellEnd"/>
      <w:r w:rsidR="00A67185" w:rsidRPr="00A67185">
        <w:t xml:space="preserve"> </w:t>
      </w:r>
      <w:r w:rsidR="00A67185">
        <w:rPr>
          <w:i/>
        </w:rPr>
        <w:t xml:space="preserve">et al. </w:t>
      </w:r>
      <w:r w:rsidR="00A67185">
        <w:t xml:space="preserve">2017, </w:t>
      </w:r>
      <w:proofErr w:type="spellStart"/>
      <w:r w:rsidR="008F6D34">
        <w:t>Ratajczak</w:t>
      </w:r>
      <w:proofErr w:type="spellEnd"/>
      <w:r w:rsidR="008F6D34">
        <w:t xml:space="preserve">,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proofErr w:type="spellStart"/>
      <w:r w:rsidR="00EC4CC8">
        <w:t>Scheffer</w:t>
      </w:r>
      <w:proofErr w:type="spellEnd"/>
      <w:r w:rsidR="00EC4CC8">
        <w:t xml:space="preserve">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 xml:space="preserve">is currently available via the </w:t>
      </w:r>
      <w:proofErr w:type="spellStart"/>
      <w:r>
        <w:t>Weecology</w:t>
      </w:r>
      <w:proofErr w:type="spellEnd"/>
      <w:r>
        <w:t xml:space="preserve">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r w:rsidR="006F7913">
        <w:t xml:space="preserve">the </w:t>
      </w:r>
      <w:proofErr w:type="spellStart"/>
      <w:r>
        <w:t>ptMCMC</w:t>
      </w:r>
      <w:proofErr w:type="spellEnd"/>
      <w:r>
        <w:t xml:space="preserve">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6030590D"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2D1AD3"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w:t>
      </w:r>
      <w:proofErr w:type="spellStart"/>
      <w:r>
        <w:rPr>
          <w:rFonts w:eastAsiaTheme="minorEastAsia"/>
        </w:rPr>
        <w:t>discretizable</w:t>
      </w:r>
      <w:proofErr w:type="spellEnd"/>
      <w:r>
        <w:rPr>
          <w:rFonts w:eastAsiaTheme="minorEastAsia"/>
        </w:rPr>
        <w:t xml:space="preserv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2D1AD3"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w:t>
      </w:r>
      <w:proofErr w:type="spellStart"/>
      <w:r w:rsidR="00262CD9">
        <w:rPr>
          <w:rFonts w:eastAsiaTheme="minorEastAsia"/>
        </w:rPr>
        <w:t>Blei</w:t>
      </w:r>
      <w:proofErr w:type="spellEnd"/>
      <w:r w:rsidR="00262CD9">
        <w:rPr>
          <w:rFonts w:eastAsiaTheme="minorEastAsia"/>
        </w:rPr>
        <w:t xml:space="preserve">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2D1AD3"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w:t>
      </w:r>
      <w:proofErr w:type="spellStart"/>
      <w:r w:rsidR="004108BE">
        <w:t>Blei</w:t>
      </w:r>
      <w:proofErr w:type="spellEnd"/>
      <w:r w:rsidR="004108BE">
        <w:t xml:space="preserve">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2D1AD3"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proofErr w:type="spellStart"/>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as</w:t>
      </w:r>
      <w:proofErr w:type="spellEnd"/>
      <w:r w:rsidR="00041DBF">
        <w:rPr>
          <w:rFonts w:eastAsiaTheme="minorEastAsia"/>
        </w:rPr>
        <w:t xml:space="preserve">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t>topicmodels</w:t>
      </w:r>
      <w:proofErr w:type="spellEnd"/>
      <w:r w:rsidR="00222E8E">
        <w:rPr>
          <w:rFonts w:eastAsiaTheme="minorEastAsia"/>
        </w:rPr>
        <w:t xml:space="preserve"> package (v0.2-7; </w:t>
      </w:r>
      <w:proofErr w:type="spellStart"/>
      <w:r w:rsidR="009610DC">
        <w:t>Grün</w:t>
      </w:r>
      <w:proofErr w:type="spellEnd"/>
      <w:r w:rsidR="009610DC">
        <w:rPr>
          <w:rFonts w:eastAsiaTheme="minorEastAsia"/>
        </w:rPr>
        <w:t xml:space="preserve"> </w:t>
      </w:r>
      <w:r w:rsidR="00222E8E">
        <w:rPr>
          <w:rFonts w:eastAsiaTheme="minorEastAsia"/>
        </w:rPr>
        <w:t xml:space="preserve">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2D1A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2D1A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2D1AD3"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2D1AD3"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2D1AD3"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 xml:space="preserve">We base our model on that indicator regression approach of Western and </w:t>
      </w:r>
      <w:proofErr w:type="spellStart"/>
      <w:r w:rsidR="00C244E6">
        <w:t>Kleykamp</w:t>
      </w:r>
      <w:proofErr w:type="spellEnd"/>
      <w:r w:rsidR="00C244E6">
        <w:t xml:space="preserve">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w:t>
      </w:r>
      <w:proofErr w:type="spellStart"/>
      <w:r w:rsidR="001800FB">
        <w:rPr>
          <w:rFonts w:eastAsiaTheme="minorEastAsia"/>
        </w:rPr>
        <w:t>Kleykamp</w:t>
      </w:r>
      <w:proofErr w:type="spellEnd"/>
      <w:r w:rsidR="001800FB">
        <w:rPr>
          <w:rFonts w:eastAsiaTheme="minorEastAsia"/>
        </w:rPr>
        <w:t xml:space="preserve">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w:t>
      </w:r>
      <w:proofErr w:type="spellStart"/>
      <w:r w:rsidR="00F27E48">
        <w:rPr>
          <w:rFonts w:eastAsiaTheme="minorEastAsia"/>
        </w:rPr>
        <w:t>Nelder</w:t>
      </w:r>
      <w:proofErr w:type="spellEnd"/>
      <w:r w:rsidR="00F27E48">
        <w:rPr>
          <w:rFonts w:eastAsiaTheme="minorEastAsia"/>
        </w:rPr>
        <w:t xml:space="preserve">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 xml:space="preserve">Western and </w:t>
      </w:r>
      <w:proofErr w:type="spellStart"/>
      <w:r w:rsidR="004A0908">
        <w:rPr>
          <w:rFonts w:eastAsiaTheme="minorEastAsia"/>
        </w:rPr>
        <w:t>Kleykamp</w:t>
      </w:r>
      <w:proofErr w:type="spellEnd"/>
      <w:r w:rsidR="004A0908">
        <w:rPr>
          <w:rFonts w:eastAsiaTheme="minorEastAsia"/>
        </w:rPr>
        <w:t xml:space="preserve">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w:t>
      </w:r>
      <w:proofErr w:type="spellStart"/>
      <w:r w:rsidR="003B4532">
        <w:rPr>
          <w:rFonts w:eastAsiaTheme="minorEastAsia"/>
        </w:rPr>
        <w:t>Kleykamp</w:t>
      </w:r>
      <w:proofErr w:type="spellEnd"/>
      <w:r w:rsidR="003B4532">
        <w:rPr>
          <w:rFonts w:eastAsiaTheme="minorEastAsia"/>
        </w:rPr>
        <w:t xml:space="preserve"> 2004, Hobbs and Hooten 2015) </w:t>
      </w:r>
      <w:r w:rsidR="00731CFC">
        <w:rPr>
          <w:rFonts w:eastAsiaTheme="minorEastAsia"/>
        </w:rPr>
        <w:t xml:space="preserve">considering the realizations as </w:t>
      </w:r>
      <w:proofErr w:type="spellStart"/>
      <w:r w:rsidR="00731CFC">
        <w:rPr>
          <w:rFonts w:eastAsiaTheme="minorEastAsia"/>
        </w:rPr>
        <w:t>submodels</w:t>
      </w:r>
      <w:proofErr w:type="spellEnd"/>
      <w:r w:rsidR="00731CFC">
        <w:rPr>
          <w:rFonts w:eastAsiaTheme="minorEastAsia"/>
        </w:rPr>
        <w:t xml:space="preserve">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5"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5"/>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6"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6"/>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7" w:name="_Hlk528610684"/>
        <w:tc>
          <w:tcPr>
            <w:tcW w:w="7740" w:type="dxa"/>
          </w:tcPr>
          <w:p w14:paraId="3AD90DD4" w14:textId="2170330E" w:rsidR="00B6377C" w:rsidRPr="00412185" w:rsidRDefault="002D1AD3"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7"/>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8" w:name="_Hlk528610702"/>
      <w:bookmarkStart w:id="29"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8"/>
      <w:r>
        <w:rPr>
          <w:rFonts w:eastAsiaTheme="minorEastAsia"/>
        </w:rPr>
        <w:t>)</w:t>
      </w:r>
      <w:r w:rsidR="009C5267">
        <w:rPr>
          <w:rFonts w:eastAsiaTheme="minorEastAsia"/>
        </w:rPr>
        <w:t xml:space="preserve">, </w:t>
      </w:r>
      <w:bookmarkEnd w:id="29"/>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0"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0"/>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 xml:space="preserve">Western and </w:t>
      </w:r>
      <w:proofErr w:type="spellStart"/>
      <w:r w:rsidR="00C244E6">
        <w:rPr>
          <w:rFonts w:eastAsiaTheme="minorEastAsia"/>
        </w:rPr>
        <w:t>Kleykamp</w:t>
      </w:r>
      <w:proofErr w:type="spellEnd"/>
      <w:r w:rsidR="00C244E6">
        <w:rPr>
          <w:rFonts w:eastAsiaTheme="minorEastAsia"/>
        </w:rPr>
        <w:t xml:space="preserve">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w:t>
      </w:r>
      <w:proofErr w:type="spellStart"/>
      <w:r w:rsidR="00790DF6">
        <w:rPr>
          <w:rFonts w:eastAsiaTheme="minorEastAsia"/>
        </w:rPr>
        <w:t>Kleykamp</w:t>
      </w:r>
      <w:proofErr w:type="spellEnd"/>
      <w:r w:rsidR="00790DF6">
        <w:rPr>
          <w:rFonts w:eastAsiaTheme="minorEastAsia"/>
        </w:rPr>
        <w:t xml:space="preserve">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1" w:name="_Hlk529352076"/>
      <w:r w:rsidR="00790DF6">
        <w:rPr>
          <w:rFonts w:eastAsiaTheme="minorEastAsia"/>
        </w:rPr>
        <w:t>leading to a substantial increase in the number of parameters fit by the model, which would be computationally prohibitive to fit under a single model allowing for full covariance due to the size of the variance-covariance matrix (</w:t>
      </w:r>
      <w:proofErr w:type="spellStart"/>
      <w:r w:rsidR="00790DF6">
        <w:rPr>
          <w:rFonts w:eastAsiaTheme="minorEastAsia"/>
        </w:rPr>
        <w:t>Genz</w:t>
      </w:r>
      <w:proofErr w:type="spellEnd"/>
      <w:r w:rsidR="00790DF6">
        <w:rPr>
          <w:rFonts w:eastAsiaTheme="minorEastAsia"/>
        </w:rPr>
        <w:t xml:space="preserve"> 1992). (Although see </w:t>
      </w:r>
      <w:r w:rsidR="00790DF6">
        <w:rPr>
          <w:rFonts w:eastAsiaTheme="minorEastAsia"/>
          <w:b/>
        </w:rPr>
        <w:t>FUTURE DEVELOPMENTS</w:t>
      </w:r>
      <w:r w:rsidR="00790DF6">
        <w:rPr>
          <w:rFonts w:eastAsiaTheme="minorEastAsia"/>
        </w:rPr>
        <w:t>.)</w:t>
      </w:r>
      <w:bookmarkEnd w:id="31"/>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2"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2"/>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3"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w:t>
      </w:r>
      <w:proofErr w:type="spellStart"/>
      <w:r>
        <w:rPr>
          <w:rFonts w:eastAsiaTheme="minorEastAsia"/>
        </w:rPr>
        <w:t>Kleykamp</w:t>
      </w:r>
      <w:proofErr w:type="spellEnd"/>
      <w:r>
        <w:rPr>
          <w:rFonts w:eastAsiaTheme="minorEastAsia"/>
        </w:rPr>
        <w:t xml:space="preserve">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w:t>
      </w:r>
      <w:proofErr w:type="spellStart"/>
      <w:r>
        <w:rPr>
          <w:rFonts w:eastAsiaTheme="minorEastAsia"/>
        </w:rPr>
        <w:t>Nelder</w:t>
      </w:r>
      <w:proofErr w:type="spellEnd"/>
      <w:r>
        <w:rPr>
          <w:rFonts w:eastAsiaTheme="minorEastAsia"/>
        </w:rPr>
        <w:t xml:space="preserve"> 1989) and modeling the data using a log-linear multinomial (aka multinomial logit or </w:t>
      </w:r>
      <w:proofErr w:type="spellStart"/>
      <w:r>
        <w:rPr>
          <w:rFonts w:eastAsiaTheme="minorEastAsia"/>
        </w:rPr>
        <w:t>softmax</w:t>
      </w:r>
      <w:proofErr w:type="spellEnd"/>
      <w:r>
        <w:rPr>
          <w:rFonts w:eastAsiaTheme="minorEastAsia"/>
        </w:rPr>
        <w:t xml:space="preserve">) regression (Ripley 1996, </w:t>
      </w:r>
      <w:bookmarkStart w:id="34" w:name="_Hlk524130811"/>
      <w:r>
        <w:rPr>
          <w:rFonts w:eastAsiaTheme="minorEastAsia"/>
        </w:rPr>
        <w:t>Venables and Ripley 2002)</w:t>
      </w:r>
      <w:bookmarkEnd w:id="34"/>
      <w:r>
        <w:rPr>
          <w:rFonts w:eastAsiaTheme="minorEastAsia"/>
        </w:rPr>
        <w:t xml:space="preserve"> based on a set of augmented parameters </w:t>
      </w:r>
      <w:bookmarkStart w:id="35"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5"/>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2D1AD3"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w:proofErr w:type="spellStart"/>
      <m:oMath>
        <m:r>
          <m:rPr>
            <m:nor/>
          </m:rPr>
          <w:rPr>
            <w:rFonts w:ascii="Cambria Math" w:eastAsiaTheme="minorEastAsia" w:hAnsi="Cambria Math"/>
          </w:rPr>
          <m:t>softmax</m:t>
        </m:r>
      </m:oMath>
      <w:proofErr w:type="spellEnd"/>
      <w:r>
        <w:rPr>
          <w:rFonts w:eastAsiaTheme="minorEastAsia"/>
        </w:rPr>
        <w:t xml:space="preserve"> is the normalized exponential function that generalizes the logistic function to multiple dimensions (Bishop 2006). This representation is aligned with the generalized linear model equation (McCullagh and </w:t>
      </w:r>
      <w:proofErr w:type="spellStart"/>
      <w:r>
        <w:rPr>
          <w:rFonts w:eastAsiaTheme="minorEastAsia"/>
        </w:rPr>
        <w:t>Nelder</w:t>
      </w:r>
      <w:proofErr w:type="spellEnd"/>
      <w:r>
        <w:rPr>
          <w:rFonts w:eastAsiaTheme="minorEastAsia"/>
        </w:rPr>
        <w:t xml:space="preserve"> 1989), wherein our link and inverse link functions are the multinomial logit and </w:t>
      </w:r>
      <w:proofErr w:type="spellStart"/>
      <w:r>
        <w:rPr>
          <w:rFonts w:eastAsiaTheme="minorEastAsia"/>
        </w:rPr>
        <w:t>softmax</w:t>
      </w:r>
      <w:proofErr w:type="spellEnd"/>
      <w:r>
        <w:rPr>
          <w:rFonts w:eastAsiaTheme="minorEastAsia"/>
        </w:rPr>
        <w:t xml:space="preserve">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w:t>
      </w:r>
      <w:proofErr w:type="spellStart"/>
      <w:r>
        <w:rPr>
          <w:rFonts w:eastAsiaTheme="minorEastAsia"/>
        </w:rPr>
        <w:t>submodel</w:t>
      </w:r>
      <w:proofErr w:type="spellEnd"/>
      <w:r>
        <w:rPr>
          <w:rFonts w:eastAsiaTheme="minorEastAsia"/>
        </w:rPr>
        <w:t xml:space="preserve">).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6"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6"/>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2D1AD3"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7CBE64E2"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w:t>
      </w:r>
      <w:proofErr w:type="spellStart"/>
      <w:r w:rsidR="00C14654">
        <w:rPr>
          <w:rFonts w:eastAsiaTheme="minorEastAsia"/>
        </w:rPr>
        <w:t>Hoerl</w:t>
      </w:r>
      <w:proofErr w:type="spellEnd"/>
      <w:r w:rsidR="00C14654">
        <w:rPr>
          <w:rFonts w:eastAsiaTheme="minorEastAsia"/>
        </w:rPr>
        <w:t xml:space="preserve"> 1962, </w:t>
      </w:r>
      <w:proofErr w:type="spellStart"/>
      <w:r w:rsidR="00C14654">
        <w:rPr>
          <w:rFonts w:eastAsiaTheme="minorEastAsia"/>
        </w:rPr>
        <w:t>Hoerl</w:t>
      </w:r>
      <w:proofErr w:type="spellEnd"/>
      <w:r w:rsidR="00C14654">
        <w:rPr>
          <w:rFonts w:eastAsiaTheme="minorEastAsia"/>
        </w:rPr>
        <w:t xml:space="preserve">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w:t>
      </w:r>
      <w:proofErr w:type="spellStart"/>
      <w:r w:rsidR="00C14654">
        <w:rPr>
          <w:rFonts w:eastAsiaTheme="minorEastAsia"/>
        </w:rPr>
        <w:t>Arsenin</w:t>
      </w:r>
      <w:proofErr w:type="spellEnd"/>
      <w:r w:rsidR="00C14654">
        <w:rPr>
          <w:rFonts w:eastAsiaTheme="minorEastAsia"/>
        </w:rPr>
        <w:t xml:space="preserve">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7" w:name="_Hlk529225440"/>
          </w:p>
        </w:tc>
        <w:bookmarkStart w:id="38" w:name="_Hlk529286907"/>
        <w:tc>
          <w:tcPr>
            <w:tcW w:w="7740" w:type="dxa"/>
          </w:tcPr>
          <w:p w14:paraId="7A106A29" w14:textId="0B2A31A4" w:rsidR="00C87D72" w:rsidRPr="00412185" w:rsidRDefault="002D1AD3"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38"/>
          </w:p>
        </w:tc>
        <w:tc>
          <w:tcPr>
            <w:tcW w:w="1075" w:type="dxa"/>
            <w:vAlign w:val="center"/>
          </w:tcPr>
          <w:p w14:paraId="62C5938A" w14:textId="13EF15F3" w:rsidR="00C87D72" w:rsidRDefault="00C87D72" w:rsidP="00EE7579">
            <w:pPr>
              <w:widowControl w:val="0"/>
              <w:jc w:val="center"/>
            </w:pPr>
            <w:r>
              <w:t>[19]</w:t>
            </w:r>
          </w:p>
        </w:tc>
      </w:tr>
      <w:bookmarkEnd w:id="37"/>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2D1AD3"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2D1AD3"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39"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39"/>
      <w:r w:rsidR="00E03856">
        <w:rPr>
          <w:rFonts w:eastAsiaTheme="minorEastAsia"/>
        </w:rPr>
        <w:t xml:space="preserve">) </w:t>
      </w:r>
      <w:r>
        <w:rPr>
          <w:rFonts w:eastAsiaTheme="minorEastAsia"/>
        </w:rPr>
        <w:t xml:space="preserve">applies the </w:t>
      </w:r>
      <w:proofErr w:type="spellStart"/>
      <m:oMath>
        <m:r>
          <m:rPr>
            <m:nor/>
          </m:rPr>
          <w:rPr>
            <w:rFonts w:ascii="Cambria Math" w:eastAsiaTheme="minorEastAsia" w:hAnsi="Cambria Math"/>
          </w:rPr>
          <m:t>softmax</m:t>
        </m:r>
      </m:oMath>
      <w:proofErr w:type="spellEnd"/>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w:proofErr w:type="spellStart"/>
      <m:oMath>
        <m:r>
          <m:rPr>
            <m:nor/>
          </m:rPr>
          <w:rPr>
            <w:rFonts w:ascii="Cambria Math" w:eastAsiaTheme="minorEastAsia" w:hAnsi="Cambria Math"/>
          </w:rPr>
          <m:t>softmax</m:t>
        </m:r>
      </m:oMath>
      <w:proofErr w:type="spellEnd"/>
      <w:r w:rsidR="000A0BB0">
        <w:rPr>
          <w:rFonts w:eastAsiaTheme="minorEastAsia"/>
        </w:rPr>
        <w:t xml:space="preserve"> function</w:t>
      </w:r>
      <w:r w:rsidR="00563BA0">
        <w:rPr>
          <w:rFonts w:eastAsiaTheme="minorEastAsia"/>
        </w:rPr>
        <w:t xml:space="preserve">, whose output depends on the full set of inputs (Appendix 3). Further, because the </w:t>
      </w:r>
      <w:proofErr w:type="spellStart"/>
      <m:oMath>
        <m:r>
          <m:rPr>
            <m:nor/>
          </m:rPr>
          <w:rPr>
            <w:rFonts w:ascii="Cambria Math" w:eastAsiaTheme="minorEastAsia" w:hAnsi="Cambria Math"/>
          </w:rPr>
          <m:t>softmax</m:t>
        </m:r>
      </m:oMath>
      <w:proofErr w:type="spellEnd"/>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0" w:name="_Hlk529286916"/>
        <w:tc>
          <w:tcPr>
            <w:tcW w:w="8100" w:type="dxa"/>
          </w:tcPr>
          <w:p w14:paraId="1E1C8766" w14:textId="21FFDFD3" w:rsidR="0076110A" w:rsidRPr="0076110A" w:rsidRDefault="002D1AD3"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1"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1"/>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0"/>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 xml:space="preserve">Western and </w:t>
      </w:r>
      <w:proofErr w:type="spellStart"/>
      <w:r w:rsidR="0030155D">
        <w:rPr>
          <w:rFonts w:eastAsiaTheme="minorEastAsia"/>
        </w:rPr>
        <w:t>Kleykam</w:t>
      </w:r>
      <w:r w:rsidR="0069067F">
        <w:rPr>
          <w:rFonts w:eastAsiaTheme="minorEastAsia"/>
        </w:rPr>
        <w:t>p</w:t>
      </w:r>
      <w:proofErr w:type="spellEnd"/>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w:t>
      </w:r>
      <w:proofErr w:type="spellStart"/>
      <w:r>
        <w:rPr>
          <w:rFonts w:eastAsiaTheme="minorEastAsia"/>
        </w:rPr>
        <w:t>Kleykamp</w:t>
      </w:r>
      <w:proofErr w:type="spellEnd"/>
      <w:r>
        <w:rPr>
          <w:rFonts w:eastAsiaTheme="minorEastAsia"/>
        </w:rPr>
        <w:t xml:space="preserve"> 2004, Ruggieri 2013). </w:t>
      </w:r>
      <w:bookmarkStart w:id="42"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2"/>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w:t>
      </w:r>
      <w:proofErr w:type="spellStart"/>
      <w:r w:rsidR="00636E35">
        <w:rPr>
          <w:rFonts w:eastAsiaTheme="minorEastAsia"/>
        </w:rPr>
        <w:t>Sambridge</w:t>
      </w:r>
      <w:proofErr w:type="spellEnd"/>
      <w:r w:rsidR="00636E35">
        <w:rPr>
          <w:rFonts w:eastAsiaTheme="minorEastAsia"/>
        </w:rPr>
        <w:t xml:space="preserve"> 2014)</w:t>
      </w:r>
      <w:r w:rsidR="00F16FC9">
        <w:rPr>
          <w:rFonts w:eastAsiaTheme="minorEastAsia"/>
        </w:rPr>
        <w:t>. Thus, we employ parallel tempering MCMC (</w:t>
      </w:r>
      <w:proofErr w:type="spellStart"/>
      <w:r w:rsidR="00F16FC9">
        <w:rPr>
          <w:rFonts w:eastAsiaTheme="minorEastAsia"/>
        </w:rPr>
        <w:t>ptMCMC</w:t>
      </w:r>
      <w:proofErr w:type="spellEnd"/>
      <w:r w:rsidR="00F16FC9">
        <w:rPr>
          <w:rFonts w:eastAsiaTheme="minorEastAsia"/>
        </w:rPr>
        <w:t xml:space="preserve">;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w:t>
      </w:r>
      <w:proofErr w:type="spellStart"/>
      <w:r w:rsidR="00F16FC9">
        <w:rPr>
          <w:rFonts w:eastAsiaTheme="minorEastAsia"/>
        </w:rPr>
        <w:t>Swendsen</w:t>
      </w:r>
      <w:proofErr w:type="spellEnd"/>
      <w:r w:rsidR="00F16FC9">
        <w:rPr>
          <w:rFonts w:eastAsiaTheme="minorEastAsia"/>
        </w:rPr>
        <w:t xml:space="preserve"> and Wang 1986, Geyer 1991, Earl and Deem 2005). </w:t>
      </w:r>
      <w:proofErr w:type="spellStart"/>
      <w:r w:rsidR="00BF0CC9">
        <w:rPr>
          <w:rFonts w:eastAsiaTheme="minorEastAsia"/>
        </w:rPr>
        <w:t>ptMCMC</w:t>
      </w:r>
      <w:proofErr w:type="spellEnd"/>
      <w:r w:rsidR="00BF0CC9">
        <w:rPr>
          <w:rFonts w:eastAsiaTheme="minorEastAsia"/>
        </w:rPr>
        <w:t xml:space="preserve">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w:t>
      </w:r>
      <w:proofErr w:type="spellStart"/>
      <w:r w:rsidR="00DE220A">
        <w:rPr>
          <w:rFonts w:eastAsiaTheme="minorEastAsia"/>
        </w:rPr>
        <w:t>Machata</w:t>
      </w:r>
      <w:proofErr w:type="spellEnd"/>
      <w:r w:rsidR="00DE220A">
        <w:rPr>
          <w:rFonts w:eastAsiaTheme="minorEastAsia"/>
        </w:rPr>
        <w:t xml:space="preserve">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3"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3"/>
      <w:r w:rsidR="00955C05">
        <w:rPr>
          <w:rFonts w:eastAsiaTheme="minorEastAsia"/>
        </w:rPr>
        <w:t>), each with its own temperature (</w:t>
      </w:r>
      <w:bookmarkStart w:id="44"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4"/>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w:t>
      </w:r>
      <w:proofErr w:type="spellStart"/>
      <w:r>
        <w:rPr>
          <w:rFonts w:eastAsiaTheme="minorEastAsia"/>
        </w:rPr>
        <w:t>ptMCMC</w:t>
      </w:r>
      <w:proofErr w:type="spellEnd"/>
      <w:r>
        <w:rPr>
          <w:rFonts w:eastAsiaTheme="minorEastAsia"/>
        </w:rPr>
        <w:t xml:space="preserve"> (Kone and </w:t>
      </w:r>
      <w:proofErr w:type="spellStart"/>
      <w:r>
        <w:rPr>
          <w:rFonts w:eastAsiaTheme="minorEastAsia"/>
        </w:rPr>
        <w:t>Kofke</w:t>
      </w:r>
      <w:proofErr w:type="spellEnd"/>
      <w:r>
        <w:rPr>
          <w:rFonts w:eastAsiaTheme="minorEastAsia"/>
        </w:rPr>
        <w:t xml:space="preserv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2D1AD3"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2D1AD3"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5" w:name="_Hlk528688765"/>
      <m:oMath>
        <m:r>
          <w:rPr>
            <w:rFonts w:ascii="Cambria Math" w:eastAsiaTheme="minorEastAsia" w:hAnsi="Cambria Math"/>
          </w:rPr>
          <m:t>q</m:t>
        </m:r>
      </m:oMath>
      <w:r>
        <w:rPr>
          <w:rFonts w:eastAsiaTheme="minorEastAsia"/>
        </w:rPr>
        <w:t xml:space="preserve"> is the exponent controlling the temperature </w:t>
      </w:r>
      <w:bookmarkEnd w:id="45"/>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6" w:name="_Hlk529352211"/>
      <w:r>
        <w:rPr>
          <w:rFonts w:eastAsiaTheme="minorEastAsia"/>
        </w:rPr>
        <w:t xml:space="preserve">A target for future mathematical and coding development is to expand the inputs and allow for an adaptive approach to </w:t>
      </w:r>
      <w:proofErr w:type="spellStart"/>
      <w:r>
        <w:rPr>
          <w:rFonts w:eastAsiaTheme="minorEastAsia"/>
        </w:rPr>
        <w:t>ptMCMC</w:t>
      </w:r>
      <w:proofErr w:type="spellEnd"/>
      <w:r>
        <w:rPr>
          <w:rFonts w:eastAsiaTheme="minorEastAsia"/>
        </w:rPr>
        <w:t xml:space="preserve">,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6"/>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 xml:space="preserve">The </w:t>
      </w:r>
      <w:proofErr w:type="spellStart"/>
      <w:r>
        <w:rPr>
          <w:rFonts w:eastAsiaTheme="minorEastAsia"/>
        </w:rPr>
        <w:t>ptMCMC</w:t>
      </w:r>
      <w:proofErr w:type="spellEnd"/>
      <w:r>
        <w:rPr>
          <w:rFonts w:eastAsiaTheme="minorEastAsia"/>
        </w:rPr>
        <w:t xml:space="preserve">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w:t>
      </w:r>
      <w:proofErr w:type="spellStart"/>
      <w:r w:rsidR="00BF370E">
        <w:rPr>
          <w:rFonts w:eastAsiaTheme="minorEastAsia"/>
        </w:rPr>
        <w:t>Falcioni</w:t>
      </w:r>
      <w:proofErr w:type="spellEnd"/>
      <w:r w:rsidR="00BF370E">
        <w:rPr>
          <w:rFonts w:eastAsiaTheme="minorEastAsia"/>
        </w:rPr>
        <w:t xml:space="preserve">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7"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7"/>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bookmarkStart w:id="48" w:name="_GoBack"/>
      <w:bookmarkEnd w:id="48"/>
      <w:r w:rsidR="008932A7">
        <w:rPr>
          <w:rFonts w:eastAsiaTheme="minorEastAsia"/>
        </w:rPr>
        <w:t>a new set of change points is proposed (</w:t>
      </w:r>
      <w:bookmarkStart w:id="49"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49"/>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2D1AD3"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0" w:name="_Hlk529352221"/>
      <w:r>
        <w:rPr>
          <w:rFonts w:eastAsiaTheme="minorEastAsia"/>
        </w:rPr>
        <w:t xml:space="preserve">where </w:t>
      </w:r>
      <w:proofErr w:type="spellStart"/>
      <m:oMath>
        <m:r>
          <m:rPr>
            <m:nor/>
          </m:rPr>
          <w:rPr>
            <w:rFonts w:ascii="Cambria Math" w:eastAsiaTheme="minorEastAsia" w:hAnsi="Cambria Math"/>
          </w:rPr>
          <m:t>Geom</m:t>
        </m:r>
      </m:oMath>
      <w:proofErr w:type="spellEnd"/>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0"/>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2D1A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2D1A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2D1AD3"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1" w:name="_Hlk528765750"/>
        <w:tc>
          <w:tcPr>
            <w:tcW w:w="8100" w:type="dxa"/>
          </w:tcPr>
          <w:p w14:paraId="5EEB8975" w14:textId="4AF25213" w:rsidR="00D11973" w:rsidRPr="007C5880" w:rsidRDefault="002D1AD3"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1"/>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2D1A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2D1AD3"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2D1A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2"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2"/>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w:t>
      </w:r>
      <w:proofErr w:type="spellStart"/>
      <w:r w:rsidR="001D6375">
        <w:rPr>
          <w:rFonts w:eastAsiaTheme="minorEastAsia"/>
        </w:rPr>
        <w:t>ptMCMC</w:t>
      </w:r>
      <w:proofErr w:type="spellEnd"/>
      <w:r w:rsidR="001D6375">
        <w:rPr>
          <w:rFonts w:eastAsiaTheme="minorEastAsia"/>
        </w:rPr>
        <w:t xml:space="preserve"> algorithm, we track step and swap acceptances and count the trips made by particles (the bits of information that can move among replica chains during swaps) from the hottest to the coolest chain (</w:t>
      </w:r>
      <w:proofErr w:type="spellStart"/>
      <w:r w:rsidR="001D6375">
        <w:rPr>
          <w:rFonts w:eastAsiaTheme="minorEastAsia"/>
        </w:rPr>
        <w:t>Katzgraber</w:t>
      </w:r>
      <w:proofErr w:type="spellEnd"/>
      <w:r w:rsidR="001D6375">
        <w:rPr>
          <w:rFonts w:eastAsiaTheme="minorEastAsia"/>
        </w:rPr>
        <w:t xml:space="preserve">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w:t>
      </w:r>
      <w:proofErr w:type="spellStart"/>
      <w:r w:rsidR="001D6375">
        <w:rPr>
          <w:rFonts w:eastAsiaTheme="minorEastAsia"/>
        </w:rPr>
        <w:t>Kruschke</w:t>
      </w:r>
      <w:proofErr w:type="spellEnd"/>
      <w:r w:rsidR="001D6375">
        <w:rPr>
          <w:rFonts w:eastAsiaTheme="minorEastAsia"/>
        </w:rPr>
        <w:t xml:space="preserve"> 2015), </w:t>
      </w:r>
      <w:r w:rsidR="00BE0206">
        <w:rPr>
          <w:rFonts w:eastAsiaTheme="minorEastAsia"/>
        </w:rPr>
        <w:t>constitute</w:t>
      </w:r>
      <w:r w:rsidR="001D6375">
        <w:rPr>
          <w:rFonts w:eastAsiaTheme="minorEastAsia"/>
        </w:rPr>
        <w:t xml:space="preserve"> the </w:t>
      </w:r>
      <w:proofErr w:type="spellStart"/>
      <w:r w:rsidR="001D6375">
        <w:rPr>
          <w:rFonts w:eastAsiaTheme="minorEastAsia"/>
        </w:rPr>
        <w:t>ptMCMC</w:t>
      </w:r>
      <w:proofErr w:type="spellEnd"/>
      <w:r w:rsidR="001D6375">
        <w:rPr>
          <w:rFonts w:eastAsiaTheme="minorEastAsia"/>
        </w:rPr>
        <w:t xml:space="preserve">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47D1BCB2"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fit based on the realized change point locations and having estimated the probability of that specific set of change point locations using </w:t>
      </w:r>
      <w:proofErr w:type="spellStart"/>
      <w:r>
        <w:rPr>
          <w:rFonts w:eastAsiaTheme="minorEastAsia"/>
        </w:rPr>
        <w:t>ptMCMC</w:t>
      </w:r>
      <w:proofErr w:type="spellEnd"/>
      <w:r>
        <w:rPr>
          <w:rFonts w:eastAsiaTheme="minorEastAsia"/>
        </w:rPr>
        <w:t>,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w:t>
      </w:r>
      <w:proofErr w:type="spellStart"/>
      <w:r>
        <w:rPr>
          <w:rFonts w:eastAsiaTheme="minorEastAsia"/>
        </w:rPr>
        <w:t>Kleykamp</w:t>
      </w:r>
      <w:proofErr w:type="spellEnd"/>
      <w:r>
        <w:rPr>
          <w:rFonts w:eastAsiaTheme="minorEastAsia"/>
        </w:rPr>
        <w:t xml:space="preserve">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den>
        </m:f>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The probability distribution for the full set of regression parameters, given the realized 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xml:space="preserve">; </w:t>
      </w:r>
      <w:proofErr w:type="spellStart"/>
      <w:r w:rsidR="00F061A6">
        <w:rPr>
          <w:rFonts w:eastAsiaTheme="minorEastAsia"/>
        </w:rPr>
        <w:t>Tiao</w:t>
      </w:r>
      <w:proofErr w:type="spellEnd"/>
      <w:r w:rsidR="00F061A6">
        <w:rPr>
          <w:rFonts w:eastAsiaTheme="minorEastAsia"/>
        </w:rPr>
        <w:t xml:space="preserve">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76687A3"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3FF7EF90" w14:textId="12153D04" w:rsidR="00CC4418" w:rsidRPr="004F575F" w:rsidRDefault="00306209" w:rsidP="001D65E3">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the dimensionality of the specific </w:t>
      </w:r>
      <m:oMath>
        <m:r>
          <m:rPr>
            <m:nor/>
          </m:rPr>
          <w:rPr>
            <w:rFonts w:ascii="Cambria Math" w:eastAsiaTheme="minorEastAsia" w:hAnsi="Cambria Math"/>
          </w:rPr>
          <m:t>MVN</m:t>
        </m:r>
      </m:oMath>
      <w:r>
        <w:rPr>
          <w:rFonts w:eastAsiaTheme="minorEastAsia"/>
        </w:rPr>
        <w:t xml:space="preserve"> distribution here (one parameter per covariate per topic per segment).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2D1AD3"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7D6469C0" w:rsidR="00DA0D2C" w:rsidRDefault="00DA0D2C" w:rsidP="00C23AE0">
            <w:pPr>
              <w:widowControl w:val="0"/>
              <w:jc w:val="center"/>
            </w:pPr>
            <w:r>
              <w:t>[</w:t>
            </w:r>
            <w:r w:rsidR="00127CAF">
              <w:t>35</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w:t>
      </w:r>
      <w:proofErr w:type="spellStart"/>
      <w:r>
        <w:rPr>
          <w:rFonts w:eastAsiaTheme="minorEastAsia"/>
        </w:rPr>
        <w:t>ptMCMC</w:t>
      </w:r>
      <w:proofErr w:type="spellEnd"/>
      <w:r>
        <w:rPr>
          <w:rFonts w:eastAsiaTheme="minorEastAsia"/>
        </w:rPr>
        <w:t xml:space="preserve">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w:t>
      </w:r>
      <w:proofErr w:type="spellStart"/>
      <w:r w:rsidR="00127CAF">
        <w:rPr>
          <w:rFonts w:eastAsiaTheme="minorEastAsia"/>
        </w:rPr>
        <w:t>Kleykamp</w:t>
      </w:r>
      <w:proofErr w:type="spellEnd"/>
      <w:r w:rsidR="00127CAF">
        <w:rPr>
          <w:rFonts w:eastAsiaTheme="minorEastAsia"/>
        </w:rPr>
        <w:t xml:space="preserve">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2D1AD3"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2B3E4678" w:rsidR="00CA3CC8" w:rsidRDefault="00CA3CC8" w:rsidP="00C23AE0">
            <w:pPr>
              <w:widowControl w:val="0"/>
              <w:jc w:val="center"/>
            </w:pPr>
            <w:r>
              <w:t>[36]</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2D1AD3"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2D239D0C" w:rsidR="00CA3CC8" w:rsidRDefault="00CA3CC8" w:rsidP="00C23AE0">
            <w:pPr>
              <w:widowControl w:val="0"/>
              <w:jc w:val="center"/>
            </w:pPr>
            <w:r>
              <w:t>[37]</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lastRenderedPageBreak/>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Although the VEM approach to LDA model fitting is well developed in its application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roofErr w:type="spellStart"/>
      <w: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The other common method to parameter estimation under LDA models, Gibbs sampling, provides a flexible approach to estimating the number of topics by considering it a free parameter to be fit (Griffiths and </w:t>
      </w:r>
      <w:proofErr w:type="spellStart"/>
      <w:r>
        <w:rPr>
          <w:rFonts w:eastAsiaTheme="minorEastAsia"/>
        </w:rPr>
        <w:t>Steyvers</w:t>
      </w:r>
      <w:proofErr w:type="spellEnd"/>
      <w:r>
        <w:rPr>
          <w:rFonts w:eastAsiaTheme="minorEastAsia"/>
        </w:rPr>
        <w:t xml:space="preserve">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w:t>
      </w:r>
      <w:proofErr w:type="spellStart"/>
      <w:r w:rsidR="00751199">
        <w:rPr>
          <w:rFonts w:eastAsiaTheme="minorEastAsia"/>
        </w:rPr>
        <w:t>Cressie</w:t>
      </w:r>
      <w:proofErr w:type="spellEnd"/>
      <w:r w:rsidR="00751199">
        <w:rPr>
          <w:rFonts w:eastAsiaTheme="minorEastAsia"/>
        </w:rPr>
        <w:t xml:space="preserve"> and </w:t>
      </w:r>
      <w:proofErr w:type="spellStart"/>
      <w:r w:rsidR="00751199">
        <w:rPr>
          <w:rFonts w:eastAsiaTheme="minorEastAsia"/>
        </w:rPr>
        <w:t>Wikle</w:t>
      </w:r>
      <w:proofErr w:type="spellEnd"/>
      <w:r w:rsidR="00751199">
        <w:rPr>
          <w:rFonts w:eastAsiaTheme="minorEastAsia"/>
        </w:rPr>
        <w:t xml:space="preserve"> 2011)</w:t>
      </w:r>
      <w:r w:rsidR="00EA16C9">
        <w:rPr>
          <w:rFonts w:eastAsiaTheme="minorEastAsia"/>
        </w:rPr>
        <w:t>, and could be mistaken for (statistically speaking) change points, especially if the magnitude of the change is small (</w:t>
      </w:r>
      <w:proofErr w:type="spellStart"/>
      <w:r w:rsidR="00EA16C9" w:rsidRPr="00EA16C9">
        <w:rPr>
          <w:rFonts w:eastAsiaTheme="minorEastAsia"/>
        </w:rPr>
        <w:t>Jarušková</w:t>
      </w:r>
      <w:proofErr w:type="spellEnd"/>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proofErr w:type="spellStart"/>
      <w:r w:rsidR="000F22C3">
        <w:rPr>
          <w:rFonts w:eastAsiaTheme="minorEastAsia"/>
        </w:rPr>
        <w:t>Jandhyala</w:t>
      </w:r>
      <w:proofErr w:type="spellEnd"/>
      <w:r w:rsidR="000F22C3">
        <w:rPr>
          <w:rFonts w:eastAsiaTheme="minorEastAsia"/>
        </w:rPr>
        <w:t xml:space="preserve">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w:t>
      </w:r>
      <w:proofErr w:type="spellStart"/>
      <w:r w:rsidR="000F22C3">
        <w:rPr>
          <w:rFonts w:eastAsiaTheme="minorEastAsia"/>
        </w:rPr>
        <w:t>softmax</w:t>
      </w:r>
      <w:proofErr w:type="spellEnd"/>
      <w:r w:rsidR="000F22C3">
        <w:rPr>
          <w:rFonts w:eastAsiaTheme="minorEastAsia"/>
        </w:rPr>
        <w:t xml:space="preserve">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to fit the model across-segments in a fashion to allow covariances. Such a change to LDATS would require a shift in the underlying inferential machinery and is likely to considerably slow computation (</w:t>
      </w:r>
      <w:proofErr w:type="spellStart"/>
      <w:r w:rsidR="0061610C">
        <w:rPr>
          <w:rFonts w:eastAsiaTheme="minorEastAsia"/>
        </w:rPr>
        <w:t>Genz</w:t>
      </w:r>
      <w:proofErr w:type="spellEnd"/>
      <w:r w:rsidR="0061610C">
        <w:rPr>
          <w:rFonts w:eastAsiaTheme="minorEastAsia"/>
        </w:rPr>
        <w:t xml:space="preserve">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 xml:space="preserve">(Chin Choy and </w:t>
      </w:r>
      <w:proofErr w:type="spellStart"/>
      <w:r w:rsidR="00F87BF8">
        <w:rPr>
          <w:rFonts w:eastAsiaTheme="minorEastAsia"/>
        </w:rPr>
        <w:t>Broem</w:t>
      </w:r>
      <w:r w:rsidR="00B73788">
        <w:rPr>
          <w:rFonts w:eastAsiaTheme="minorEastAsia"/>
        </w:rPr>
        <w:t>eling</w:t>
      </w:r>
      <w:proofErr w:type="spellEnd"/>
      <w:r w:rsidR="00B73788">
        <w:rPr>
          <w:rFonts w:eastAsiaTheme="minorEastAsia"/>
        </w:rPr>
        <w:t xml:space="preserve"> 1980</w:t>
      </w:r>
      <w:r>
        <w:rPr>
          <w:rFonts w:eastAsiaTheme="minorEastAsia"/>
        </w:rPr>
        <w:t xml:space="preserve">, Western </w:t>
      </w:r>
      <w:r>
        <w:rPr>
          <w:rFonts w:eastAsiaTheme="minorEastAsia"/>
        </w:rPr>
        <w:lastRenderedPageBreak/>
        <w:t xml:space="preserve">and </w:t>
      </w:r>
      <w:proofErr w:type="spellStart"/>
      <w:r>
        <w:rPr>
          <w:rFonts w:eastAsiaTheme="minorEastAsia"/>
        </w:rPr>
        <w:t>Kleykamp</w:t>
      </w:r>
      <w:proofErr w:type="spellEnd"/>
      <w:r>
        <w:rPr>
          <w:rFonts w:eastAsiaTheme="minorEastAsia"/>
        </w:rPr>
        <w:t xml:space="preserve">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 xml:space="preserve">Although the parameters controlling the </w:t>
      </w:r>
      <w:proofErr w:type="spellStart"/>
      <w:r>
        <w:rPr>
          <w:rFonts w:eastAsiaTheme="minorEastAsia"/>
        </w:rPr>
        <w:t>ptMCMC</w:t>
      </w:r>
      <w:proofErr w:type="spellEnd"/>
      <w:r>
        <w:rPr>
          <w:rFonts w:eastAsiaTheme="minorEastAsia"/>
        </w:rPr>
        <w:t xml:space="preserve">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 xml:space="preserve">In addition, the swap schedule (in terms of frequency of swaps and the inclusion of chains within a swap) used for the </w:t>
      </w:r>
      <w:proofErr w:type="spellStart"/>
      <w:r w:rsidR="0061610C">
        <w:rPr>
          <w:rFonts w:eastAsiaTheme="minorEastAsia"/>
        </w:rPr>
        <w:t>ptMCMC</w:t>
      </w:r>
      <w:proofErr w:type="spellEnd"/>
      <w:r w:rsidR="0061610C">
        <w:rPr>
          <w:rFonts w:eastAsiaTheme="minorEastAsia"/>
        </w:rPr>
        <w:t xml:space="preserve">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w:t>
      </w:r>
      <w:proofErr w:type="spellStart"/>
      <w:r w:rsidR="0061610C">
        <w:rPr>
          <w:rFonts w:eastAsiaTheme="minorEastAsia"/>
        </w:rPr>
        <w:t>ptMCMC</w:t>
      </w:r>
      <w:proofErr w:type="spellEnd"/>
      <w:r w:rsidR="0061610C">
        <w:rPr>
          <w:rFonts w:eastAsiaTheme="minorEastAsia"/>
        </w:rPr>
        <w:t xml:space="preserve">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w:t>
      </w:r>
      <w:proofErr w:type="spellStart"/>
      <w:r>
        <w:rPr>
          <w:rFonts w:eastAsiaTheme="minorEastAsia"/>
        </w:rPr>
        <w:t>ptMCMC</w:t>
      </w:r>
      <w:proofErr w:type="spellEnd"/>
      <w:r>
        <w:rPr>
          <w:rFonts w:eastAsiaTheme="minorEastAsia"/>
        </w:rPr>
        <w:t xml:space="preserve"> that allows the controls to optimize themselves via the fitting process (</w:t>
      </w:r>
      <w:proofErr w:type="spellStart"/>
      <w:r>
        <w:rPr>
          <w:rFonts w:eastAsiaTheme="minorEastAsia"/>
        </w:rPr>
        <w:t>Katzgraber</w:t>
      </w:r>
      <w:proofErr w:type="spellEnd"/>
      <w:r>
        <w:rPr>
          <w:rFonts w:eastAsiaTheme="minorEastAsia"/>
        </w:rPr>
        <w:t xml:space="preserve"> </w:t>
      </w:r>
      <w:r>
        <w:rPr>
          <w:rFonts w:eastAsiaTheme="minorEastAsia"/>
          <w:i/>
        </w:rPr>
        <w:t>et al</w:t>
      </w:r>
      <w:r>
        <w:rPr>
          <w:rFonts w:eastAsiaTheme="minorEastAsia"/>
        </w:rPr>
        <w:t xml:space="preserve">. 2006, </w:t>
      </w:r>
      <w:proofErr w:type="spellStart"/>
      <w:r>
        <w:rPr>
          <w:rFonts w:eastAsiaTheme="minorEastAsia"/>
        </w:rPr>
        <w:t>Trebst</w:t>
      </w:r>
      <w:proofErr w:type="spellEnd"/>
      <w:r>
        <w:rPr>
          <w:rFonts w:eastAsiaTheme="minorEastAsia"/>
        </w:rPr>
        <w:t xml:space="preserve"> </w:t>
      </w:r>
      <w:r>
        <w:rPr>
          <w:rFonts w:eastAsiaTheme="minorEastAsia"/>
          <w:i/>
        </w:rPr>
        <w:t xml:space="preserve">et al. </w:t>
      </w:r>
      <w:r>
        <w:rPr>
          <w:rFonts w:eastAsiaTheme="minorEastAsia"/>
        </w:rPr>
        <w:t xml:space="preserve">2006, </w:t>
      </w:r>
      <w:proofErr w:type="spellStart"/>
      <w:r w:rsidR="00720219">
        <w:rPr>
          <w:rFonts w:eastAsiaTheme="minorEastAsia"/>
        </w:rPr>
        <w:t>Hasenbusch</w:t>
      </w:r>
      <w:proofErr w:type="spellEnd"/>
      <w:r w:rsidR="00720219">
        <w:rPr>
          <w:rFonts w:eastAsiaTheme="minorEastAsia"/>
        </w:rPr>
        <w:t xml:space="preserve"> and Schaefer 2010</w:t>
      </w:r>
      <w:r w:rsidR="00414344">
        <w:rPr>
          <w:rFonts w:eastAsiaTheme="minorEastAsia"/>
        </w:rPr>
        <w:t xml:space="preserve">, </w:t>
      </w:r>
      <w:proofErr w:type="spellStart"/>
      <w:r w:rsidR="0005160C" w:rsidRPr="0005160C">
        <w:rPr>
          <w:rFonts w:eastAsiaTheme="minorEastAsia"/>
        </w:rPr>
        <w:t>Miasojedow</w:t>
      </w:r>
      <w:proofErr w:type="spellEnd"/>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proofErr w:type="spellStart"/>
      <w:r>
        <w:lastRenderedPageBreak/>
        <w:t>Beauleiu</w:t>
      </w:r>
      <w:proofErr w:type="spellEnd"/>
      <w:r>
        <w:t xml:space="preserve">,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w:t>
      </w:r>
      <w:proofErr w:type="spellStart"/>
      <w:r>
        <w:t>Pietra</w:t>
      </w:r>
      <w:proofErr w:type="spellEnd"/>
      <w:r>
        <w:t xml:space="preserve">, and S. A. Della </w:t>
      </w:r>
      <w:proofErr w:type="spellStart"/>
      <w:r>
        <w:t>Pietra</w:t>
      </w:r>
      <w:proofErr w:type="spellEnd"/>
      <w:r>
        <w:t xml:space="preserve">.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w:t>
      </w:r>
      <w:proofErr w:type="spellStart"/>
      <w:r>
        <w:t>Broemeling</w:t>
      </w:r>
      <w:proofErr w:type="spellEnd"/>
      <w:r>
        <w:t xml:space="preserve">. 1980. Some Bayesian inferences for a changing linear model. </w:t>
      </w:r>
      <w:proofErr w:type="spellStart"/>
      <w:r w:rsidRPr="00B73788">
        <w:rPr>
          <w:i/>
        </w:rPr>
        <w:t>Technometrics</w:t>
      </w:r>
      <w:proofErr w:type="spellEnd"/>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proofErr w:type="spellStart"/>
      <w:r>
        <w:t>Cressie</w:t>
      </w:r>
      <w:proofErr w:type="spellEnd"/>
      <w:r>
        <w:t xml:space="preserve">, N. and C. K. </w:t>
      </w:r>
      <w:proofErr w:type="spellStart"/>
      <w:r>
        <w:t>Wikle</w:t>
      </w:r>
      <w:proofErr w:type="spellEnd"/>
      <w:r>
        <w:t>.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proofErr w:type="spellStart"/>
      <w:r>
        <w:t>Falcioni</w:t>
      </w:r>
      <w:proofErr w:type="spellEnd"/>
      <w:r>
        <w:t xml:space="preserve">,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 xml:space="preserve">Gelman, A. and J. Gill. 2007. Data </w:t>
      </w:r>
      <w:proofErr w:type="spellStart"/>
      <w:r>
        <w:rPr>
          <w:rFonts w:eastAsiaTheme="minorEastAsia"/>
        </w:rPr>
        <w:t>Analyis</w:t>
      </w:r>
      <w:proofErr w:type="spellEnd"/>
      <w:r>
        <w:rPr>
          <w:rFonts w:eastAsiaTheme="minorEastAsia"/>
        </w:rPr>
        <w:t xml:space="preserve"> </w:t>
      </w:r>
      <w:proofErr w:type="spellStart"/>
      <w:r>
        <w:rPr>
          <w:rFonts w:eastAsiaTheme="minorEastAsia"/>
        </w:rPr>
        <w:t>aUsing</w:t>
      </w:r>
      <w:proofErr w:type="spellEnd"/>
      <w:r>
        <w:rPr>
          <w:rFonts w:eastAsiaTheme="minorEastAsia"/>
        </w:rPr>
        <w:t xml:space="preserve">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w:t>
      </w:r>
      <w:proofErr w:type="spellStart"/>
      <w:r>
        <w:t>Vehtari</w:t>
      </w:r>
      <w:proofErr w:type="spellEnd"/>
      <w:r>
        <w:t xml:space="preserve">.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proofErr w:type="spellStart"/>
      <w:r>
        <w:t>Genz</w:t>
      </w:r>
      <w:proofErr w:type="spellEnd"/>
      <w:r>
        <w:t xml:space="preserve">,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w:t>
      </w:r>
      <w:proofErr w:type="spellStart"/>
      <w:r>
        <w:t>Steyvers</w:t>
      </w:r>
      <w:proofErr w:type="spellEnd"/>
      <w:r>
        <w:t xml:space="preserve">. 2004. Finding scientific topics. </w:t>
      </w:r>
      <w:r>
        <w:rPr>
          <w:i/>
        </w:rPr>
        <w:t>Proceedings of the National Academy of Sciences</w:t>
      </w:r>
      <w:r>
        <w:t xml:space="preserve"> </w:t>
      </w:r>
      <w:r w:rsidRPr="00754584">
        <w:lastRenderedPageBreak/>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w:t>
      </w:r>
      <w:proofErr w:type="spellStart"/>
      <w:r>
        <w:t>Faeder</w:t>
      </w:r>
      <w:proofErr w:type="spellEnd"/>
      <w:r>
        <w:t xml:space="preserve">. 2018. Evaluation of parallel tempering to accelerate Bayesian parameter estimation in systems biology. </w:t>
      </w:r>
      <w:r w:rsidRPr="009452B4">
        <w:t>arXiv:1801.09831 [q-</w:t>
      </w:r>
      <w:proofErr w:type="spellStart"/>
      <w:r w:rsidRPr="009452B4">
        <w:t>bio.QM</w:t>
      </w:r>
      <w:proofErr w:type="spellEnd"/>
      <w:r w:rsidRPr="009452B4">
        <w:t>]</w:t>
      </w:r>
    </w:p>
    <w:p w14:paraId="7EE34AA0" w14:textId="6AA2B460" w:rsidR="009452B4" w:rsidRDefault="009452B4" w:rsidP="00984922"/>
    <w:p w14:paraId="7EEEAD00" w14:textId="62521F5D" w:rsidR="00720219" w:rsidRPr="00720219" w:rsidRDefault="00720219" w:rsidP="00984922">
      <w:proofErr w:type="spellStart"/>
      <w:r>
        <w:t>Hasenbusch</w:t>
      </w:r>
      <w:proofErr w:type="spellEnd"/>
      <w:r>
        <w:t xml:space="preserve">,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proofErr w:type="spellStart"/>
      <w:r w:rsidR="00196AD4">
        <w:rPr>
          <w:i/>
        </w:rPr>
        <w:t>Biometrika</w:t>
      </w:r>
      <w:proofErr w:type="spellEnd"/>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proofErr w:type="spellStart"/>
      <w:r w:rsidRPr="00984922">
        <w:rPr>
          <w:rStyle w:val="HTMLCite"/>
          <w:i w:val="0"/>
        </w:rPr>
        <w:t>Hoerl</w:t>
      </w:r>
      <w:proofErr w:type="spellEnd"/>
      <w:r w:rsidRPr="00984922">
        <w:rPr>
          <w:rStyle w:val="HTMLCite"/>
          <w:i w:val="0"/>
        </w:rPr>
        <w:t>,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proofErr w:type="spellStart"/>
      <w:r>
        <w:t>Hoerl</w:t>
      </w:r>
      <w:proofErr w:type="spellEnd"/>
      <w:r>
        <w:t xml:space="preserve">, A. E. and R. W. Kennard. 1970. Ridge regression: biased estimation for nonorthogonal problems. </w:t>
      </w:r>
      <w:proofErr w:type="spellStart"/>
      <w:r>
        <w:rPr>
          <w:i/>
        </w:rPr>
        <w:t>Technometrics</w:t>
      </w:r>
      <w:proofErr w:type="spellEnd"/>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proofErr w:type="spellStart"/>
      <w:r>
        <w:t>Jandhyala</w:t>
      </w:r>
      <w:proofErr w:type="spellEnd"/>
      <w:r>
        <w:t xml:space="preserve">, V. K., S. B. Fotopoulos, and J. You. 2010. Change-point analysis of mean annual rainfall data from Tucumán, Argentina. </w:t>
      </w:r>
      <w:proofErr w:type="spellStart"/>
      <w:r>
        <w:rPr>
          <w:i/>
        </w:rPr>
        <w:t>Environmetrics</w:t>
      </w:r>
      <w:proofErr w:type="spellEnd"/>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proofErr w:type="spellStart"/>
      <w:r w:rsidRPr="00EA16C9">
        <w:rPr>
          <w:rFonts w:eastAsiaTheme="minorEastAsia"/>
        </w:rPr>
        <w:t>Jarušková</w:t>
      </w:r>
      <w:proofErr w:type="spellEnd"/>
      <w:r w:rsidRPr="00EA16C9">
        <w:rPr>
          <w:rFonts w:eastAsiaTheme="minorEastAsia"/>
        </w:rPr>
        <w:t>,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proofErr w:type="spellStart"/>
      <w:r w:rsidRPr="00EA16C9">
        <w:rPr>
          <w:rFonts w:eastAsiaTheme="minorEastAsia"/>
          <w:i/>
        </w:rPr>
        <w:t>Environmetrics</w:t>
      </w:r>
      <w:proofErr w:type="spellEnd"/>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proofErr w:type="spellStart"/>
      <w:r w:rsidRPr="00A67185">
        <w:t>Karssenberg</w:t>
      </w:r>
      <w:proofErr w:type="spellEnd"/>
      <w:r>
        <w:t xml:space="preserve">, D., M. F. P. </w:t>
      </w:r>
      <w:proofErr w:type="spellStart"/>
      <w:r>
        <w:t>Bierkens</w:t>
      </w:r>
      <w:proofErr w:type="spellEnd"/>
      <w:r>
        <w:t xml:space="preserve">, and M. </w:t>
      </w:r>
      <w:proofErr w:type="spellStart"/>
      <w:r>
        <w:t>Rietkerk</w:t>
      </w:r>
      <w:proofErr w:type="spellEnd"/>
      <w:r>
        <w:t xml:space="preserve">.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proofErr w:type="spellStart"/>
      <w:r>
        <w:t>Katzgraber</w:t>
      </w:r>
      <w:proofErr w:type="spellEnd"/>
      <w:r>
        <w:t xml:space="preserve">, H. G., S. </w:t>
      </w:r>
      <w:proofErr w:type="spellStart"/>
      <w:r>
        <w:t>Trebst</w:t>
      </w:r>
      <w:proofErr w:type="spellEnd"/>
      <w:r>
        <w:t xml:space="preserve">, D. A. </w:t>
      </w:r>
      <w:proofErr w:type="spellStart"/>
      <w:r>
        <w:t>Huse</w:t>
      </w:r>
      <w:proofErr w:type="spellEnd"/>
      <w:r>
        <w:t xml:space="preserv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w:t>
      </w:r>
      <w:proofErr w:type="spellStart"/>
      <w:r>
        <w:rPr>
          <w:rFonts w:eastAsiaTheme="minorEastAsia"/>
        </w:rPr>
        <w:t>Kofke</w:t>
      </w:r>
      <w:proofErr w:type="spellEnd"/>
      <w:r>
        <w:rPr>
          <w:rFonts w:eastAsiaTheme="minorEastAsia"/>
        </w:rPr>
        <w:t xml:space="preserv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proofErr w:type="spellStart"/>
      <w:r>
        <w:rPr>
          <w:rFonts w:eastAsiaTheme="minorEastAsia"/>
        </w:rPr>
        <w:t>Kruschke</w:t>
      </w:r>
      <w:proofErr w:type="spellEnd"/>
      <w:r>
        <w:rPr>
          <w:rFonts w:eastAsiaTheme="minorEastAsia"/>
        </w:rPr>
        <w:t>,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 xml:space="preserve">Linderman, S., M. Johnson, and R. P. Adams. 2015. Dependent multinomial models made easy: stick-breaking with the </w:t>
      </w:r>
      <w:proofErr w:type="spellStart"/>
      <w:r>
        <w:rPr>
          <w:rFonts w:eastAsiaTheme="minorEastAsia"/>
        </w:rPr>
        <w:t>P</w:t>
      </w:r>
      <w:r w:rsidR="00C51EF8">
        <w:rPr>
          <w:rFonts w:eastAsiaTheme="minorEastAsia"/>
        </w:rPr>
        <w:t>ó</w:t>
      </w:r>
      <w:r>
        <w:rPr>
          <w:rFonts w:eastAsiaTheme="minorEastAsia"/>
        </w:rPr>
        <w:t>lya</w:t>
      </w:r>
      <w:proofErr w:type="spellEnd"/>
      <w:r>
        <w:rPr>
          <w:rFonts w:eastAsiaTheme="minorEastAsia"/>
        </w:rPr>
        <w:t xml:space="preserve">-gamma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w:t>
      </w:r>
      <w:r>
        <w:rPr>
          <w:rFonts w:eastAsiaTheme="minorEastAsia"/>
        </w:rPr>
        <w:lastRenderedPageBreak/>
        <w:t xml:space="preserve">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proofErr w:type="spellStart"/>
      <w:r>
        <w:rPr>
          <w:rFonts w:eastAsiaTheme="minorEastAsia"/>
        </w:rPr>
        <w:t>Machata</w:t>
      </w:r>
      <w:proofErr w:type="spellEnd"/>
      <w:r>
        <w:rPr>
          <w:rFonts w:eastAsiaTheme="minorEastAsia"/>
        </w:rPr>
        <w:t xml:space="preserve">,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proofErr w:type="spellStart"/>
      <w:r w:rsidRPr="0005160C">
        <w:t>Miasojedow</w:t>
      </w:r>
      <w:proofErr w:type="spellEnd"/>
      <w:r>
        <w:t xml:space="preserve">, B., E. </w:t>
      </w:r>
      <w:proofErr w:type="spellStart"/>
      <w:r>
        <w:t>Moulines</w:t>
      </w:r>
      <w:proofErr w:type="spellEnd"/>
      <w:r>
        <w:t xml:space="preserve">, and M. </w:t>
      </w:r>
      <w:proofErr w:type="spellStart"/>
      <w:r>
        <w:t>Vihola</w:t>
      </w:r>
      <w:proofErr w:type="spellEnd"/>
      <w:r>
        <w:t xml:space="preserve">.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proofErr w:type="spellStart"/>
      <w:r w:rsidRPr="00196AD4">
        <w:t>Rosenbluth</w:t>
      </w:r>
      <w:proofErr w:type="spellEnd"/>
      <w:r>
        <w:t>,</w:t>
      </w:r>
      <w:r w:rsidRPr="00196AD4">
        <w:t xml:space="preserve"> </w:t>
      </w:r>
      <w:r>
        <w:t xml:space="preserve">M. N. </w:t>
      </w:r>
      <w:proofErr w:type="spellStart"/>
      <w:r w:rsidRPr="00196AD4">
        <w:t>Rosenbluth</w:t>
      </w:r>
      <w:proofErr w:type="spellEnd"/>
      <w:r w:rsidRPr="00196AD4">
        <w:t xml:space="preserve">,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 xml:space="preserve">T. G. </w:t>
      </w:r>
      <w:proofErr w:type="spellStart"/>
      <w:r w:rsidRPr="00114017">
        <w:t>Dietterich</w:t>
      </w:r>
      <w:proofErr w:type="spellEnd"/>
      <w:r w:rsidRPr="00114017">
        <w:t xml:space="preserve"> and S. Becker and Z. </w:t>
      </w:r>
      <w:proofErr w:type="spellStart"/>
      <w:r w:rsidRPr="00114017">
        <w:t>Ghahramani</w:t>
      </w:r>
      <w:proofErr w:type="spellEnd"/>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w:t>
      </w:r>
      <w:proofErr w:type="spellStart"/>
      <w:r>
        <w:t>Thakar</w:t>
      </w:r>
      <w:proofErr w:type="spellEnd"/>
      <w:r>
        <w:t xml:space="preserve">.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proofErr w:type="spellStart"/>
      <w:r>
        <w:t>Ratajczak</w:t>
      </w:r>
      <w:proofErr w:type="spellEnd"/>
      <w:r>
        <w:t xml:space="preserve">, Z., S. R. Carpenter, A R. Ives, C. J. </w:t>
      </w:r>
      <w:proofErr w:type="spellStart"/>
      <w:r>
        <w:t>Kucharik</w:t>
      </w:r>
      <w:proofErr w:type="spellEnd"/>
      <w:r>
        <w:t xml:space="preserve">, T. </w:t>
      </w:r>
      <w:proofErr w:type="spellStart"/>
      <w:r>
        <w:t>Ramiadantsoa</w:t>
      </w:r>
      <w:proofErr w:type="spellEnd"/>
      <w:r>
        <w:t xml:space="preserve">, M. A. </w:t>
      </w:r>
      <w:proofErr w:type="spellStart"/>
      <w:r>
        <w:t>Stegner</w:t>
      </w:r>
      <w:proofErr w:type="spellEnd"/>
      <w:r>
        <w:t xml:space="preserve">,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lastRenderedPageBreak/>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proofErr w:type="spellStart"/>
      <w:r>
        <w:t>Sambridge</w:t>
      </w:r>
      <w:proofErr w:type="spellEnd"/>
      <w:r>
        <w:t xml:space="preserv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proofErr w:type="spellStart"/>
      <w:r>
        <w:t>Scheffer</w:t>
      </w:r>
      <w:proofErr w:type="spellEnd"/>
      <w:r>
        <w:t>,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proofErr w:type="spellStart"/>
      <w:r>
        <w:t>Shanno</w:t>
      </w:r>
      <w:proofErr w:type="spellEnd"/>
      <w:r>
        <w:t>,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proofErr w:type="spellStart"/>
      <w:r>
        <w:t>Swendsen</w:t>
      </w:r>
      <w:proofErr w:type="spellEnd"/>
      <w:r>
        <w:t xml:space="preserve">,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proofErr w:type="spellStart"/>
      <w:r w:rsidRPr="00F061A6">
        <w:t>Tiao</w:t>
      </w:r>
      <w:proofErr w:type="spellEnd"/>
      <w:r w:rsidRPr="00F061A6">
        <w:t>,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 xml:space="preserve">Tikhonov, A. N.; V. Y. </w:t>
      </w:r>
      <w:proofErr w:type="spellStart"/>
      <w:r w:rsidRPr="00135636">
        <w:rPr>
          <w:rStyle w:val="HTMLCite"/>
          <w:i w:val="0"/>
        </w:rPr>
        <w:t>Arsenin</w:t>
      </w:r>
      <w:proofErr w:type="spellEnd"/>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proofErr w:type="spellStart"/>
      <w:r>
        <w:t>Trebst</w:t>
      </w:r>
      <w:proofErr w:type="spellEnd"/>
      <w:r>
        <w:t xml:space="preserve">, S., M. Troyer, and U. H. E. </w:t>
      </w:r>
      <w:proofErr w:type="spellStart"/>
      <w:r>
        <w:t>Hansmann</w:t>
      </w:r>
      <w:proofErr w:type="spellEnd"/>
      <w:r>
        <w:t xml:space="preserve">.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w:t>
      </w:r>
      <w:proofErr w:type="spellStart"/>
      <w:r>
        <w:t>Barberan</w:t>
      </w:r>
      <w:proofErr w:type="spellEnd"/>
      <w:r>
        <w:t xml:space="preserve">,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77BA3590" w:rsidR="00596EC4" w:rsidRDefault="00596EC4" w:rsidP="00EB6598">
      <w:pPr>
        <w:widowControl w:val="0"/>
      </w:pPr>
      <w:r>
        <w:t>Venables, W. N. and B. D. Ripley. 2002. Modern and Applies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3" w:name="_Hlk528772744"/>
            <m:oMathPara>
              <m:oMath>
                <m:r>
                  <m:rPr>
                    <m:scr m:val="script"/>
                  </m:rPr>
                  <w:rPr>
                    <w:rFonts w:ascii="Cambria Math" w:eastAsiaTheme="minorEastAsia" w:hAnsi="Cambria Math"/>
                  </w:rPr>
                  <m:t>P</m:t>
                </m:r>
              </m:oMath>
            </m:oMathPara>
            <w:bookmarkEnd w:id="53"/>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4" w:name="_Hlk528591757"/>
            <m:oMathPara>
              <m:oMath>
                <m:r>
                  <m:rPr>
                    <m:scr m:val="script"/>
                  </m:rPr>
                  <w:rPr>
                    <w:rFonts w:ascii="Cambria Math" w:eastAsiaTheme="minorEastAsia" w:hAnsi="Cambria Math"/>
                  </w:rPr>
                  <m:t>k</m:t>
                </m:r>
              </m:oMath>
            </m:oMathPara>
            <w:bookmarkEnd w:id="54"/>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5" w:name="_Hlk528797187"/>
            <m:oMathPara>
              <m:oMath>
                <m:r>
                  <m:rPr>
                    <m:scr m:val="script"/>
                  </m:rPr>
                  <w:rPr>
                    <w:rFonts w:ascii="Cambria Math" w:eastAsiaTheme="minorEastAsia" w:hAnsi="Cambria Math"/>
                  </w:rPr>
                  <m:t>d</m:t>
                </m:r>
              </m:oMath>
            </m:oMathPara>
            <w:bookmarkEnd w:id="55"/>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6" w:name="_Hlk528592425"/>
        <w:tc>
          <w:tcPr>
            <w:tcW w:w="1890" w:type="dxa"/>
          </w:tcPr>
          <w:p w14:paraId="3F291CE0"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6"/>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2D1A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2D1A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2D1A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2D1AD3"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2D1A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7" w:name="_Hlk528767606"/>
            <m:oMathPara>
              <m:oMath>
                <m:r>
                  <m:rPr>
                    <m:scr m:val="script"/>
                  </m:rPr>
                  <w:rPr>
                    <w:rFonts w:ascii="Cambria Math" w:eastAsiaTheme="minorEastAsia" w:hAnsi="Cambria Math"/>
                  </w:rPr>
                  <m:t>Q</m:t>
                </m:r>
              </m:oMath>
            </m:oMathPara>
            <w:bookmarkEnd w:id="57"/>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proofErr w:type="spellStart"/>
            <w:r>
              <w:rPr>
                <w:rFonts w:eastAsiaTheme="minorEastAsia"/>
              </w:rPr>
              <w:t>Kullback-Leibler</w:t>
            </w:r>
            <w:proofErr w:type="spellEnd"/>
            <w:r>
              <w:rPr>
                <w:rFonts w:eastAsiaTheme="minorEastAsia"/>
              </w:rPr>
              <w:t xml:space="preserve"> Divergence</w:t>
            </w:r>
          </w:p>
        </w:tc>
        <w:tc>
          <w:tcPr>
            <w:tcW w:w="1890" w:type="dxa"/>
          </w:tcPr>
          <w:p w14:paraId="4BB1244A" w14:textId="77777777" w:rsidR="00216389" w:rsidRDefault="002D1AD3"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2D1A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2D1AD3"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2D1AD3"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2D1AD3"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2D1A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2D1AD3"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8" w:name="_Hlk528605713"/>
        <w:tc>
          <w:tcPr>
            <w:tcW w:w="1890" w:type="dxa"/>
          </w:tcPr>
          <w:p w14:paraId="7D8970FA"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8"/>
          </w:p>
        </w:tc>
        <w:tc>
          <w:tcPr>
            <w:tcW w:w="2975" w:type="dxa"/>
          </w:tcPr>
          <w:p w14:paraId="1CC0351D"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2D1AD3"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2D1A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2D1A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2D1AD3"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2D1AD3"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59" w:name="_Hlk529360677"/>
        <w:tc>
          <w:tcPr>
            <w:tcW w:w="1890" w:type="dxa"/>
          </w:tcPr>
          <w:p w14:paraId="464B54AD"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59"/>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function</w:t>
            </w:r>
          </w:p>
        </w:tc>
        <w:tc>
          <w:tcPr>
            <w:tcW w:w="1890" w:type="dxa"/>
          </w:tcPr>
          <w:p w14:paraId="45F648D5" w14:textId="77777777" w:rsidR="00216389" w:rsidRDefault="00216389" w:rsidP="00C23AE0">
            <w:pPr>
              <w:widowControl w:val="0"/>
              <w:jc w:val="center"/>
              <w:rPr>
                <w:rFonts w:eastAsiaTheme="minorEastAsia"/>
              </w:rPr>
            </w:pPr>
            <w:proofErr w:type="spellStart"/>
            <m:oMath>
              <m:r>
                <m:rPr>
                  <m:nor/>
                </m:rPr>
                <w:rPr>
                  <w:rFonts w:ascii="Cambria Math" w:eastAsiaTheme="minorEastAsia" w:hAnsi="Cambria Math"/>
                </w:rPr>
                <m:t>softmax</m:t>
              </m:r>
            </m:oMath>
            <w:proofErr w:type="spell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proofErr w:type="spellStart"/>
            <w:r>
              <w:rPr>
                <w:rFonts w:eastAsiaTheme="minorEastAsia"/>
              </w:rPr>
              <w:t>Softmax</w:t>
            </w:r>
            <w:proofErr w:type="spellEnd"/>
            <w:r>
              <w:rPr>
                <w:rFonts w:eastAsiaTheme="minorEastAsia"/>
              </w:rPr>
              <w:t xml:space="preserve"> of matrix multiplication function</w:t>
            </w:r>
          </w:p>
        </w:tc>
        <w:tc>
          <w:tcPr>
            <w:tcW w:w="1890" w:type="dxa"/>
          </w:tcPr>
          <w:p w14:paraId="61ABD631"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 xml:space="preserve">Cross entropy of </w:t>
            </w:r>
            <w:proofErr w:type="spellStart"/>
            <w:r>
              <w:rPr>
                <w:rFonts w:eastAsiaTheme="minorEastAsia"/>
              </w:rPr>
              <w:t>softmax</w:t>
            </w:r>
            <w:proofErr w:type="spellEnd"/>
            <w:r>
              <w:rPr>
                <w:rFonts w:eastAsiaTheme="minorEastAsia"/>
              </w:rPr>
              <w:t xml:space="preserve"> of matrix multiplication</w:t>
            </w:r>
          </w:p>
        </w:tc>
        <w:tc>
          <w:tcPr>
            <w:tcW w:w="1890" w:type="dxa"/>
          </w:tcPr>
          <w:p w14:paraId="0929E489"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2D1A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lastRenderedPageBreak/>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0" w:name="_Hlk528064112"/>
            <w:bookmarkStart w:id="61"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0"/>
    </w:tbl>
    <w:p w14:paraId="49C9CA35" w14:textId="5D5F37D8" w:rsidR="00F746B3" w:rsidRDefault="00F746B3" w:rsidP="005D1BDE">
      <w:pPr>
        <w:widowControl w:val="0"/>
      </w:pPr>
    </w:p>
    <w:bookmarkEnd w:id="61"/>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2"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2"/>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3" w:name="_Hlk528592403"/>
      <m:oMath>
        <m:sSub>
          <m:sSubPr>
            <m:ctrlPr>
              <w:rPr>
                <w:rFonts w:ascii="Cambria Math" w:hAnsi="Cambria Math"/>
                <w:i/>
              </w:rPr>
            </m:ctrlPr>
          </m:sSubPr>
          <m:e>
            <w:bookmarkStart w:id="64" w:name="_Hlk524346860"/>
            <m:r>
              <w:rPr>
                <w:rFonts w:ascii="Cambria Math" w:hAnsi="Cambria Math"/>
              </w:rPr>
              <m:t>γ</m:t>
            </m:r>
            <w:bookmarkEnd w:id="64"/>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3"/>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5"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5"/>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6"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6"/>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7"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7"/>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8"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8"/>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69" w:name="_Hlk528592898"/>
      <w:r w:rsidR="001C251A">
        <w:rPr>
          <w:rFonts w:eastAsiaTheme="minorEastAsia"/>
        </w:rPr>
        <w:t xml:space="preserve">Kullback-Leibler Divergence </w:t>
      </w:r>
      <w:bookmarkEnd w:id="69"/>
      <w:r w:rsidR="001C251A">
        <w:rPr>
          <w:rFonts w:eastAsiaTheme="minorEastAsia"/>
        </w:rPr>
        <w:t>(</w:t>
      </w:r>
      <w:bookmarkStart w:id="70"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0"/>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2D1AD3"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2D1AD3"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1" w:name="_Hlk528593177"/>
      <m:oMath>
        <m:r>
          <m:rPr>
            <m:nor/>
          </m:rPr>
          <w:rPr>
            <w:rFonts w:ascii="Cambria Math" w:eastAsiaTheme="minorEastAsia" w:hAnsi="Cambria Math"/>
          </w:rPr>
          <m:t>Ψ</m:t>
        </m:r>
        <w:bookmarkEnd w:id="71"/>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2" w:name="_Hlk528593194"/>
                <m:r>
                  <m:rPr>
                    <m:nor/>
                  </m:rPr>
                  <w:rPr>
                    <w:rFonts w:ascii="Cambria Math" w:eastAsiaTheme="minorEastAsia" w:hAnsi="Cambria Math"/>
                  </w:rPr>
                  <m:t>Γ</m:t>
                </m:r>
                <w:bookmarkEnd w:id="72"/>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2D1AD3"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2D1AD3"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3"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3"/>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w:t>
      </w:r>
      <w:proofErr w:type="spellStart"/>
      <w:r w:rsidR="000B5364">
        <w:rPr>
          <w:rFonts w:eastAsiaTheme="minorEastAsia"/>
        </w:rPr>
        <w:t>Blei</w:t>
      </w:r>
      <w:proofErr w:type="spellEnd"/>
      <w:r w:rsidR="000B5364">
        <w:rPr>
          <w:rFonts w:eastAsiaTheme="minorEastAsia"/>
        </w:rPr>
        <w:t xml:space="preserve">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2D1AD3"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4"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4"/>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2D1AD3"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2D1AD3"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w:t>
      </w:r>
      <w:proofErr w:type="spellStart"/>
      <w:r w:rsidR="00EA14A9">
        <w:rPr>
          <w:rFonts w:eastAsiaTheme="minorEastAsia"/>
        </w:rPr>
        <w:t>Softmax</w:t>
      </w:r>
      <w:proofErr w:type="spellEnd"/>
      <w:r w:rsidR="00EA14A9">
        <w:rPr>
          <w:rFonts w:eastAsiaTheme="minorEastAsia"/>
        </w:rPr>
        <w:t xml:space="preserve">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5"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5"/>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2D1A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2D1A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6"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6"/>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2D1AD3"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2D1A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2D1A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7"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7"/>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8" w:name="_Hlk528670930"/>
        <w:tc>
          <w:tcPr>
            <w:tcW w:w="7740" w:type="dxa"/>
          </w:tcPr>
          <w:p w14:paraId="0125F02C" w14:textId="5AADFECF" w:rsidR="00C52131" w:rsidRPr="00412185" w:rsidRDefault="002D1A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8"/>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2D1A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79"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79"/>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0"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0"/>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w:t>
      </w:r>
      <w:proofErr w:type="spellStart"/>
      <w:r w:rsidR="00A656D5">
        <w:rPr>
          <w:rFonts w:eastAsiaTheme="minorEastAsia"/>
        </w:rPr>
        <w:t>Nelder</w:t>
      </w:r>
      <w:proofErr w:type="spellEnd"/>
      <w:r w:rsidR="00A656D5">
        <w:rPr>
          <w:rFonts w:eastAsiaTheme="minorEastAsia"/>
        </w:rPr>
        <w:t xml:space="preserve">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2D1AD3"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w:t>
      </w:r>
      <w:proofErr w:type="spellStart"/>
      <w:r w:rsidR="008A4AE2">
        <w:rPr>
          <w:rFonts w:eastAsiaTheme="minorEastAsia"/>
        </w:rPr>
        <w:t>softmax</w:t>
      </w:r>
      <w:proofErr w:type="spellEnd"/>
      <w:r w:rsidR="008A4AE2">
        <w:rPr>
          <w:rFonts w:eastAsiaTheme="minorEastAsia"/>
        </w:rPr>
        <w:t xml:space="preserve">,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1" w:name="_Hlk529226208"/>
            <m:r>
              <m:rPr>
                <m:nor/>
              </m:rPr>
              <w:rPr>
                <w:rFonts w:ascii="Cambria Math" w:hAnsi="Cambria Math"/>
              </w:rPr>
              <m:t>P</m:t>
            </m:r>
            <w:bookmarkEnd w:id="81"/>
          </m:sub>
        </m:sSub>
      </m:oMath>
      <w:r w:rsidR="008A4AE2">
        <w:rPr>
          <w:rFonts w:eastAsiaTheme="minorEastAsia"/>
        </w:rPr>
        <w:t>,</w:t>
      </w:r>
      <w:r w:rsidR="008238AB">
        <w:rPr>
          <w:rFonts w:eastAsiaTheme="minorEastAsia"/>
        </w:rPr>
        <w:t xml:space="preserve"> as well as rename the nested functions: the </w:t>
      </w:r>
      <w:proofErr w:type="spellStart"/>
      <w:r w:rsidR="008238AB">
        <w:rPr>
          <w:rFonts w:eastAsiaTheme="minorEastAsia"/>
        </w:rPr>
        <w:t>softmax</w:t>
      </w:r>
      <w:proofErr w:type="spellEnd"/>
      <w:r w:rsidR="008238AB">
        <w:rPr>
          <w:rFonts w:eastAsiaTheme="minorEastAsia"/>
        </w:rPr>
        <w:t xml:space="preserve"> of the matrix multiplication and the cross entropy of the </w:t>
      </w:r>
      <w:proofErr w:type="spellStart"/>
      <w:r w:rsidR="008238AB">
        <w:rPr>
          <w:rFonts w:eastAsiaTheme="minorEastAsia"/>
        </w:rPr>
        <w:t>softmax</w:t>
      </w:r>
      <w:proofErr w:type="spellEnd"/>
      <w:r w:rsidR="008238AB">
        <w:rPr>
          <w:rFonts w:eastAsiaTheme="minorEastAsia"/>
        </w:rPr>
        <w:t xml:space="preserve">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2"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2"/>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2D1AD3"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3" w:name="_Hlk526950409"/>
    </w:p>
    <w:bookmarkEnd w:id="83"/>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4" w:name="_Hlk528664418"/>
        <w:tc>
          <w:tcPr>
            <w:tcW w:w="7470" w:type="dxa"/>
          </w:tcPr>
          <w:p w14:paraId="3AABFA79" w14:textId="7D206934" w:rsidR="00656BFE" w:rsidRPr="00412185" w:rsidRDefault="002D1AD3"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4"/>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 xml:space="preserve">aspect of the non-penalty functions (the cross entropy is calculated using the output of the </w:t>
      </w:r>
      <w:proofErr w:type="spellStart"/>
      <w:r>
        <w:rPr>
          <w:rFonts w:eastAsiaTheme="minorEastAsia"/>
        </w:rPr>
        <w:t>softmax</w:t>
      </w:r>
      <w:proofErr w:type="spellEnd"/>
      <w:r>
        <w:rPr>
          <w:rFonts w:eastAsiaTheme="minorEastAsia"/>
        </w:rPr>
        <w:t>,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5"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5"/>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[b] the derivative of the </w:t>
      </w:r>
      <w:proofErr w:type="spellStart"/>
      <w:r>
        <w:rPr>
          <w:rFonts w:eastAsiaTheme="minorEastAsia"/>
        </w:rPr>
        <w:t>softmax</w:t>
      </w:r>
      <w:proofErr w:type="spellEnd"/>
      <w:r>
        <w:rPr>
          <w:rFonts w:eastAsiaTheme="minorEastAsia"/>
        </w:rPr>
        <w:t xml:space="preserve">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6" w:name="_Hlk528767914"/>
            <m:r>
              <w:rPr>
                <w:rFonts w:ascii="Cambria Math" w:eastAsiaTheme="minorEastAsia" w:hAnsi="Cambria Math"/>
              </w:rPr>
              <m:t>f</m:t>
            </m:r>
            <w:bookmarkEnd w:id="86"/>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2D1AD3"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2D1AD3"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w:t>
      </w:r>
      <w:proofErr w:type="spellStart"/>
      <w:r>
        <w:rPr>
          <w:rFonts w:eastAsiaTheme="minorEastAsia"/>
        </w:rPr>
        <w:t>softmax</w:t>
      </w:r>
      <w:proofErr w:type="spellEnd"/>
      <w:r>
        <w:rPr>
          <w:rFonts w:eastAsiaTheme="minorEastAsia"/>
        </w:rPr>
        <w:t xml:space="preserv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2D1AD3"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2D1AD3"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2D1AD3"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2D1AD3"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2D1AD3"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2D1AD3"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2D1AD3"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2D1AD3"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7" w:name="_Hlk528666488"/>
        <w:tc>
          <w:tcPr>
            <w:tcW w:w="7475" w:type="dxa"/>
          </w:tcPr>
          <w:p w14:paraId="120E1DDC" w14:textId="0757AC11" w:rsidR="00A83CFF" w:rsidRPr="00412185" w:rsidRDefault="002D1AD3"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7"/>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2D1A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2D1A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8"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8"/>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2D1A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2D1A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2D1A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2D1AD3"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89" w:name="_Hlk526953110"/>
      <m:oMath>
        <m:r>
          <w:rPr>
            <w:rFonts w:ascii="Cambria Math" w:eastAsiaTheme="minorEastAsia" w:hAnsi="Cambria Math"/>
          </w:rPr>
          <m:t>1×</m:t>
        </m:r>
        <w:bookmarkEnd w:id="89"/>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0"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2D1AD3"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2D1AD3"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2D1AD3"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2D1AD3"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2D1AD3"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2D1A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0"/>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w:proofErr w:type="spellStart"/>
      <m:oMath>
        <m:r>
          <m:rPr>
            <m:nor/>
          </m:rPr>
          <w:rPr>
            <w:rFonts w:ascii="Cambria Math" w:eastAsiaTheme="minorEastAsia" w:hAnsi="Cambria Math"/>
          </w:rPr>
          <m:t>softmax</m:t>
        </m:r>
      </m:oMath>
      <w:proofErr w:type="spellEnd"/>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2D1AD3"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w:proofErr w:type="spellStart"/>
      <m:oMath>
        <m:r>
          <m:rPr>
            <m:nor/>
          </m:rPr>
          <w:rPr>
            <w:rFonts w:ascii="Cambria Math" w:eastAsiaTheme="minorEastAsia" w:hAnsi="Cambria Math"/>
          </w:rPr>
          <m:t>softmax</m:t>
        </m:r>
      </m:oMath>
      <w:proofErr w:type="spellEnd"/>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F4ED3" w14:textId="77777777" w:rsidR="004C6ED9" w:rsidRDefault="004C6ED9" w:rsidP="00AD4288">
      <w:r>
        <w:separator/>
      </w:r>
    </w:p>
  </w:endnote>
  <w:endnote w:type="continuationSeparator" w:id="0">
    <w:p w14:paraId="6B0F9C41" w14:textId="77777777" w:rsidR="004C6ED9" w:rsidRDefault="004C6ED9"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41D77" w14:textId="77777777" w:rsidR="004C6ED9" w:rsidRDefault="004C6ED9" w:rsidP="00AD4288">
      <w:r>
        <w:separator/>
      </w:r>
    </w:p>
  </w:footnote>
  <w:footnote w:type="continuationSeparator" w:id="0">
    <w:p w14:paraId="2211BE19" w14:textId="77777777" w:rsidR="004C6ED9" w:rsidRDefault="004C6ED9"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B6A"/>
    <w:rsid w:val="004E72D3"/>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2AE1"/>
    <w:rsid w:val="008D39F0"/>
    <w:rsid w:val="008D47AE"/>
    <w:rsid w:val="008D5EBD"/>
    <w:rsid w:val="008E1162"/>
    <w:rsid w:val="008E326B"/>
    <w:rsid w:val="008E3F1E"/>
    <w:rsid w:val="008E413F"/>
    <w:rsid w:val="008E474B"/>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8069F"/>
    <w:rsid w:val="00B81082"/>
    <w:rsid w:val="00B82B91"/>
    <w:rsid w:val="00B83AB4"/>
    <w:rsid w:val="00B862BF"/>
    <w:rsid w:val="00B87162"/>
    <w:rsid w:val="00B871A7"/>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03249-3B13-4967-9403-D3A2A13E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30726</TotalTime>
  <Pages>38</Pages>
  <Words>16605</Words>
  <Characters>94655</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42</cp:revision>
  <dcterms:created xsi:type="dcterms:W3CDTF">2018-09-10T16:59:00Z</dcterms:created>
  <dcterms:modified xsi:type="dcterms:W3CDTF">2018-11-26T08:15:00Z</dcterms:modified>
</cp:coreProperties>
</file>