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bookmarkStart w:id="20" w:name="abstract"/>
    <w:p>
      <w:pPr>
        <w:pStyle w:val="Heading1"/>
      </w:pPr>
      <w:r>
        <w:t xml:space="preserve">Abstract</w:t>
      </w:r>
    </w:p>
    <w:p>
      <w:pPr>
        <w:pStyle w:val="FirstParagraph"/>
      </w:pPr>
      <w:r>
        <w:t xml:space="preserve">Anthropogenic activities continue to exert long-term, varied, and increasing pressures on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Explaining the extent and pace of biodiversity change will require identifying the conditions that lead to divergent biological responses, e.g., whether change happens gradually or abruptly and through individual versus cohesive species responses. In particular, disentangling the roles of extrinsic, environmental forcing and intrinsic, ecological processes is vital. We propose to combine two time series of environmental and biological change with information on species’ traits and trophic interactions to attribute biological change to its extrinsic and intrinsic drivers. The proposed work includes analysis and continuation of a data set extending nearly two decades of pelagic megafaunal communities and environment monitoring</w:t>
      </w:r>
      <w:r>
        <w:t xml:space="preserve"> </w:t>
      </w:r>
      <w:r>
        <w:t xml:space="preserve">for a shallow estuarine bay along the Gulf of Mexico Coast. To this, we add analysis and continuation of a three year dataset of benthic macrofaunal from the same bay. The project proposes to address four key questions.</w:t>
      </w:r>
    </w:p>
    <w:p>
      <w:r>
        <w:br w:type="page"/>
      </w:r>
    </w:p>
    <w:bookmarkEnd w:id="20"/>
    <w:bookmarkStart w:id="21"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w:t>
      </w:r>
      <w:r>
        <w:rPr>
          <w:bCs/>
          <w:b/>
        </w:rPr>
        <w:t xml:space="preserve">steffen2015?</w:t>
      </w:r>
      <w:r>
        <w:t xml:space="preserve">)</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w:t>
      </w:r>
      <w:r>
        <w:rPr>
          <w:bCs/>
          <w:b/>
        </w:rPr>
        <w:t xml:space="preserve">hillebrand2018?</w:t>
      </w:r>
      <w:r>
        <w:t xml:space="preserve">)</w:t>
      </w:r>
      <w:r>
        <w:t xml:space="preserve">. These shifts in communities through time are difficult to predict, in part, due to the multidimensional nature of biodiversity</w:t>
      </w:r>
      <w:r>
        <w:t xml:space="preserve"> </w:t>
      </w:r>
      <w:r>
        <w:t xml:space="preserve">(</w:t>
      </w:r>
      <w:r>
        <w:rPr>
          <w:bCs/>
          <w:b/>
        </w:rPr>
        <w:t xml:space="preserve">chase2018?</w:t>
      </w:r>
      <w:r>
        <w:t xml:space="preserve">)</w:t>
      </w:r>
      <w:r>
        <w:t xml:space="preserve">. Yet, understanding how communities change through time is crucial for predicting current and future changes to biological systems and ecosystem services.</w:t>
      </w:r>
      <w:r>
        <w:t xml:space="preserve"> </w:t>
      </w:r>
      <w:r>
        <w:t xml:space="preserve"> </w:t>
      </w: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w:t>
      </w:r>
      <w:r>
        <w:rPr>
          <w:bCs/>
          <w:b/>
        </w:rPr>
        <w:t xml:space="preserve">williams2011?</w:t>
      </w:r>
      <w:r>
        <w:t xml:space="preserve">)</w:t>
      </w:r>
      <w:r>
        <w:t xml:space="preserve">(</w:t>
      </w:r>
      <w:r>
        <w:rPr>
          <w:bCs/>
          <w:b/>
        </w:rPr>
        <w:t xml:space="preserve">scheffer2003?</w:t>
      </w:r>
      <w:r>
        <w:t xml:space="preserve">)</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w:t>
      </w:r>
      <w:r>
        <w:rPr>
          <w:bCs/>
          <w:b/>
        </w:rPr>
        <w:t xml:space="preserve">antao2020?</w:t>
      </w:r>
      <w:r>
        <w:t xml:space="preserve">)</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w:t>
      </w:r>
      <w:r>
        <w:rPr>
          <w:bCs/>
          <w:b/>
        </w:rPr>
        <w:t xml:space="preserve">blowes2019?</w:t>
      </w:r>
      <w:r>
        <w:t xml:space="preserve">)</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w:t>
      </w:r>
      <w:r>
        <w:rPr>
          <w:bCs/>
          <w:b/>
        </w:rPr>
        <w:t xml:space="preserve">shoemaker2020?</w:t>
      </w:r>
      <w:r>
        <w:t xml:space="preserve">)</w:t>
      </w:r>
      <w:r>
        <w:t xml:space="preserve">.</w:t>
      </w:r>
    </w:p>
    <w:p>
      <w:pPr>
        <w:pStyle w:val="BodyText"/>
      </w:pPr>
      <w:r>
        <w:t xml:space="preserve">Here, we quantified over a decade of change in a shallow estuarine community. We</w:t>
      </w:r>
    </w:p>
    <w:bookmarkEnd w:id="21"/>
    <w:bookmarkStart w:id="27" w:name="methods"/>
    <w:p>
      <w:pPr>
        <w:pStyle w:val="Heading1"/>
      </w:pPr>
      <w:r>
        <w:t xml:space="preserve">Methods</w:t>
      </w:r>
    </w:p>
    <w:bookmarkStart w:id="22" w:name="sampling-area"/>
    <w:p>
      <w:pPr>
        <w:pStyle w:val="Heading2"/>
      </w:pPr>
      <w:r>
        <w:t xml:space="preserve">Sampling area</w:t>
      </w:r>
    </w:p>
    <w:p>
      <w:pPr>
        <w:pStyle w:val="FirstParagraph"/>
      </w:pPr>
      <w:r>
        <w:t xml:space="preserve">This study was focused on Terrebonne Bay, located in the northern Gulf of Mexico of Louisiana, USA (29</w:t>
      </w:r>
      <m:oMath>
        <m:r>
          <m:rPr>
            <m:sty m:val="p"/>
          </m:rPr>
          <m:t>∘</m:t>
        </m:r>
      </m:oMath>
      <w:r>
        <w:t xml:space="preserve">11.200’N, 90</w:t>
      </w:r>
      <m:oMath>
        <m:r>
          <m:rPr>
            <m:sty m:val="p"/>
          </m:rPr>
          <m:t>∘</m:t>
        </m:r>
      </m:oMath>
      <w:r>
        <w:t xml:space="preserve">36.560’W; Figure S1). Terrebonne Bay is a broad (1,761 km2), shallow estuary (average depth 2m), separated from the Gulf of Mexico by two barrier island chains and connected by four tidal passes. The bay-estuary complex is part of an abandoned distributary of the Mississippi River and therefore no longer receives any significant riverine inputs. Thus, the majority of its freshwater inputs are from the local drainage basin</w:t>
      </w:r>
      <w:r>
        <w:t xml:space="preserve"> </w:t>
      </w:r>
      <w:r>
        <w:t xml:space="preserve">(</w:t>
      </w:r>
      <w:r>
        <w:rPr>
          <w:bCs/>
          <w:b/>
        </w:rPr>
        <w:t xml:space="preserve">bianchi2009?</w:t>
      </w:r>
      <w:r>
        <w:t xml:space="preserve">)</w:t>
      </w:r>
      <w:r>
        <w:t xml:space="preserve">. While water column salinity and density are homogenous, strong salinity gradients exist seaward from the marsh to the barrier islands</w:t>
      </w:r>
      <w:r>
        <w:t xml:space="preserve"> </w:t>
      </w:r>
      <w:r>
        <w:t xml:space="preserve">(</w:t>
      </w:r>
      <w:r>
        <w:rPr>
          <w:bCs/>
          <w:b/>
        </w:rPr>
        <w:t xml:space="preserve">bianchi2009?</w:t>
      </w:r>
      <w:r>
        <w:t xml:space="preserve">)</w:t>
      </w:r>
      <w:r>
        <w:t xml:space="preserve">. Tides in Terrebonne Bay are diurnal with a semidiurnal component, ranging 20-80 cm</w:t>
      </w:r>
      <w:r>
        <w:t xml:space="preserve"> </w:t>
      </w:r>
      <w:r>
        <w:t xml:space="preserve">(</w:t>
      </w:r>
      <w:r>
        <w:rPr>
          <w:bCs/>
          <w:b/>
        </w:rPr>
        <w:t xml:space="preserve">inoue2000?</w:t>
      </w:r>
      <w:r>
        <w:t xml:space="preserve">)</w:t>
      </w:r>
      <w:r>
        <w:t xml:space="preserve">.</w:t>
      </w:r>
    </w:p>
    <w:bookmarkEnd w:id="22"/>
    <w:bookmarkStart w:id="24"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3">
        <w:r>
          <w:rPr>
            <w:rStyle w:val="Hyperlink"/>
          </w:rPr>
          <w:t xml:space="preserve">https://www.lumcon.edu/education-and-outreach</w:t>
        </w:r>
      </w:hyperlink>
      <w:r>
        <w:t xml:space="preserve">). Individual trawls were conducted using</w:t>
      </w:r>
      <w:r>
        <w:t xml:space="preserve"> </w:t>
      </w:r>
      <w:r>
        <w:rPr>
          <w:iCs/>
          <w:i/>
        </w:rPr>
        <w:t xml:space="preserve">trawl apparatus description…</w:t>
      </w:r>
      <w:r>
        <w:t xml:space="preserve"> </w:t>
      </w:r>
      <w:r>
        <w:t xml:space="preserve">and occasionally multiple</w:t>
      </w:r>
    </w:p>
    <w:bookmarkEnd w:id="24"/>
    <w:bookmarkStart w:id="25"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w:t>
      </w:r>
      <w:r>
        <w:rPr>
          <w:bCs/>
          <w:b/>
        </w:rPr>
        <w:t xml:space="preserve">chamberlain2020?</w:t>
      </w:r>
      <w:r>
        <w:t xml:space="preserve">)</w:t>
      </w:r>
      <w:r>
        <w:t xml:space="preserve"> </w:t>
      </w:r>
      <w:r>
        <w:t xml:space="preserve">and further standardized to consistent taxonomic resolution for entire data series (Supplemental materials).</w:t>
      </w:r>
    </w:p>
    <w:p>
      <w:pPr>
        <w:pStyle w:val="BodyText"/>
      </w:pPr>
      <w:r>
        <w:t xml:space="preserve">mobr package</w:t>
      </w:r>
      <w:r>
        <w:t xml:space="preserve"> </w:t>
      </w:r>
      <w:r>
        <w:t xml:space="preserve">(</w:t>
      </w:r>
      <w:r>
        <w:rPr>
          <w:bCs/>
          <w:b/>
        </w:rPr>
        <w:t xml:space="preserve">mcglinn2019?</w:t>
      </w:r>
      <w:r>
        <w:t xml:space="preserve">)</w:t>
      </w:r>
    </w:p>
    <w:p>
      <w:pPr>
        <w:pStyle w:val="BodyText"/>
      </w:pPr>
      <w:r>
        <w:t xml:space="preserve">Trawls with &gt;20 individuals counted (This should be reconsidered when we aggregate at the annual scale)</w:t>
      </w:r>
      <w:r>
        <w:t xml:space="preserve"> </w:t>
      </w:r>
      <w:r>
        <w:t xml:space="preserve">Bootstrapping methods were used by resampling with replacement 99 times. From these permutations the 2.5% and 97.5% percentiles of yearly statistics were taken to estimate 95% percentile intervals. With this procedure we estimate:</w:t>
      </w:r>
      <w:r>
        <w:t xml:space="preserve"> </w:t>
      </w:r>
      <w:r>
        <w:t xml:space="preserve">-</w:t>
      </w:r>
      <w:r>
        <w:t xml:space="preserve"> </w:t>
      </w:r>
      <w:r>
        <w:rPr>
          <w:iCs/>
          <w:i/>
        </w:rPr>
        <w:t xml:space="preserve">S</w:t>
      </w:r>
      <w:r>
        <w:rPr>
          <w:vertAlign w:val="subscript"/>
          <w:iCs/>
          <w:i/>
        </w:rPr>
        <w:t xml:space="preserve">asymp</w:t>
      </w:r>
      <w:r>
        <w:t xml:space="preserve"> </w:t>
      </w:r>
      <w:r>
        <w:t xml:space="preserve">for each year using the Chao1 estimator</w:t>
      </w:r>
      <w:r>
        <w:t xml:space="preserve"> </w:t>
      </w:r>
      <w:r>
        <w:t xml:space="preserve">(</w:t>
      </w:r>
      <w:r>
        <w:rPr>
          <w:bCs/>
          <w:b/>
        </w:rPr>
        <w:t xml:space="preserve">chao1984?</w:t>
      </w:r>
      <w:r>
        <w:t xml:space="preserve">)</w:t>
      </w:r>
      <w:r>
        <w:t xml:space="preserve">(</w:t>
      </w:r>
      <w:r>
        <w:rPr>
          <w:bCs/>
          <w:b/>
        </w:rPr>
        <w:t xml:space="preserve">chao1987?</w:t>
      </w:r>
      <w:r>
        <w:t xml:space="preserve">)</w:t>
      </w:r>
      <w:r>
        <w:t xml:space="preserve"> </w:t>
      </w:r>
      <w:r>
        <w:t xml:space="preserve">a metric which is highly correlated with richness,</w:t>
      </w:r>
      <w:r>
        <w:t xml:space="preserve"> </w:t>
      </w:r>
      <w:r>
        <w:rPr>
          <w:iCs/>
          <w:i/>
        </w:rPr>
        <w:t xml:space="preserve">S</w:t>
      </w:r>
      <w:r>
        <w:t xml:space="preserve"> </w:t>
      </w:r>
      <w:r>
        <w:t xml:space="preserve">(</w:t>
      </w:r>
      <w:r>
        <w:rPr>
          <w:bCs/>
          <w:b/>
        </w:rPr>
        <w:t xml:space="preserve">mcgill2011?</w:t>
      </w:r>
      <w:r>
        <w:t xml:space="preserve">)</w:t>
      </w:r>
      <w:r>
        <w:t xml:space="preserve"> </w:t>
      </w:r>
      <w:r>
        <w:t xml:space="preserve">- because of differences in effort, we estimated effort-controlled rarefied species richness,</w:t>
      </w:r>
      <w:r>
        <w:t xml:space="preserve"> </w:t>
      </w:r>
      <w:r>
        <w:rPr>
          <w:iCs/>
          <w:i/>
        </w:rPr>
        <w:t xml:space="preserve">S</w:t>
      </w:r>
      <w:r>
        <w:rPr>
          <w:vertAlign w:val="subscript"/>
          <w:iCs/>
          <w:i/>
        </w:rPr>
        <w:t xml:space="preserve">n</w:t>
      </w:r>
      <w:r>
        <w:t xml:space="preserve">, which provides the expected number of species given a defined number of</w:t>
      </w:r>
      <w:r>
        <w:t xml:space="preserve"> </w:t>
      </w:r>
      <w:r>
        <w:rPr>
          <w:iCs/>
          <w:i/>
        </w:rPr>
        <w:t xml:space="preserve">n</w:t>
      </w:r>
      <w:r>
        <w:t xml:space="preserve"> </w:t>
      </w:r>
      <w:r>
        <w:t xml:space="preserve">individuals sampled</w:t>
      </w:r>
      <w:r>
        <w:t xml:space="preserve"> </w:t>
      </w:r>
      <w:r>
        <w:t xml:space="preserve">(</w:t>
      </w:r>
      <w:r>
        <w:rPr>
          <w:bCs/>
          <w:b/>
        </w:rPr>
        <w:t xml:space="preserve">gotelli2001?</w:t>
      </w:r>
      <w:r>
        <w:t xml:space="preserve">)</w:t>
      </w:r>
      <w:r>
        <w:t xml:space="preserve">.</w:t>
      </w:r>
      <w:r>
        <w:t xml:space="preserve"> </w:t>
      </w:r>
      <w:r>
        <w:rPr>
          <w:iCs/>
          <w:i/>
        </w:rPr>
        <w:t xml:space="preserve">S</w:t>
      </w:r>
      <w:r>
        <w:rPr>
          <w:vertAlign w:val="subscript"/>
          <w:iCs/>
          <w:i/>
        </w:rPr>
        <w:t xml:space="preserve">n</w:t>
      </w:r>
      <w:r>
        <w:t xml:space="preserve"> </w:t>
      </w:r>
      <w:r>
        <w:t xml:space="preserve">estimates for yearly aggregated data,</w:t>
      </w:r>
      <w:r>
        <w:t xml:space="preserve"> </w:t>
      </w:r>
      <w:r>
        <w:rPr>
          <w:iCs/>
          <w:i/>
        </w:rPr>
        <w:t xml:space="preserve">n</w:t>
      </w:r>
      <w:r>
        <w:t xml:space="preserve"> </w:t>
      </w:r>
      <w:r>
        <w:t xml:space="preserve">was calculated by the minimum samples within a year multipled by 50.</w:t>
      </w:r>
      <w:r>
        <w:t xml:space="preserve"> </w:t>
      </w:r>
      <w:r>
        <w:t xml:space="preserve">- We used the hillR package</w:t>
      </w:r>
      <w:r>
        <w:t xml:space="preserve"> </w:t>
      </w:r>
      <w:r>
        <w:t xml:space="preserve">(</w:t>
      </w:r>
      <w:r>
        <w:rPr>
          <w:bCs/>
          <w:b/>
        </w:rPr>
        <w:t xml:space="preserve">li2018?</w:t>
      </w:r>
      <w:r>
        <w:t xml:space="preserve">)</w:t>
      </w:r>
      <w:r>
        <w:t xml:space="preserve"> </w:t>
      </w:r>
      <w:r>
        <w:t xml:space="preserve">to calculate the diversity order 2, which corresponds to the effective number of dominant (highly abundant) species.</w:t>
      </w:r>
    </w:p>
    <w:bookmarkEnd w:id="25"/>
    <w:bookmarkStart w:id="26" w:name="statistical-analyses"/>
    <w:p>
      <w:pPr>
        <w:pStyle w:val="Heading2"/>
      </w:pPr>
      <w:r>
        <w:t xml:space="preserve">Statistical Analyses</w:t>
      </w:r>
    </w:p>
    <w:bookmarkEnd w:id="26"/>
    <w:bookmarkEnd w:id="27"/>
    <w:bookmarkStart w:id="31" w:name="results"/>
    <w:p>
      <w:pPr>
        <w:pStyle w:val="Heading1"/>
      </w:pPr>
      <w:r>
        <w:t xml:space="preserve">Results</w:t>
      </w:r>
    </w:p>
    <w:p>
      <w:pPr>
        <w:pStyle w:val="FirstParagraph"/>
      </w:pPr>
      <w:r>
        <w:t xml:space="preserve">Over the sampling period from 2007 to 2019, 361 trawls-days were performed yielding 1.4e+05 individuals. Among years, total effort generally increased, both in number of trawl-days and individuals counted, from a minimum effort of 18 (2011) to 41 (2017) days and from 2145 (2010) to 2.4e+04 (2018) individuals. In total, 131 unique species were identified and new species were consistently observed throughout the sampling period (Figure 1). Within a calendar year, we estimated the asymptotic species richness (</w:t>
      </w:r>
      <w:r>
        <w:rPr>
          <w:iCs/>
          <w:i/>
        </w:rPr>
        <w:t xml:space="preserve">S</w:t>
      </w:r>
      <w:r>
        <w:rPr>
          <w:vertAlign w:val="subscript"/>
          <w:iCs/>
          <w:i/>
        </w:rPr>
        <w:t xml:space="preserve">asymp</w:t>
      </w:r>
      <w:r>
        <w:t xml:space="preserve">) which was relatively stable for the first five years (2007 – 2012), reaching a minimum value of 32 (26 – 46) in 2010. Estimated</w:t>
      </w:r>
      <w:r>
        <w:t xml:space="preserve"> </w:t>
      </w:r>
      <w:r>
        <w:rPr>
          <w:iCs/>
          <w:i/>
        </w:rPr>
        <w:t xml:space="preserve">S</w:t>
      </w:r>
      <w:r>
        <w:rPr>
          <w:vertAlign w:val="subscript"/>
          <w:iCs/>
          <w:i/>
        </w:rPr>
        <w:t xml:space="preserve">asymp</w:t>
      </w:r>
      <w:r>
        <w:t xml:space="preserve"> </w:t>
      </w:r>
      <w:r>
        <w:t xml:space="preserve">increased in 2013 to a series maximum of 70 (61 – 83) in 2019.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900 individuals,</w:t>
      </w:r>
      <w:r>
        <w:t xml:space="preserve"> </w:t>
      </w:r>
      <w:r>
        <w:rPr>
          <w:iCs/>
          <w:i/>
        </w:rPr>
        <w:t xml:space="preserve">S</w:t>
      </w:r>
      <w:r>
        <w:rPr>
          <w:vertAlign w:val="subscript"/>
          <w:iCs/>
          <w:i/>
        </w:rPr>
        <w:t xml:space="preserve">900</w:t>
      </w:r>
      <w:r>
        <w:t xml:space="preserve">, for each year. Here, effort-controlled species richness,</w:t>
      </w:r>
      <w:r>
        <w:t xml:space="preserve"> </w:t>
      </w:r>
      <w:r>
        <w:rPr>
          <w:iCs/>
          <w:i/>
        </w:rPr>
        <w:t xml:space="preserve">S</w:t>
      </w:r>
      <w:r>
        <w:rPr>
          <w:vertAlign w:val="subscript"/>
          <w:iCs/>
          <w:i/>
        </w:rPr>
        <w:t xml:space="preserve">900</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ranging from 24.5 (21.9 – 26.3) to 36.6 (33 – 39.2) (Figure 1).</w:t>
      </w:r>
    </w:p>
    <w:p>
      <w:pPr>
        <w:pStyle w:val="CaptionedFigure"/>
      </w:pPr>
      <w:r>
        <w:drawing>
          <wp:inline>
            <wp:extent cx="4620126" cy="3696101"/>
            <wp:effectExtent b="0" l="0" r="0" t="0"/>
            <wp:docPr descr="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w:t>
      </w:r>
    </w:p>
    <w:p>
      <w:pPr>
        <w:pStyle w:val="BodyText"/>
      </w:pPr>
      <w:r>
        <w:t xml:space="preserve">Considering the consistent accumulation of new species throughout the sampling series and the relatively stable effort-controlled richness, we</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figure%20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s_files/figure-docx/figure%20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discussion"/>
    <w:p>
      <w:pPr>
        <w:pStyle w:val="Heading1"/>
      </w:pPr>
      <w:r>
        <w:t xml:space="preserve">Discussion</w:t>
      </w:r>
    </w:p>
    <w:bookmarkEnd w:id="32"/>
    <w:bookmarkStart w:id="33" w:name="acknowledgements"/>
    <w:p>
      <w:pPr>
        <w:pStyle w:val="Heading1"/>
      </w:pPr>
      <w:r>
        <w:t xml:space="preserve">Acknowledgements</w:t>
      </w:r>
    </w:p>
    <w:p>
      <w:r>
        <w:br w:type="page"/>
      </w:r>
    </w:p>
    <w:bookmarkEnd w:id="33"/>
    <w:bookmarkStart w:id="34" w:name="references"/>
    <w:p>
      <w:pPr>
        <w:pStyle w:val="Heading1"/>
      </w:pPr>
      <w:r>
        <w:t xml:space="preserve">References</w:t>
      </w:r>
    </w:p>
    <w:bookmarkEnd w:id="34"/>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www.lumcon.edu/education-and-outreach"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umcon.edu/education-and-outre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2021-08-01T23:22:33Z</dcterms:created>
  <dcterms:modified xsi:type="dcterms:W3CDTF">2021-08-01T23:22:33Z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linestretch">
    <vt:lpwstr>1</vt:lpwstr>
  </property>
  <property fmtid="{D5CDD505-2E9C-101B-9397-08002B2CF9AE}" pid="6" name="link-citations">
    <vt:lpwstr>no</vt:lpwstr>
  </property>
  <property fmtid="{D5CDD505-2E9C-101B-9397-08002B2CF9AE}" pid="7" name="link-color">
    <vt:lpwstr>grey</vt:lpwstr>
  </property>
  <property fmtid="{D5CDD505-2E9C-101B-9397-08002B2CF9AE}" pid="8" name="output">
    <vt:lpwstr/>
  </property>
</Properties>
</file>