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title</w:t>
      </w:r>
      <w:r>
        <w:t xml:space="preserve"> </w:t>
      </w:r>
      <w:r>
        <w:t xml:space="preserve">here</w:t>
      </w:r>
    </w:p>
    <w:bookmarkStart w:id="20" w:name="abstract"/>
    <w:p>
      <w:pPr>
        <w:pStyle w:val="Heading1"/>
      </w:pPr>
      <w:r>
        <w:t xml:space="preserve">Abstract</w:t>
      </w:r>
    </w:p>
    <w:p>
      <w:pPr>
        <w:pStyle w:val="FirstParagraph"/>
      </w:pPr>
      <w:r>
        <w:t xml:space="preserve">Anthropogenic activities continue to exert long-term, varied, and increasing pressures on ecosystems causing alterations to biological diversity on broad and local scales. Shifts in biodiversity are variable, nuanced and difficult to predict. Yet, understanding how communities change through time is crucial for predicting current and future changes to biological systems and the services they provide. Explaining the extent and pace of biodiversity change will require identifying the conditions that lead to divergent biological responses, e.g., whether change happens gradually or abruptly and through individual versus cohesive species responses. In particular, disentangling the roles of extrinsic, environmental forcing and intrinsic, ecological processes is vital. We propose to combine two time series of environmental and biological change with information on species’ traits and trophic interactions to attribute biological change to its extrinsic and intrinsic drivers. The proposed work includes analysis and continuation of a data set extending nearly two decades of pelagic megafaunal communities and environment monitoring</w:t>
      </w:r>
      <w:r>
        <w:t xml:space="preserve"> </w:t>
      </w:r>
      <w:r>
        <w:t xml:space="preserve">for a shallow estuarine bay along the Gulf of Mexico Coast. To this, we add analysis and continuation of a three year dataset of benthic macrofaunal from the same bay. The project proposes to address four key questions.</w:t>
      </w:r>
    </w:p>
    <w:p>
      <w:r>
        <w:br w:type="page"/>
      </w:r>
    </w:p>
    <w:bookmarkEnd w:id="20"/>
    <w:bookmarkStart w:id="21" w:name="introduction"/>
    <w:p>
      <w:pPr>
        <w:pStyle w:val="Heading1"/>
      </w:pPr>
      <w:r>
        <w:t xml:space="preserve">Introduction</w:t>
      </w:r>
    </w:p>
    <w:p>
      <w:pPr>
        <w:pStyle w:val="FirstParagraph"/>
      </w:pPr>
      <w:r>
        <w:t xml:space="preserve">Anthropogenic activities continue to exert long-term, varied, and increasing pressures on ecosystems</w:t>
      </w:r>
      <w:r>
        <w:t xml:space="preserve"> </w:t>
      </w:r>
      <w:r>
        <w:t xml:space="preserve">(</w:t>
      </w:r>
      <w:r>
        <w:rPr>
          <w:bCs/>
          <w:b/>
        </w:rPr>
        <w:t xml:space="preserve">steffen2015?</w:t>
      </w:r>
      <w:r>
        <w:t xml:space="preserve">)</w:t>
      </w:r>
      <w:r>
        <w:t xml:space="preserve"> </w:t>
      </w:r>
      <w:r>
        <w:t xml:space="preserve">causing alterations to biological diversity on local and global scales. Shifts in biodiversity at local scales are variable and potentially more nuanced than at global scales, but generally local changes manifest primarily as changes to community composition and structure rather than declines in richness</w:t>
      </w:r>
      <w:r>
        <w:t xml:space="preserve"> </w:t>
      </w:r>
      <w:r>
        <w:t xml:space="preserve">(</w:t>
      </w:r>
      <w:r>
        <w:rPr>
          <w:bCs/>
          <w:b/>
        </w:rPr>
        <w:t xml:space="preserve">hillebrand2018?</w:t>
      </w:r>
      <w:r>
        <w:t xml:space="preserve">)</w:t>
      </w:r>
      <w:r>
        <w:t xml:space="preserve">. These shifts in communities through time are difficult to predict, in part, due to the multidimensional nature of biodiversity</w:t>
      </w:r>
      <w:r>
        <w:t xml:space="preserve"> </w:t>
      </w:r>
      <w:r>
        <w:t xml:space="preserve">(</w:t>
      </w:r>
      <w:r>
        <w:rPr>
          <w:bCs/>
          <w:b/>
        </w:rPr>
        <w:t xml:space="preserve">chase2018?</w:t>
      </w:r>
      <w:r>
        <w:t xml:space="preserve">)</w:t>
      </w:r>
      <w:r>
        <w:t xml:space="preserve">. Yet, understanding how communities change through time is crucial for predicting current and future changes to biological systems and ecosystem services.</w:t>
      </w:r>
      <w:r>
        <w:t xml:space="preserve"> </w:t>
      </w:r>
      <w:r>
        <w:t xml:space="preserve"> </w:t>
      </w:r>
      <w:r>
        <w:t xml:space="preserve">Explaining the extent and pace of biodiversity change will require identifying the conditions that lead to divergent biological responses to environmental change, both natural and anthropogenic. In particular, it will be important to disentangle the roles of intrinsic (e.g., ecological) and extrinsic (e.g., environmental) drivers of biodiversity change. Intrinsic and extrinsic processes can interact, leading to temporal patterns of biodiversity change that vary in response to environmental change. For example, gradual environmental change over time can lead to gradual community shifts or these shifts may be undetectable or abrupt</w:t>
      </w:r>
      <w:r>
        <w:t xml:space="preserve"> </w:t>
      </w:r>
      <w:r>
        <w:t xml:space="preserve">(</w:t>
      </w:r>
      <w:r>
        <w:rPr>
          <w:bCs/>
          <w:b/>
        </w:rPr>
        <w:t xml:space="preserve">williams2011?</w:t>
      </w:r>
      <w:r>
        <w:t xml:space="preserve">)</w:t>
      </w:r>
      <w:r>
        <w:t xml:space="preserve">(</w:t>
      </w:r>
      <w:r>
        <w:rPr>
          <w:bCs/>
          <w:b/>
        </w:rPr>
        <w:t xml:space="preserve">scheffer2003?</w:t>
      </w:r>
      <w:r>
        <w:t xml:space="preserve">)</w:t>
      </w:r>
      <w:r>
        <w:t xml:space="preserve">.</w:t>
      </w:r>
    </w:p>
    <w:p>
      <w:pPr>
        <w:pStyle w:val="BodyText"/>
      </w:pPr>
      <w:r>
        <w:t xml:space="preserve">Disentangling the complexity of drivers and responses in community structure is especially pressing for marine systems. Marine systems have experienced greater changes than other habitats</w:t>
      </w:r>
      <w:r>
        <w:t xml:space="preserve"> </w:t>
      </w:r>
      <w:r>
        <w:t xml:space="preserve">(</w:t>
      </w:r>
      <w:r>
        <w:rPr>
          <w:bCs/>
          <w:b/>
        </w:rPr>
        <w:t xml:space="preserve">antao2020?</w:t>
      </w:r>
      <w:r>
        <w:t xml:space="preserve">)</w:t>
      </w:r>
      <w:r>
        <w:t xml:space="preserve">. Yet, we currently lack linkages between ecological theory, primarily derived from terrestrial systems, and data in marine systems leaving unanswered questions about biodiversity changes in these habitats</w:t>
      </w:r>
      <w:r>
        <w:t xml:space="preserve"> </w:t>
      </w:r>
      <w:r>
        <w:t xml:space="preserve">(</w:t>
      </w:r>
      <w:r>
        <w:rPr>
          <w:bCs/>
          <w:b/>
        </w:rPr>
        <w:t xml:space="preserve">blowes2019?</w:t>
      </w:r>
      <w:r>
        <w:t xml:space="preserve">)</w:t>
      </w:r>
      <w:r>
        <w:t xml:space="preserve">. We propose a framework to explore the nature of biodiversity change in an estuary bay community and connect this change to intrinsic and extrinsic drivers. This research will build towards a more coherent theory of biodiversity change through time</w:t>
      </w:r>
      <w:r>
        <w:t xml:space="preserve"> </w:t>
      </w:r>
      <w:r>
        <w:t xml:space="preserve">(</w:t>
      </w:r>
      <w:r>
        <w:rPr>
          <w:bCs/>
          <w:b/>
        </w:rPr>
        <w:t xml:space="preserve">shoemaker2020?</w:t>
      </w:r>
      <w:r>
        <w:t xml:space="preserve">)</w:t>
      </w:r>
      <w:r>
        <w:t xml:space="preserve">.</w:t>
      </w:r>
    </w:p>
    <w:p>
      <w:pPr>
        <w:pStyle w:val="BodyText"/>
      </w:pPr>
      <w:r>
        <w:t xml:space="preserve">Here, we quantified over a decade of change in a shallow estuarine community. We</w:t>
      </w:r>
    </w:p>
    <w:bookmarkEnd w:id="21"/>
    <w:bookmarkStart w:id="26" w:name="methods"/>
    <w:p>
      <w:pPr>
        <w:pStyle w:val="Heading1"/>
      </w:pPr>
      <w:r>
        <w:t xml:space="preserve">Methods</w:t>
      </w:r>
    </w:p>
    <w:bookmarkStart w:id="23" w:name="trawl-sampling"/>
    <w:p>
      <w:pPr>
        <w:pStyle w:val="Heading2"/>
      </w:pPr>
      <w:r>
        <w:t xml:space="preserve">Trawl sampling</w:t>
      </w:r>
    </w:p>
    <w:p>
      <w:pPr>
        <w:pStyle w:val="FirstParagraph"/>
      </w:pPr>
      <w:r>
        <w:t xml:space="preserve">Trawl sampling was conducted as part of the Louisiana Universities Marine Consortium’s (LUMCON) educational outreach program (</w:t>
      </w:r>
      <w:hyperlink r:id="rId22">
        <w:r>
          <w:rPr>
            <w:rStyle w:val="Hyperlink"/>
          </w:rPr>
          <w:t xml:space="preserve">https://www.lumcon.edu/education-and-outreach</w:t>
        </w:r>
      </w:hyperlink>
      <w:r>
        <w:t xml:space="preserve">). Individual trawls were conducted using</w:t>
      </w:r>
      <w:r>
        <w:t xml:space="preserve"> </w:t>
      </w:r>
      <w:r>
        <w:rPr>
          <w:iCs/>
          <w:i/>
        </w:rPr>
        <w:t xml:space="preserve">trawl apparatus description…</w:t>
      </w:r>
      <w:r>
        <w:t xml:space="preserve"> </w:t>
      </w:r>
      <w:r>
        <w:t xml:space="preserve">and</w:t>
      </w:r>
    </w:p>
    <w:bookmarkEnd w:id="23"/>
    <w:bookmarkStart w:id="24" w:name="community-characterization"/>
    <w:p>
      <w:pPr>
        <w:pStyle w:val="Heading2"/>
      </w:pPr>
      <w:r>
        <w:t xml:space="preserve">Community characterization</w:t>
      </w:r>
    </w:p>
    <w:p>
      <w:pPr>
        <w:pStyle w:val="FirstParagraph"/>
      </w:pPr>
      <w:r>
        <w:t xml:space="preserve">Species names were checked for typos and confirmed using the</w:t>
      </w:r>
      <w:r>
        <w:t xml:space="preserve"> </w:t>
      </w:r>
      <w:r>
        <w:rPr>
          <w:iCs/>
          <w:i/>
        </w:rPr>
        <w:t xml:space="preserve">gni_parse</w:t>
      </w:r>
      <w:r>
        <w:t xml:space="preserve"> </w:t>
      </w:r>
      <w:r>
        <w:t xml:space="preserve">function from the</w:t>
      </w:r>
      <w:r>
        <w:t xml:space="preserve"> </w:t>
      </w:r>
      <w:r>
        <w:rPr>
          <w:iCs/>
          <w:i/>
        </w:rPr>
        <w:t xml:space="preserve">taxize</w:t>
      </w:r>
      <w:r>
        <w:t xml:space="preserve"> </w:t>
      </w:r>
      <w:r>
        <w:t xml:space="preserve">package</w:t>
      </w:r>
      <w:r>
        <w:t xml:space="preserve"> </w:t>
      </w:r>
      <w:r>
        <w:t xml:space="preserve">(</w:t>
      </w:r>
      <w:r>
        <w:rPr>
          <w:bCs/>
          <w:b/>
        </w:rPr>
        <w:t xml:space="preserve">chamberlain2020?</w:t>
      </w:r>
      <w:r>
        <w:t xml:space="preserve">)</w:t>
      </w:r>
      <w:r>
        <w:t xml:space="preserve"> </w:t>
      </w:r>
      <w:r>
        <w:t xml:space="preserve">and further standardized to consistent taxonomic resolution for entire data series (Supplemental materials).</w:t>
      </w:r>
    </w:p>
    <w:bookmarkEnd w:id="24"/>
    <w:bookmarkStart w:id="25" w:name="statistical-analyses"/>
    <w:p>
      <w:pPr>
        <w:pStyle w:val="Heading2"/>
      </w:pPr>
      <w:r>
        <w:t xml:space="preserve">Statistical Analyses</w:t>
      </w:r>
    </w:p>
    <w:bookmarkEnd w:id="25"/>
    <w:bookmarkEnd w:id="26"/>
    <w:bookmarkStart w:id="28" w:name="results"/>
    <w:p>
      <w:pPr>
        <w:pStyle w:val="Heading1"/>
      </w:pPr>
      <w:r>
        <w:t xml:space="preserve">Results</w:t>
      </w:r>
    </w:p>
    <w:p>
      <w:pPr>
        <w:pStyle w:val="FirstParagraph"/>
      </w:pPr>
      <w:r>
        <w:t xml:space="preserve">Over the sampling period from 2007 to 2019, 361 trawls-days were conducted yielding 1.4e+05 individuals. Among years, total effort generally increased, both in number of trawl-days and individuals counted, from a minimum effort of (2011) to 41 (2017) days and from 2145 (2010) to 2.4e+04 (2018) individuals. In total, 131 unique species were identified and new species were consistently observed throughout the sampling period (Figure 1). Within a calendar year, we estimated the asymptotic species richness (</w:t>
      </w:r>
      <w:r>
        <w:rPr>
          <w:iCs/>
          <w:i/>
        </w:rPr>
        <w:t xml:space="preserve">S</w:t>
      </w:r>
      <w:r>
        <w:rPr>
          <w:vertAlign w:val="subscript"/>
          <w:iCs/>
          <w:i/>
        </w:rPr>
        <w:t xml:space="preserve">asymp</w:t>
      </w:r>
      <w:r>
        <w:t xml:space="preserve">) which was relatively stable for the first five years (2007 – 2012), reaching a minimum value of 31 (27 – 41) in 2010. Estimated</w:t>
      </w:r>
      <w:r>
        <w:t xml:space="preserve"> </w:t>
      </w:r>
      <w:r>
        <w:rPr>
          <w:iCs/>
          <w:i/>
        </w:rPr>
        <w:t xml:space="preserve">S</w:t>
      </w:r>
      <w:r>
        <w:rPr>
          <w:vertAlign w:val="subscript"/>
          <w:iCs/>
          <w:i/>
        </w:rPr>
        <w:t xml:space="preserve">asymp</w:t>
      </w:r>
      <w:r>
        <w:t xml:space="preserve"> </w:t>
      </w:r>
      <w:r>
        <w:t xml:space="preserve">increased in 2013 to a series maximum of 69 (61 – 87) in 2019. However, given the large differences in effort among years, variability in</w:t>
      </w:r>
      <w:r>
        <w:t xml:space="preserve"> </w:t>
      </w:r>
      <w:r>
        <w:rPr>
          <w:iCs/>
          <w:i/>
        </w:rPr>
        <w:t xml:space="preserve">S</w:t>
      </w:r>
      <w:r>
        <w:rPr>
          <w:vertAlign w:val="subscript"/>
          <w:iCs/>
          <w:i/>
        </w:rPr>
        <w:t xml:space="preserve">asymp</w:t>
      </w:r>
      <w:r>
        <w:t xml:space="preserve"> </w:t>
      </w:r>
      <w:r>
        <w:t xml:space="preserve">may be partly attributable to sampling effects among years. Therefore, we also calculated rarefied richness at 900 individuals,</w:t>
      </w:r>
      <w:r>
        <w:t xml:space="preserve"> </w:t>
      </w:r>
      <w:r>
        <w:rPr>
          <w:iCs/>
          <w:i/>
        </w:rPr>
        <w:t xml:space="preserve">S</w:t>
      </w:r>
      <w:r>
        <w:rPr>
          <w:vertAlign w:val="subscript"/>
          <w:iCs/>
          <w:i/>
        </w:rPr>
        <w:t xml:space="preserve">900</w:t>
      </w:r>
      <w:r>
        <w:t xml:space="preserve">, for each year. Here, effort-controlled species richness,</w:t>
      </w:r>
      <w:r>
        <w:t xml:space="preserve"> </w:t>
      </w:r>
      <w:r>
        <w:rPr>
          <w:iCs/>
          <w:i/>
        </w:rPr>
        <w:t xml:space="preserve">S</w:t>
      </w:r>
      <w:r>
        <w:rPr>
          <w:vertAlign w:val="subscript"/>
          <w:iCs/>
          <w:i/>
        </w:rPr>
        <w:t xml:space="preserve">900</w:t>
      </w:r>
      <w:r>
        <w:t xml:space="preserve">, diverged qualitatively from</w:t>
      </w:r>
      <w:r>
        <w:t xml:space="preserve"> </w:t>
      </w:r>
      <w:r>
        <w:rPr>
          <w:iCs/>
          <w:i/>
        </w:rPr>
        <w:t xml:space="preserve">S</w:t>
      </w:r>
      <w:r>
        <w:rPr>
          <w:vertAlign w:val="subscript"/>
          <w:iCs/>
          <w:i/>
        </w:rPr>
        <w:t xml:space="preserve">asymp</w:t>
      </w:r>
      <w:r>
        <w:t xml:space="preserve"> </w:t>
      </w:r>
      <w:r>
        <w:t xml:space="preserve">and was generally constant, ranging from 24.4 (21.6 – 26.5) to 35.9 (32.1 – 39.6) (Figure 1).</w:t>
      </w:r>
    </w:p>
    <w:p>
      <w:pPr>
        <w:pStyle w:val="CaptionedFigure"/>
      </w:pPr>
      <w:r>
        <w:drawing>
          <wp:inline>
            <wp:extent cx="4620126" cy="3696101"/>
            <wp:effectExtent b="0" l="0" r="0" t="0"/>
            <wp:docPr descr="Figure 1. Multiple measures of species richness within the trawl community between the years 2007 to 2019 show continual accumulation of species (purple points and line) through the timeseries. The estimated asymptotic species richness over a calendar year (Sasymp; median values and 95% percentile interval represented by yellow points and area), suggests increasing numbers of species within the community over time. However, rarefied species richness controlled to 900 individuals (S900; median values and 95% percentil interval represented by green line and area) suggests the perceived increase in Sasymp may represent an effect of increased sampling effort" title="" id="1" name="Picture"/>
            <a:graphic>
              <a:graphicData uri="http://schemas.openxmlformats.org/drawingml/2006/picture">
                <pic:pic>
                  <pic:nvPicPr>
                    <pic:cNvPr descr="ms_files/figure-docx/figure%201-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Multiple measures of species richness within the trawl community between the years 2007 to 2019 show continual accumulation of species (purple points and line) through the timeseries. The estimated asymptotic species richness over a calendar year (Sasymp; median values and 95% percentile interval represented by yellow points and area), suggests increasing numbers of species within the community over time. However, rarefied species richness controlled to 900 individuals (S900; median values and 95% percentil interval represented by green line and area) suggests the perceived increase in Sasymp may represent an effect of increased sampling effort</w:t>
      </w:r>
    </w:p>
    <w:bookmarkEnd w:id="28"/>
    <w:bookmarkStart w:id="29" w:name="discussion"/>
    <w:p>
      <w:pPr>
        <w:pStyle w:val="Heading1"/>
      </w:pPr>
      <w:r>
        <w:t xml:space="preserve">Discussion</w:t>
      </w:r>
    </w:p>
    <w:bookmarkEnd w:id="29"/>
    <w:bookmarkStart w:id="30" w:name="acknowledgements"/>
    <w:p>
      <w:pPr>
        <w:pStyle w:val="Heading1"/>
      </w:pPr>
      <w:r>
        <w:t xml:space="preserve">Acknowledgements</w:t>
      </w:r>
    </w:p>
    <w:p>
      <w:r>
        <w:br w:type="page"/>
      </w:r>
    </w:p>
    <w:bookmarkEnd w:id="30"/>
    <w:bookmarkStart w:id="31" w:name="references"/>
    <w:p>
      <w:pPr>
        <w:pStyle w:val="Heading1"/>
      </w:pPr>
      <w:r>
        <w:t xml:space="preserve">References</w:t>
      </w:r>
    </w:p>
    <w:bookmarkEnd w:id="31"/>
    <w:sectPr w:rsidR="00A024C9" w:rsidRPr="005E32E6" w:rsidSect="009820FA">
      <w:footerReference w:type="default" r:id="rId9"/>
      <w:pgSz w:w="12240" w:h="15840" w:code="1"/>
      <w:pgMar w:top="1440" w:right="1440" w:bottom="1440" w:left="1440" w:header="720" w:footer="720" w:gutter="0"/>
      <w:lnNumType w:countBy="1" w:distance="288" w:restart="continuous"/>
      <w:cols w:space="720"/>
      <w:formProt w:val="0"/>
      <w:docGrid w:linePitch="360" w:charSpace="-61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WenQuanYi Micro Hei">
    <w:panose1 w:val="00000000000000000000"/>
    <w:charset w:val="00"/>
    <w:family w:val="roman"/>
    <w:notTrueType/>
    <w:pitch w:val="default"/>
  </w:font>
  <w:font w:name="Lohit Hindi">
    <w:altName w:val="Cambria"/>
    <w:panose1 w:val="00000000000000000000"/>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0410062"/>
      <w:docPartObj>
        <w:docPartGallery w:val="Page Numbers (Bottom of Page)"/>
        <w:docPartUnique/>
      </w:docPartObj>
    </w:sdtPr>
    <w:sdtEndPr>
      <w:rPr>
        <w:noProof/>
      </w:rPr>
    </w:sdtEndPr>
    <w:sdtContent>
      <w:p w14:paraId="4E2ADAB9" w14:textId="2607009A" w:rsidR="009820FA" w:rsidRDefault="009820F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Micro Hei" w:hAnsi="Liberation Serif" w:cs="Lohit Hindi"/>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A37"/>
    <w:pPr>
      <w:spacing w:line="480" w:lineRule="auto"/>
      <w:textAlignment w:val="baseline"/>
    </w:pPr>
    <w:rPr>
      <w:rFonts w:ascii="Times New Roman" w:eastAsia="Times New Roman" w:hAnsi="Times New Roman" w:cs="Times New Roman"/>
      <w:color w:val="00000A"/>
      <w:sz w:val="24"/>
      <w:szCs w:val="20"/>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styleId="PageNumber">
    <w:name w:val="page number"/>
    <w:basedOn w:val="DefaultParagraphFont"/>
  </w:style>
  <w:style w:type="character" w:customStyle="1" w:styleId="InternetLink">
    <w:name w:val="Internet Link"/>
    <w:basedOn w:val="DefaultParagraphFont"/>
    <w:rPr>
      <w:color w:val="0000FF"/>
      <w:u w:val="single"/>
    </w:rPr>
  </w:style>
  <w:style w:type="character" w:customStyle="1" w:styleId="LineNumbering">
    <w:name w:val="Line Numbering"/>
  </w:style>
  <w:style w:type="paragraph" w:customStyle="1" w:styleId="Heading">
    <w:name w:val="Heading"/>
    <w:basedOn w:val="Normal"/>
    <w:next w:val="TextBody"/>
    <w:qFormat/>
    <w:pPr>
      <w:keepNext/>
      <w:spacing w:before="240" w:after="120"/>
    </w:pPr>
    <w:rPr>
      <w:rFonts w:ascii="Liberation Sans" w:eastAsia="WenQuanYi Micro Hei" w:hAnsi="Liberation Sans" w:cs="Lohit Hind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Hindi"/>
    </w:rPr>
  </w:style>
  <w:style w:type="paragraph" w:styleId="Caption">
    <w:name w:val="caption"/>
    <w:basedOn w:val="Normal"/>
    <w:qFormat/>
    <w:pPr>
      <w:suppressLineNumbers/>
      <w:spacing w:before="120" w:after="120"/>
    </w:pPr>
    <w:rPr>
      <w:rFonts w:cs="Lohit Hindi"/>
      <w:i/>
      <w:iCs/>
      <w:szCs w:val="24"/>
    </w:rPr>
  </w:style>
  <w:style w:type="paragraph" w:customStyle="1" w:styleId="Index">
    <w:name w:val="Index"/>
    <w:basedOn w:val="Normal"/>
    <w:qFormat/>
    <w:pPr>
      <w:suppressLineNumbers/>
    </w:pPr>
    <w:rPr>
      <w:rFonts w:cs="Lohit Hindi"/>
    </w:rPr>
  </w:style>
  <w:style w:type="paragraph" w:styleId="Header">
    <w:name w:val="header"/>
    <w:basedOn w:val="Normal"/>
    <w:pPr>
      <w:tabs>
        <w:tab w:val="center" w:pos="4536"/>
        <w:tab w:val="right" w:pos="9072"/>
      </w:tabs>
    </w:pPr>
  </w:style>
  <w:style w:type="paragraph" w:styleId="Footer">
    <w:name w:val="footer"/>
    <w:basedOn w:val="Normal"/>
    <w:link w:val="FooterChar"/>
    <w:uiPriority w:val="99"/>
    <w:pPr>
      <w:tabs>
        <w:tab w:val="center" w:pos="4536"/>
        <w:tab w:val="right" w:pos="9072"/>
      </w:tabs>
    </w:pPr>
  </w:style>
  <w:style w:type="paragraph" w:customStyle="1" w:styleId="abstract">
    <w:name w:val="abstract"/>
    <w:basedOn w:val="Normal"/>
    <w:qFormat/>
    <w:rsid w:val="00C00A37"/>
    <w:pPr>
      <w:spacing w:before="120"/>
    </w:pPr>
    <w:rPr>
      <w:sz w:val="22"/>
    </w:rPr>
  </w:style>
  <w:style w:type="paragraph" w:customStyle="1" w:styleId="abbreviations">
    <w:name w:val="abbreviations"/>
    <w:basedOn w:val="abstract"/>
    <w:next w:val="Normal"/>
    <w:qFormat/>
    <w:pPr>
      <w:tabs>
        <w:tab w:val="left" w:pos="3402"/>
      </w:tabs>
      <w:ind w:left="3402" w:hanging="3402"/>
    </w:pPr>
  </w:style>
  <w:style w:type="paragraph" w:styleId="Title">
    <w:name w:val="Title"/>
    <w:basedOn w:val="Normal"/>
    <w:uiPriority w:val="10"/>
    <w:qFormat/>
    <w:rsid w:val="00C00A37"/>
    <w:rPr>
      <w:b/>
      <w:sz w:val="36"/>
    </w:rPr>
  </w:style>
  <w:style w:type="paragraph" w:customStyle="1" w:styleId="heading1">
    <w:name w:val="heading1"/>
    <w:basedOn w:val="Normal"/>
    <w:next w:val="Normal"/>
    <w:qFormat/>
    <w:rsid w:val="000A0769"/>
    <w:pPr>
      <w:keepNext/>
      <w:spacing w:before="240" w:after="180"/>
    </w:pPr>
    <w:rPr>
      <w:b/>
      <w:szCs w:val="16"/>
    </w:rPr>
  </w:style>
  <w:style w:type="paragraph" w:customStyle="1" w:styleId="heading2">
    <w:name w:val="heading2"/>
    <w:basedOn w:val="Normal"/>
    <w:next w:val="Normal"/>
    <w:qFormat/>
    <w:rsid w:val="000A0769"/>
    <w:pPr>
      <w:keepNext/>
      <w:spacing w:before="240" w:after="180"/>
    </w:pPr>
    <w:rPr>
      <w:b/>
      <w:u w:val="single"/>
    </w:rPr>
  </w:style>
  <w:style w:type="paragraph" w:customStyle="1" w:styleId="heading3">
    <w:name w:val="heading3"/>
    <w:basedOn w:val="Normal"/>
    <w:next w:val="Normal"/>
    <w:qFormat/>
    <w:pPr>
      <w:keepNext/>
      <w:spacing w:before="240" w:after="180"/>
    </w:pPr>
    <w:rPr>
      <w:rFonts w:ascii="Arial" w:hAnsi="Arial" w:cs="Arial"/>
      <w:i/>
    </w:rPr>
  </w:style>
  <w:style w:type="paragraph" w:customStyle="1" w:styleId="run-in">
    <w:name w:val="run-in"/>
    <w:basedOn w:val="Normal"/>
    <w:next w:val="Normal"/>
    <w:qFormat/>
    <w:pPr>
      <w:keepNext/>
      <w:spacing w:before="120"/>
    </w:pPr>
    <w:rPr>
      <w:b/>
    </w:rPr>
  </w:style>
  <w:style w:type="paragraph" w:customStyle="1" w:styleId="figurecitation">
    <w:name w:val="figurecitation"/>
    <w:basedOn w:val="Normal"/>
    <w:qFormat/>
    <w:pPr>
      <w:pBdr>
        <w:top w:val="single" w:sz="8" w:space="1" w:color="000001"/>
        <w:left w:val="single" w:sz="8" w:space="4" w:color="000001"/>
        <w:bottom w:val="single" w:sz="8" w:space="1" w:color="000001"/>
        <w:right w:val="single" w:sz="8" w:space="4" w:color="000001"/>
      </w:pBdr>
    </w:pPr>
    <w:rPr>
      <w:rFonts w:ascii="Arial" w:hAnsi="Arial" w:cs="Arial"/>
      <w:b/>
      <w:sz w:val="36"/>
    </w:rPr>
  </w:style>
  <w:style w:type="paragraph" w:customStyle="1" w:styleId="acknowledgements">
    <w:name w:val="acknowledgements"/>
    <w:basedOn w:val="abstract"/>
    <w:next w:val="Normal"/>
    <w:qFormat/>
    <w:pPr>
      <w:spacing w:before="240"/>
    </w:pPr>
  </w:style>
  <w:style w:type="paragraph" w:customStyle="1" w:styleId="author">
    <w:name w:val="author"/>
    <w:basedOn w:val="Normal"/>
    <w:qFormat/>
    <w:rsid w:val="00C00A37"/>
    <w:pPr>
      <w:spacing w:before="120"/>
    </w:pPr>
  </w:style>
  <w:style w:type="paragraph" w:customStyle="1" w:styleId="affiliation">
    <w:name w:val="affiliation"/>
    <w:basedOn w:val="Normal"/>
    <w:qFormat/>
    <w:rsid w:val="00C00A37"/>
    <w:pPr>
      <w:spacing w:before="120" w:line="240" w:lineRule="auto"/>
    </w:pPr>
    <w:rPr>
      <w:i/>
    </w:rPr>
  </w:style>
  <w:style w:type="paragraph" w:customStyle="1" w:styleId="email">
    <w:name w:val="email"/>
    <w:basedOn w:val="Normal"/>
    <w:link w:val="emailChar"/>
    <w:qFormat/>
    <w:pPr>
      <w:spacing w:before="120" w:line="240" w:lineRule="auto"/>
    </w:pPr>
    <w:rPr>
      <w:sz w:val="20"/>
    </w:rPr>
  </w:style>
  <w:style w:type="paragraph" w:customStyle="1" w:styleId="phone">
    <w:name w:val="phone"/>
    <w:basedOn w:val="email"/>
    <w:qFormat/>
  </w:style>
  <w:style w:type="paragraph" w:customStyle="1" w:styleId="fax">
    <w:name w:val="fax"/>
    <w:basedOn w:val="email"/>
    <w:qFormat/>
  </w:style>
  <w:style w:type="paragraph" w:customStyle="1" w:styleId="keywords">
    <w:name w:val="keywords"/>
    <w:basedOn w:val="Normal"/>
    <w:next w:val="Normal"/>
    <w:qFormat/>
    <w:pPr>
      <w:spacing w:before="120"/>
    </w:pPr>
    <w:rPr>
      <w:i/>
    </w:rPr>
  </w:style>
  <w:style w:type="paragraph" w:customStyle="1" w:styleId="extraaddress">
    <w:name w:val="extraaddress"/>
    <w:basedOn w:val="email"/>
    <w:qFormat/>
  </w:style>
  <w:style w:type="paragraph" w:customStyle="1" w:styleId="reference">
    <w:name w:val="reference"/>
    <w:basedOn w:val="Normal"/>
    <w:qFormat/>
    <w:rPr>
      <w:sz w:val="20"/>
    </w:rPr>
  </w:style>
  <w:style w:type="paragraph" w:customStyle="1" w:styleId="equation">
    <w:name w:val="equation"/>
    <w:basedOn w:val="Normal"/>
    <w:next w:val="Normal"/>
    <w:qFormat/>
    <w:pPr>
      <w:spacing w:before="120" w:after="120"/>
      <w:jc w:val="center"/>
    </w:pPr>
  </w:style>
  <w:style w:type="paragraph" w:customStyle="1" w:styleId="articlenote">
    <w:name w:val="articlenote"/>
    <w:basedOn w:val="Normal"/>
    <w:next w:val="Normal"/>
    <w:qFormat/>
    <w:pPr>
      <w:spacing w:line="240" w:lineRule="auto"/>
    </w:pPr>
    <w:rPr>
      <w:sz w:val="22"/>
    </w:rPr>
  </w:style>
  <w:style w:type="paragraph" w:customStyle="1" w:styleId="figlegend">
    <w:name w:val="figlegend"/>
    <w:basedOn w:val="Normal"/>
    <w:next w:val="Normal"/>
    <w:qFormat/>
    <w:pPr>
      <w:spacing w:before="120"/>
    </w:pPr>
    <w:rPr>
      <w:sz w:val="20"/>
    </w:rPr>
  </w:style>
  <w:style w:type="paragraph" w:customStyle="1" w:styleId="tablelegend">
    <w:name w:val="tablelegend"/>
    <w:basedOn w:val="Normal"/>
    <w:next w:val="Normal"/>
    <w:qFormat/>
    <w:pPr>
      <w:spacing w:before="120"/>
    </w:pPr>
    <w:rPr>
      <w:sz w:val="20"/>
    </w:rPr>
  </w:style>
  <w:style w:type="paragraph" w:customStyle="1" w:styleId="url">
    <w:name w:val="url"/>
    <w:basedOn w:val="email"/>
    <w:next w:val="Normal"/>
    <w:qFormat/>
  </w:style>
  <w:style w:type="numbering" w:customStyle="1" w:styleId="WW8Num1">
    <w:name w:val="WW8Num1"/>
  </w:style>
  <w:style w:type="numbering" w:customStyle="1" w:styleId="WW8Num2">
    <w:name w:val="WW8Num2"/>
  </w:style>
  <w:style w:type="character" w:styleId="LineNumber">
    <w:name w:val="line number"/>
    <w:basedOn w:val="DefaultParagraphFont"/>
    <w:uiPriority w:val="99"/>
    <w:semiHidden/>
    <w:unhideWhenUsed/>
    <w:rsid w:val="005E32E6"/>
  </w:style>
  <w:style w:type="character" w:styleId="Hyperlink">
    <w:name w:val="Hyperlink"/>
    <w:basedOn w:val="DefaultParagraphFont"/>
    <w:uiPriority w:val="99"/>
    <w:unhideWhenUsed/>
    <w:rsid w:val="000A0769"/>
    <w:rPr>
      <w:color w:val="0563C1" w:themeColor="hyperlink"/>
      <w:u w:val="single"/>
    </w:rPr>
  </w:style>
  <w:style w:type="character" w:styleId="UnresolvedMention">
    <w:name w:val="Unresolved Mention"/>
    <w:basedOn w:val="DefaultParagraphFont"/>
    <w:uiPriority w:val="99"/>
    <w:semiHidden/>
    <w:unhideWhenUsed/>
    <w:rsid w:val="000A0769"/>
    <w:rPr>
      <w:color w:val="605E5C"/>
      <w:shd w:val="clear" w:color="auto" w:fill="E1DFDD"/>
    </w:rPr>
  </w:style>
  <w:style w:type="paragraph" w:customStyle="1" w:styleId="correspondemail">
    <w:name w:val="correspond_email"/>
    <w:basedOn w:val="email"/>
    <w:link w:val="correspondemailChar"/>
    <w:qFormat/>
    <w:rsid w:val="000A0769"/>
    <w:rPr>
      <w:color w:val="0070C0"/>
      <w:u w:val="single"/>
    </w:rPr>
  </w:style>
  <w:style w:type="character" w:customStyle="1" w:styleId="emailChar">
    <w:name w:val="email Char"/>
    <w:basedOn w:val="DefaultParagraphFont"/>
    <w:link w:val="email"/>
    <w:rsid w:val="000A0769"/>
    <w:rPr>
      <w:rFonts w:ascii="Times New Roman" w:eastAsia="Times New Roman" w:hAnsi="Times New Roman" w:cs="Times New Roman"/>
      <w:color w:val="00000A"/>
      <w:szCs w:val="20"/>
      <w:lang w:val="en-US" w:bidi="ar-SA"/>
    </w:rPr>
  </w:style>
  <w:style w:type="character" w:customStyle="1" w:styleId="correspondemailChar">
    <w:name w:val="correspond_email Char"/>
    <w:basedOn w:val="emailChar"/>
    <w:link w:val="correspondemail"/>
    <w:rsid w:val="000A0769"/>
    <w:rPr>
      <w:rFonts w:ascii="Times New Roman" w:eastAsia="Times New Roman" w:hAnsi="Times New Roman" w:cs="Times New Roman"/>
      <w:color w:val="0070C0"/>
      <w:szCs w:val="20"/>
      <w:u w:val="single"/>
      <w:lang w:val="en-US" w:bidi="ar-SA"/>
    </w:rPr>
  </w:style>
  <w:style w:type="character" w:customStyle="1" w:styleId="FooterChar">
    <w:name w:val="Footer Char"/>
    <w:basedOn w:val="DefaultParagraphFont"/>
    <w:link w:val="Footer"/>
    <w:uiPriority w:val="99"/>
    <w:rsid w:val="009820FA"/>
    <w:rPr>
      <w:rFonts w:ascii="Times New Roman" w:eastAsia="Times New Roman" w:hAnsi="Times New Roman" w:cs="Times New Roman"/>
      <w:color w:val="00000A"/>
      <w:sz w:val="24"/>
      <w:szCs w:val="20"/>
      <w:lang w:val="en-US" w:bidi="ar-SA"/>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7" Target="media/rId27.png" /><Relationship Type="http://schemas.openxmlformats.org/officeDocument/2006/relationships/hyperlink" Id="rId22" Target="https://www.lumcon.edu/education-and-outreach" TargetMode="External" /></Relationships>
</file>

<file path=word/_rels/footnotes.xml.rels><?xml version="1.0" encoding="UTF-8"?>
<Relationships xmlns="http://schemas.openxmlformats.org/package/2006/relationships"><Relationship Type="http://schemas.openxmlformats.org/officeDocument/2006/relationships/hyperlink" Id="rId22" Target="https://www.lumcon.edu/education-and-outrea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146</Words>
  <Characters>836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Author template for journal articles</vt:lpstr>
    </vt:vector>
  </TitlesOfParts>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title here</dc:title>
  <dc:creator/>
  <cp:keywords/>
  <dcterms:created xsi:type="dcterms:W3CDTF">2021-07-28T02:59:13Z</dcterms:created>
  <dcterms:modified xsi:type="dcterms:W3CDTF">2021-07-28T02:59:13Z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ecology.csl</vt:lpwstr>
  </property>
  <property fmtid="{D5CDD505-2E9C-101B-9397-08002B2CF9AE}" pid="4" name="header-includes">
    <vt:lpwstr/>
  </property>
  <property fmtid="{D5CDD505-2E9C-101B-9397-08002B2CF9AE}" pid="5" name="linestretch">
    <vt:lpwstr>1</vt:lpwstr>
  </property>
  <property fmtid="{D5CDD505-2E9C-101B-9397-08002B2CF9AE}" pid="6" name="link-citations">
    <vt:lpwstr>no</vt:lpwstr>
  </property>
  <property fmtid="{D5CDD505-2E9C-101B-9397-08002B2CF9AE}" pid="7" name="link-color">
    <vt:lpwstr>grey</vt:lpwstr>
  </property>
  <property fmtid="{D5CDD505-2E9C-101B-9397-08002B2CF9AE}" pid="8" name="output">
    <vt:lpwstr/>
  </property>
</Properties>
</file>