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24.png" ContentType="image/png"/>
  <Override PartName="/word/media/rId122.png" ContentType="image/png"/>
  <Override PartName="/word/media/rId32.png" ContentType="image/png"/>
  <Override PartName="/word/media/rId35.png" ContentType="image/png"/>
  <Override PartName="/word/media/rId123.png" ContentType="image/png"/>
  <Override PartName="/word/media/rId125.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Warming</w:t>
      </w:r>
      <w:r>
        <w:t xml:space="preserve"> </w:t>
      </w:r>
      <w:r>
        <w:t xml:space="preserve">non-randomly</w:t>
      </w:r>
      <w:r>
        <w:t xml:space="preserve"> </w:t>
      </w:r>
      <w:r>
        <w:t xml:space="preserve">speeds</w:t>
      </w:r>
      <w:r>
        <w:t xml:space="preserve"> </w:t>
      </w:r>
      <w:r>
        <w:t xml:space="preserve">up</w:t>
      </w:r>
      <w:r>
        <w:t xml:space="preserve"> </w:t>
      </w:r>
      <w:r>
        <w:t xml:space="preserve">food</w:t>
      </w:r>
      <w:r>
        <w:t xml:space="preserve"> </w:t>
      </w:r>
      <w:r>
        <w:t xml:space="preserve">web</w:t>
      </w:r>
      <w:r>
        <w:t xml:space="preserve"> </w:t>
      </w:r>
      <w:r>
        <w:t xml:space="preserve">fluxes</w:t>
      </w:r>
      <w:r>
        <w:t xml:space="preserve"> </w:t>
      </w:r>
      <w:r>
        <w:t xml:space="preserve">in</w:t>
      </w:r>
      <w:r>
        <w:t xml:space="preserve"> </w:t>
      </w:r>
      <w:r>
        <w:t xml:space="preserve">both</w:t>
      </w:r>
      <w:r>
        <w:t xml:space="preserve"> </w:t>
      </w:r>
      <w:r>
        <w:t xml:space="preserve">an</w:t>
      </w:r>
      <w:r>
        <w:t xml:space="preserve"> </w:t>
      </w:r>
      <w:r>
        <w:t xml:space="preserve">absolute</w:t>
      </w:r>
      <w:r>
        <w:t xml:space="preserve"> </w:t>
      </w:r>
      <w:r>
        <w:t xml:space="preserve">and</w:t>
      </w:r>
      <w:r>
        <w:t xml:space="preserve"> </w:t>
      </w:r>
      <w:r>
        <w:t xml:space="preserve">relative</w:t>
      </w:r>
      <w:r>
        <w:t xml:space="preserve"> </w:t>
      </w:r>
      <w:r>
        <w:t xml:space="preserve">sense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in food webs is often context-dependent, increasing temperatures are predicted to alter food webs and ecosystems in a number of general and fundamental ways, among them, 1) decreasing organism body size and 2) increasing metabolic rates. Both body size and metabolic rate are important drivers of many ecological patterns. Therefore, warming-induced changes have the potential to propagate through countless ecosystem processes thereby altering the distribution of food webs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fluxes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both across and within ecosystems and 2) fluxes would be more skewed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w:t>
      </w:r>
      <w:r>
        <w:t xml:space="preserve">evidence of potentially stronger selection for these traits with increasing temperature. The emerging picture is a warmer world that is both smaller and faster. Our study lends further support to this pattern and suggests that temperature will become an increasingly important environmental filter on warming communities in the future.</w:t>
      </w:r>
      <w:r>
        <w:t xml:space="preserve"> </w:t>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fluxes among species and trophic levels</w:t>
      </w:r>
      <w:r>
        <w:t xml:space="preserve"> </w:t>
      </w:r>
      <w:r>
        <w:t xml:space="preserve">(May 1972, McCann et al. 1998, Barnes et al. 2018, Gibert 2019)</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as an environmental niche filter of community assembly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modulate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temperatures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r>
        <w:rPr>
          <w:iCs/>
          <w:i/>
        </w:rPr>
        <w:t xml:space="preserve">possibly simplify the paragraph and combined with above</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r>
        <w:t xml:space="preserve"> </w:t>
      </w:r>
      <w:r>
        <w:t xml:space="preserve">Therefore, food web processes may impart varying selective pressures on the distribution of body sizes and population turnover within communities. If strong, these pressures may leave distinct imprints on community structure and the distribution of energy fluxes within food webs with potential implications for the stability and functioning of ecosystems on a warming planet</w:t>
      </w:r>
      <w:r>
        <w:t xml:space="preserve"> </w:t>
      </w:r>
      <w:r>
        <w:t xml:space="preserve">(Petchey et al. 1999, Fussmann et al. 2014)</w:t>
      </w:r>
      <w:r>
        <w:t xml:space="preserve">.</w:t>
      </w:r>
    </w:p>
    <w:p>
      <w:pPr>
        <w:pStyle w:val="BodyText"/>
      </w:pPr>
      <w:r>
        <w:t xml:space="preserve">Here, we measured the patterning and distribution of energy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energy fluxes of consumers to scale with among-stream patterns in resource availability and consumer energy demand and increase with temperature across streams. We hypothesized temperature to be a strong environmental filter of community assembly and the distribution of energy and organic matter fluxes, especially at the extremes. From this we made a number of predictions regarding the patterning of energy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energy fluxes should be dominated by smaller, higher turnover species at warmer temperatures.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bookmarkEnd w:id="22"/>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oil,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classified particles into six categories: diatoms, green and filamentous algae, cyanobacteria, amorphous detritus, vascular and non-vascular</w:t>
      </w:r>
      <w:r>
        <w:t xml:space="preserve"> </w:t>
      </w:r>
      <w:r>
        <w:t xml:space="preserve">plants (e.g., bryophytes), and animal material and then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r>
                    <m:t>j</m:t>
                  </m:r>
                </m:sub>
              </m:sSub>
            </m:e>
          </m:acc>
          <m:r>
            <m:rPr>
              <m:sty m:val="p"/>
            </m:rPr>
            <m:t>,</m:t>
          </m:r>
          <m:sSub>
            <m:e>
              <m:r>
                <m:t>n</m:t>
              </m:r>
            </m:e>
            <m:sub>
              <m:r>
                <m:t>i</m:t>
              </m:r>
              <m:r>
                <m:t>j</m:t>
              </m:r>
            </m:sub>
          </m:sSub>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7"/>
    <w:bookmarkStart w:id="28"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Across communities, we assessed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the distribution of energy fluxes</w:t>
      </w:r>
      <w:r>
        <w:t xml:space="preserve"> </w:t>
      </w:r>
      <w:r>
        <w:rPr>
          <w:bCs/>
          <w:b/>
          <w:iCs/>
          <w:i/>
        </w:rPr>
        <w:t xml:space="preserve">within</w:t>
      </w:r>
      <w:r>
        <w:t xml:space="preserve"> </w:t>
      </w:r>
      <w:r>
        <w:t xml:space="preserve">a community, we assessed if relative OM flux was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r>
          <m:rPr>
            <m:sty m:val="p"/>
          </m:rPr>
          <m:t>(</m:t>
        </m:r>
        <m:r>
          <m:t>S</m:t>
        </m:r>
        <m:sSub>
          <m:e>
            <m:r>
              <m:t>k</m:t>
            </m:r>
          </m:e>
          <m:sub>
            <m:r>
              <m:t>f</m:t>
            </m:r>
            <m:r>
              <m:t>l</m:t>
            </m:r>
            <m:r>
              <m:t>u</m:t>
            </m:r>
            <m:r>
              <m:t>x</m:t>
            </m:r>
          </m:sub>
        </m:sSub>
        <m:r>
          <m:rPr>
            <m:sty m:val="p"/>
          </m:rPr>
          <m:t>+</m:t>
        </m:r>
        <m:r>
          <m:t>1</m:t>
        </m:r>
        <m:r>
          <m:rPr>
            <m:sty m:val="p"/>
          </m:rPr>
          <m:t>)</m:t>
        </m:r>
        <m:r>
          <m:rPr>
            <m:sty m:val="p"/>
          </m:rPr>
          <m:t>/</m:t>
        </m:r>
        <m:r>
          <m:t>2</m:t>
        </m:r>
      </m:oMath>
      <w:r>
        <w:t xml:space="preserve">, thereby standardizing values between 0 and 1. Model coefficients were back-transformed to estimate effect sizes.</w:t>
      </w:r>
    </w:p>
    <w:p>
      <w:pPr>
        <w:pStyle w:val="BodyText"/>
      </w:pPr>
      <w:r>
        <w:t xml:space="preserve">To assess the strength of environmental filtering of species’ traits within a community, we quantified how likely it was to observe such a skewed distribution in OM fluxes by random chance. Here, we predicted that communities with strong filtering for traits would exhibit highly skewed OM distributions that would be unlikely due to chance (i.e.,</w:t>
      </w:r>
      <w:r>
        <w:t xml:space="preserve"> </w:t>
      </w:r>
      <w:r>
        <w:t xml:space="preserve">‘</w:t>
      </w:r>
      <w:r>
        <w:t xml:space="preserve">non-random ordering</w:t>
      </w:r>
      <w:r>
        <w:t xml:space="preserve">’</w:t>
      </w:r>
      <w:r>
        <w:t xml:space="preserve">). In contrast, weak environmental filtering would produce OM fluxes with skew values that are likely due to random chance (</w:t>
      </w:r>
      <w:r>
        <w:t xml:space="preserve">‘</w:t>
      </w:r>
      <w:r>
        <w:t xml:space="preserve">random ordering.</w:t>
      </w:r>
      <w:r>
        <w:t xml:space="preserve">’</w:t>
      </w:r>
      <w:r>
        <w:t xml:space="preserve"> </w:t>
      </w:r>
      <w:r>
        <w:t xml:space="preserve">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 To assess the relationship between the probability of</w:t>
      </w:r>
      <w:r>
        <w:t xml:space="preserve"> </w:t>
      </w:r>
      <w:r>
        <w:t xml:space="preserve">‘</w:t>
      </w:r>
      <w:r>
        <w:t xml:space="preserve">non-random ordering</w:t>
      </w:r>
      <w:r>
        <w:t xml:space="preserve">’</w:t>
      </w:r>
      <w:r>
        <w:t xml:space="preserve"> </w:t>
      </w:r>
      <w:r>
        <w:t xml:space="preserve">and temperature,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bookmarkEnd w:id="28"/>
    <w:bookmarkEnd w:id="29"/>
    <w:bookmarkEnd w:id="30"/>
    <w:bookmarkStart w:id="38"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 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95% PI) to 177.4 (125.6–236.6, 95% PI)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S1). Diets composition among all streams were dominated by diatoms (44.1%; 0–75.5 95% PI), amorphous detritus (17.4%;0–32.3 95% PI), and green algae (13.2%;0–42.6 95% PI).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1"/>
    <w:bookmarkStart w:id="33" w:name="evenness-of-om-fluxes-within-streams"/>
    <w:p>
      <w:pPr>
        <w:pStyle w:val="Heading2"/>
      </w:pPr>
      <w:r>
        <w:t xml:space="preserve">Evenness of OM fluxes within streams</w:t>
      </w:r>
    </w:p>
    <w:p>
      <w:pPr>
        <w:pStyle w:val="FirstParagraph"/>
      </w:pPr>
      <w:r>
        <w:t xml:space="preserve">Generally, organic matter fluxes were dominated by insect species from Simuliidae and Chironomidae families (Figure 1a) and were distributed unevenly (Figure 1b; Figure S1). In an absolute sense, ~85% of total flux was contributed by between 2 and 11 consumer groups. Relatively, this flux was attributed by 3% to 29% of the consumer assemblage within streams. Differences in inequality were partly attributed to variation in consumer species richness among streams which ranged from 14 to 35 consumer groups. Gini inequality coefficients ranged from 0.09 (0.07 – 0.11 95% PI) to 0.27 (0.24 – 0.31 95% PI; Table 1). In warmer streams, OM fluxes shifted toward the black fly,</w:t>
      </w:r>
      <w:r>
        <w:t xml:space="preserve"> </w:t>
      </w:r>
      <w:r>
        <w:rPr>
          <w:iCs/>
          <w:i/>
        </w:rPr>
        <w:t xml:space="preserve">Simuliium vittatum</w:t>
      </w:r>
      <w:r>
        <w:t xml:space="preserve"> </w:t>
      </w:r>
      <w:r>
        <w:t xml:space="preserve">and the pulmonate snail,</w:t>
      </w:r>
      <w:r>
        <w:t xml:space="preserve"> </w:t>
      </w:r>
      <w:r>
        <w:rPr>
          <w:iCs/>
          <w:i/>
        </w:rPr>
        <w:t xml:space="preserve">Radix balthica</w:t>
      </w:r>
      <w:r>
        <w:t xml:space="preserve">. In the warmest stream, where maximum temperatures approach ~40</w:t>
      </w:r>
      <m:oMath>
        <m:sSup>
          <m:e>
            <m:r>
              <m:t>​</m:t>
            </m:r>
          </m:e>
          <m:sup>
            <m:r>
              <m:rPr>
                <m:sty m:val="p"/>
              </m:rPr>
              <m:t>∘</m:t>
            </m:r>
          </m:sup>
        </m:sSup>
      </m:oMath>
      <w:r>
        <w:t xml:space="preserve">C, species richness was lowest and OM fluxes were dominated by oligochaete worms of family Naididae, the chironomid</w:t>
      </w:r>
      <w:r>
        <w:t xml:space="preserve"> </w:t>
      </w:r>
      <w:r>
        <w:rPr>
          <w:iCs/>
          <w:i/>
        </w:rPr>
        <w:t xml:space="preserve">Cricotpous sylvestris</w:t>
      </w:r>
      <w:r>
        <w:t xml:space="preserve">, and</w:t>
      </w:r>
      <w:r>
        <w:t xml:space="preserve"> </w:t>
      </w:r>
      <w:r>
        <w:rPr>
          <w:iCs/>
          <w:i/>
        </w:rPr>
        <w:t xml:space="preserve">Radix balthica</w:t>
      </w:r>
      <w:r>
        <w:t xml:space="preserve">. Yet, even after accounting for differences in consumer richness, patterns of material flux were still unevenly distributed among consumers (Normalized Gini coefficient: 0.06 (0.04 – 0.08 95% PI) to 0.25 (0.21 – 0.28 95% PI; Table 1). Differences in evenness and dominance were unrelated to temperature, however, species dominance in relation to population traits exhibited important differences along the temperature gradient.</w:t>
      </w:r>
    </w:p>
    <w:p>
      <w:pPr>
        <w:pStyle w:val="CaptionedFigure"/>
      </w:pPr>
      <w:r>
        <w:drawing>
          <wp:inline>
            <wp:extent cx="5943600" cy="4754879"/>
            <wp:effectExtent b="0" l="0" r="0" t="0"/>
            <wp:docPr descr="Figure 1. Patterns of OM flux among populations based on (a) relative OM flux among taxonomic groups in consumer communities and descending the temperature gradient from the warmest (27.2^\circC) on top pane to coldest (5.0^\circC) on the botthom. (b) The rank ordering of annual population organic matter flux loge(mg m-2 y-1) of consumer groups. In (a), consumer groups fill is based on taxonomic family and the full key of consumer group abbreviations can be found in supporting materials."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2"/>
                    <a:stretch>
                      <a:fillRect/>
                    </a:stretch>
                  </pic:blipFill>
                  <pic:spPr bwMode="auto">
                    <a:xfrm>
                      <a:off x="0" y="0"/>
                      <a:ext cx="5943600" cy="4754879"/>
                    </a:xfrm>
                    <a:prstGeom prst="rect">
                      <a:avLst/>
                    </a:prstGeom>
                    <a:noFill/>
                    <a:ln w="9525">
                      <a:noFill/>
                      <a:headEnd/>
                      <a:tailEnd/>
                    </a:ln>
                  </pic:spPr>
                </pic:pic>
              </a:graphicData>
            </a:graphic>
          </wp:inline>
        </w:drawing>
      </w:r>
    </w:p>
    <w:p>
      <w:pPr>
        <w:pStyle w:val="ImageCaption"/>
      </w:pPr>
      <w:r>
        <w:t xml:space="preserve">Figure 1. Patterns of OM flux among populations based on (a) relative OM flux among taxonomic groups in consumer communities and descending the temperature gradient from the warmest (27.2</w:t>
      </w:r>
      <m:oMath>
        <m:sSup>
          <m:e>
            <m:r>
              <m:t>​</m:t>
            </m:r>
          </m:e>
          <m:sup>
            <m:r>
              <m:rPr>
                <m:sty m:val="p"/>
              </m:rPr>
              <m:t>∘</m:t>
            </m:r>
          </m:sup>
        </m:sSup>
      </m:oMath>
      <w:r>
        <w:t xml:space="preserve">C) on top pane to coldest (5.0</w:t>
      </w:r>
      <m:oMath>
        <m:sSup>
          <m:e>
            <m:r>
              <m:t>​</m:t>
            </m:r>
          </m:e>
          <m:sup>
            <m:r>
              <m:rPr>
                <m:sty m:val="p"/>
              </m:rPr>
              <m:t>∘</m:t>
            </m:r>
          </m:sup>
        </m:sSup>
      </m:oMath>
      <w:r>
        <w:t xml:space="preserve">C) on the botthom. (b) The rank ordering of annual population organic matter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of consumer groups. In (a), consumer groups fill is based on taxonomic family and the full key of consumer group abbreviations can be found in supporting materials.</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( 0.097 - 0.2 )</w:t>
            </w:r>
          </w:p>
        </w:tc>
        <w:tc>
          <w:p>
            <w:pPr>
              <w:pStyle w:val="Compact"/>
              <w:jc w:val="right"/>
            </w:pPr>
            <w:r>
              <w:t xml:space="preserve">0.1 ( 0.06 - 0.17 )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0.092 ( 0.073 - 0.11 )</w:t>
            </w:r>
          </w:p>
        </w:tc>
        <w:tc>
          <w:p>
            <w:pPr>
              <w:pStyle w:val="Compact"/>
              <w:jc w:val="right"/>
            </w:pPr>
            <w:r>
              <w:t xml:space="preserve">0.064 ( 0.045 - 0.082 )</w:t>
            </w:r>
          </w:p>
        </w:tc>
      </w:tr>
    </w:tbl>
    <w:bookmarkEnd w:id="33"/>
    <w:bookmarkStart w:id="37" w:name="Xe0fd77b2eb78caf5292373d657b83e8d56ea848"/>
    <w:p>
      <w:pPr>
        <w:pStyle w:val="Heading2"/>
      </w:pPr>
      <w:r>
        <w:t xml:space="preserve">OM fluxes along species trait distributions among sites and taxa</w:t>
      </w:r>
    </w:p>
    <w:p>
      <w:pPr>
        <w:pStyle w:val="FirstParagraph"/>
      </w:pPr>
      <w:r>
        <w:t xml:space="preserve">Across communities, average population body size,</w:t>
      </w:r>
      <w:r>
        <w:t xml:space="preserve"> </w:t>
      </w:r>
      <w:r>
        <w:rPr>
          <w:iCs/>
          <w:i/>
        </w:rPr>
        <w:t xml:space="preserve">M</w:t>
      </w:r>
      <w:r>
        <w:t xml:space="preserve">, decreased and average biomass turnover,</w:t>
      </w:r>
      <w:r>
        <w:t xml:space="preserve"> </w:t>
      </w:r>
      <w:r>
        <w:rPr>
          <w:iCs/>
          <w:i/>
        </w:rPr>
        <w:t xml:space="preserve">P:B</w:t>
      </w:r>
      <w:r>
        <w:t xml:space="preserve">, increased with increasing temperature (Figure 2). Mean population</w:t>
      </w:r>
      <w:r>
        <w:t xml:space="preserve"> </w:t>
      </w:r>
      <w:r>
        <w:rPr>
          <w:iCs/>
          <w:i/>
        </w:rPr>
        <w:t xml:space="preserve">M</w:t>
      </w:r>
      <w:r>
        <w:t xml:space="preserve"> </w:t>
      </w:r>
      <w:r>
        <w:t xml:space="preserve">decreased from 2.75 (1.01 – 4.7 95% PI) in the coldest stream to 0.1 (0.08 – 0.13 95% PI) in the warmest stream. This decrease corresponded to a -9.47 (-11.73—7.16 95% PI)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In contrast, the average population</w:t>
      </w:r>
      <w:r>
        <w:t xml:space="preserve"> </w:t>
      </w:r>
      <w:r>
        <w:rPr>
          <w:iCs/>
          <w:i/>
        </w:rPr>
        <w:t xml:space="preserve">P:B</w:t>
      </w:r>
      <w:r>
        <w:t xml:space="preserve"> </w:t>
      </w:r>
      <w:r>
        <w:t xml:space="preserve">increased from 4.35 (3.65 – 5.05 95% PI) in the coldest stream to 35.51 (29.59 – 0.14 95% PI) in the warmest stream. This increase corresponded to a 7.16% (6.31–8.07 95% PI) increase in mean population biomass turnover (P:B y</w:t>
      </w:r>
      <w:r>
        <w:rPr>
          <w:vertAlign w:val="superscript"/>
        </w:rPr>
        <w:t xml:space="preserve">-1</w:t>
      </w:r>
      <w:r>
        <w:t xml:space="preserve">) for every increase of 1</w:t>
      </w:r>
      <m:oMath>
        <m:sSup>
          <m:e>
            <m:r>
              <m:t>​</m:t>
            </m:r>
          </m:e>
          <m:sup>
            <m:r>
              <m:rPr>
                <m:sty m:val="p"/>
              </m:rPr>
              <m:t>∘</m:t>
            </m:r>
          </m:sup>
        </m:sSup>
      </m:oMath>
      <w:r>
        <w:t xml:space="preserve">C (Figure 2).</w:t>
      </w:r>
    </w:p>
    <w:p>
      <w:pPr>
        <w:pStyle w:val="CaptionedFigure"/>
      </w:pPr>
      <w:r>
        <w:drawing>
          <wp:inline>
            <wp:extent cx="3207527" cy="4582182"/>
            <wp:effectExtent b="0" l="0" r="0" t="0"/>
            <wp:docPr descr="Figure 2. The relationships between mean annual stream temperature and (a) average population body size of the community (mg-ind) and (b) average population turnover expressed as production to biomass ratios (P:B, y-1)." title="" id="1" name="Picture"/>
            <a:graphic>
              <a:graphicData uri="http://schemas.openxmlformats.org/drawingml/2006/picture">
                <pic:pic>
                  <pic:nvPicPr>
                    <pic:cNvPr descr="ms_files/figure-docx/trait%20v%20temp-1.png" id="0" name="Picture"/>
                    <pic:cNvPicPr>
                      <a:picLocks noChangeArrowheads="1" noChangeAspect="1"/>
                    </pic:cNvPicPr>
                  </pic:nvPicPr>
                  <pic:blipFill>
                    <a:blip r:embed="rId34"/>
                    <a:stretch>
                      <a:fillRect/>
                    </a:stretch>
                  </pic:blipFill>
                  <pic:spPr bwMode="auto">
                    <a:xfrm>
                      <a:off x="0" y="0"/>
                      <a:ext cx="3207527" cy="4582182"/>
                    </a:xfrm>
                    <a:prstGeom prst="rect">
                      <a:avLst/>
                    </a:prstGeom>
                    <a:noFill/>
                    <a:ln w="9525">
                      <a:noFill/>
                      <a:headEnd/>
                      <a:tailEnd/>
                    </a:ln>
                  </pic:spPr>
                </pic:pic>
              </a:graphicData>
            </a:graphic>
          </wp:inline>
        </w:drawing>
      </w:r>
    </w:p>
    <w:p>
      <w:pPr>
        <w:pStyle w:val="ImageCaption"/>
      </w:pPr>
      <w:r>
        <w:t xml:space="preserve">Figure 2. The relationships between mean annual stream temperature and (a) average population body size of the community (mg</w:t>
      </w:r>
      <w:r>
        <w:rPr>
          <w:vertAlign w:val="superscript"/>
        </w:rPr>
        <w:t xml:space="preserve">-ind</w:t>
      </w:r>
      <w:r>
        <w:t xml:space="preserve">) and (b) average population turnover expressed as production to biomass ratios (</w:t>
      </w:r>
      <w:r>
        <w:rPr>
          <w:iCs/>
          <w:i/>
        </w:rPr>
        <w:t xml:space="preserve">P:B</w:t>
      </w:r>
      <w:r>
        <w:t xml:space="preserve">, y</w:t>
      </w:r>
      <w:r>
        <w:rPr>
          <w:vertAlign w:val="superscript"/>
        </w:rPr>
        <w:t xml:space="preserve">-1</w:t>
      </w:r>
      <w:r>
        <w:t xml:space="preserve">).</w:t>
      </w:r>
    </w:p>
    <w:p>
      <w:pPr>
        <w:pStyle w:val="BodyText"/>
      </w:pPr>
      <w:r>
        <w:t xml:space="preserve">Organic matter fluxes within consumer communities were skewed towards larger body sizes (positive skew), towards smaller body sizes (negative skew), or neutrally in regards to body size among streams. Skew estimates with body size (</w:t>
      </w:r>
      <w:r>
        <w:rPr>
          <w:iCs/>
          <w:i/>
        </w:rPr>
        <w:t xml:space="preserve">M</w:t>
      </w:r>
      <w:r>
        <w:t xml:space="preserve">) ranging from -0.07 to -0.84 (Figure 3, Table 2). Similarly, skew in fluxes towards high</w:t>
      </w:r>
      <w:r>
        <w:t xml:space="preserve"> </w:t>
      </w:r>
      <w:r>
        <w:rPr>
          <w:iCs/>
          <w:i/>
        </w:rPr>
        <w:t xml:space="preserve">P:B</w:t>
      </w:r>
      <w:r>
        <w:t xml:space="preserve"> </w:t>
      </w:r>
      <w:r>
        <w:t xml:space="preserve">taxa varied among streams ranging from 0.25 to 1 (Figure 3, Table 2). The skew of OM fluxes towards populations with smaller/larger body sizes showed a small, yet systematic association with stream temperature (Figure 4a). The median effect size of increasing temperature was to shift the skewness coefficient,</w:t>
      </w:r>
      <w:r>
        <w:t xml:space="preserve"> </w:t>
      </w:r>
      <m:oMath>
        <m:r>
          <m:t>S</m:t>
        </m:r>
        <m:sSub>
          <m:e>
            <m:r>
              <m:t>k</m:t>
            </m:r>
          </m:e>
          <m:sub>
            <m:r>
              <m:t>f</m:t>
            </m:r>
            <m:r>
              <m:t>l</m:t>
            </m:r>
            <m:r>
              <m:t>u</m:t>
            </m:r>
            <m:r>
              <m:t>x</m:t>
            </m:r>
          </m:sub>
        </m:sSub>
      </m:oMath>
      <w:r>
        <w:t xml:space="preserve">, -0.02 units (-0.02—0.02 95% PI) for every 1</w:t>
      </w:r>
      <m:oMath>
        <m:sSup>
          <m:e>
            <m:r>
              <m:t>​</m:t>
            </m:r>
          </m:e>
          <m:sup>
            <m:r>
              <m:rPr>
                <m:sty m:val="p"/>
              </m:rPr>
              <m:t>∘</m:t>
            </m:r>
          </m:sup>
        </m:sSup>
      </m:oMath>
      <w:r>
        <w:t xml:space="preserve">C increase. Similarly, OM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0.04 (0.03–0.04 95% PI; Figure 4c).</w:t>
      </w:r>
    </w:p>
    <w:p>
      <w:pPr>
        <w:pStyle w:val="CaptionedFigure"/>
      </w:pPr>
      <w:r>
        <w:drawing>
          <wp:inline>
            <wp:extent cx="3665746" cy="6415055"/>
            <wp:effectExtent b="0" l="0" r="0" t="0"/>
            <wp:docPr descr="Figure 3. Lorenz curves of cumulative relative organic matter flux with increasing cumulative species. Species are ranked along trait axis of (a) mean body size (mg ind-1) and (b) population turnover (production:biomass ratio, P:B, y-1), such that x1 &lt; x2 &lt; xi &lt;…xS, where x is the trait value of species i."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5"/>
                    <a:stretch>
                      <a:fillRect/>
                    </a:stretch>
                  </pic:blipFill>
                  <pic:spPr bwMode="auto">
                    <a:xfrm>
                      <a:off x="0" y="0"/>
                      <a:ext cx="3665746" cy="6415055"/>
                    </a:xfrm>
                    <a:prstGeom prst="rect">
                      <a:avLst/>
                    </a:prstGeom>
                    <a:noFill/>
                    <a:ln w="9525">
                      <a:noFill/>
                      <a:headEnd/>
                      <a:tailEnd/>
                    </a:ln>
                  </pic:spPr>
                </pic:pic>
              </a:graphicData>
            </a:graphic>
          </wp:inline>
        </w:drawing>
      </w:r>
    </w:p>
    <w:p>
      <w:pPr>
        <w:pStyle w:val="ImageCaption"/>
      </w:pPr>
      <w:r>
        <w:t xml:space="preserve">Figure 3. Lorenz curves of cumulative relative organic matter flux with increasing cumulative species. Species are ranked along trait axis of (a) mean body size (mg ind</w:t>
      </w:r>
      <w:r>
        <w:rPr>
          <w:vertAlign w:val="superscript"/>
        </w:rPr>
        <w:t xml:space="preserve">-1</w:t>
      </w:r>
      <w:r>
        <w:t xml:space="preserve">) and (b) population turnover (production:biomass ratio,</w:t>
      </w:r>
      <w:r>
        <w:t xml:space="preserve"> </w:t>
      </w:r>
      <w:r>
        <w:rPr>
          <w:iCs/>
          <w:i/>
        </w:rPr>
        <w:t xml:space="preserve">P:B</w:t>
      </w:r>
      <w:r>
        <w:t xml:space="preserve">, y</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 trait value of species</w:t>
      </w:r>
      <w:r>
        <w:t xml:space="preserve"> </w:t>
      </w:r>
      <w:r>
        <w:rPr>
          <w:iCs/>
          <w:i/>
        </w:rPr>
        <w:t xml:space="preserve">i</w:t>
      </w:r>
      <w:r>
        <w:t xml:space="preserve">.</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OM fluxes. The probability of observing a similar or more extreme skew of within stream OM fluxes in relation to species body size ranged from 0.34 (0.19–0.55 95% PI) to 0.79 (0.07–0.95 95% PI; Figure 4b). Similarly, the probability of a more extremely skewed distribution in relation to population</w:t>
      </w:r>
      <w:r>
        <w:t xml:space="preserve"> </w:t>
      </w:r>
      <w:r>
        <w:rPr>
          <w:iCs/>
          <w:i/>
        </w:rPr>
        <w:t xml:space="preserve">P:B</w:t>
      </w:r>
      <w:r>
        <w:t xml:space="preserve"> </w:t>
      </w:r>
      <w:r>
        <w:t xml:space="preserve">ranged from 0.06 (0 – 0.75 95% PI) to 0.62 (0.22 – 0.81 95% PI; Figure 4d). The probability that OM fluxes were organized randomly or non-randomly in regards to body size showed a 1.5% (1.2% – 1.8% 95% PI) change with 1</w:t>
      </w:r>
      <m:oMath>
        <m:sSup>
          <m:e>
            <m:r>
              <m:t>​</m:t>
            </m:r>
          </m:e>
          <m:sup>
            <m:r>
              <m:rPr>
                <m:sty m:val="p"/>
              </m:rPr>
              <m:t>∘</m:t>
            </m:r>
          </m:sup>
        </m:sSup>
      </m:oMath>
      <w:r>
        <w:t xml:space="preserve">C change in temperature (Figure 4b). Further, there was a trend towards a more structured OM flux distribution with regard to population</w:t>
      </w:r>
      <w:r>
        <w:t xml:space="preserve"> </w:t>
      </w:r>
      <w:r>
        <w:rPr>
          <w:iCs/>
          <w:i/>
        </w:rPr>
        <w:t xml:space="preserve">P:B</w:t>
      </w:r>
      <w:r>
        <w:t xml:space="preserve"> </w:t>
      </w:r>
      <w:r>
        <w:t xml:space="preserve">at higher temperatures. The probability of observing such skewed OM fluxes randomly became less likely with temperatures, such that the probability of random ordering decreased -3.2% (-3.6% – -2.8% 95% PI) for every 1</w:t>
      </w:r>
      <m:oMath>
        <m:sSup>
          <m:e>
            <m:r>
              <m:t>​</m:t>
            </m:r>
          </m:e>
          <m:sup>
            <m:r>
              <m:rPr>
                <m:sty m:val="p"/>
              </m:rPr>
              <m:t>∘</m:t>
            </m:r>
          </m:sup>
        </m:sSup>
      </m:oMath>
      <w:r>
        <w:t xml:space="preserve">C increase (Figure 4d).</w:t>
      </w:r>
    </w:p>
    <w:p>
      <w:pPr>
        <w:pStyle w:val="CaptionedFigure"/>
      </w:pPr>
      <w:r>
        <w:drawing>
          <wp:inline>
            <wp:extent cx="5943600" cy="3657600"/>
            <wp:effectExtent b="0" l="0" r="0" t="0"/>
            <wp:docPr descr="Figure 4. The empirical skew of organic matter fluxes in relation to (a) body size and (c) P:B. The probability of observing a Skflux value more extreme by random chance increased slightly with increasing temperature for body size (b). The pattern was stronger for population P:B (d)."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6"/>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4. The empirical skew of organic matter fluxes in relation to (a) body size and (c)</w:t>
      </w:r>
      <w:r>
        <w:t xml:space="preserve"> </w:t>
      </w:r>
      <w:r>
        <w:rPr>
          <w:iCs/>
          <w:i/>
        </w:rPr>
        <w:t xml:space="preserve">P:B</w:t>
      </w:r>
      <w:r>
        <w:t xml:space="preserve">. The probability of observing a Sk</w:t>
      </w:r>
      <w:r>
        <w:rPr>
          <w:vertAlign w:val="subscript"/>
        </w:rPr>
        <w:t xml:space="preserve">flux</w:t>
      </w:r>
      <w:r>
        <w:t xml:space="preserve"> </w:t>
      </w:r>
      <w:r>
        <w:t xml:space="preserve">value more extreme by random chance increased slightly with increasing temperature for body size (b). The pattern was stronger for population</w:t>
      </w:r>
      <w:r>
        <w:t xml:space="preserve"> </w:t>
      </w:r>
      <w:r>
        <w:rPr>
          <w:iCs/>
          <w:i/>
        </w:rPr>
        <w:t xml:space="preserve">P:B</w:t>
      </w:r>
      <w:r>
        <w:t xml:space="preserve"> </w:t>
      </w:r>
      <w:r>
        <w:t xml:space="preserve">(d).</w:t>
      </w:r>
    </w:p>
    <w:bookmarkEnd w:id="37"/>
    <w:bookmarkEnd w:id="38"/>
    <w:bookmarkStart w:id="39" w:name="discussion"/>
    <w:p>
      <w:pPr>
        <w:pStyle w:val="Heading1"/>
      </w:pPr>
      <w:r>
        <w:t xml:space="preserve">Discussion</w:t>
      </w:r>
    </w:p>
    <w:p>
      <w:pPr>
        <w:pStyle w:val="FirstParagraph"/>
      </w:pPr>
      <w:r>
        <w:t xml:space="preserve">Rising global temperatures are altering the pathways of energy and material flow across and within ecosystems with potential consequences for the services they provide. 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—especially at higher levels of organizations such as communities and food webs</w:t>
      </w:r>
      <w:r>
        <w:t xml:space="preserve"> </w:t>
      </w:r>
      <w:r>
        <w:t xml:space="preserve">(Walther et al. 2002, Woodward et al. 2010)</w:t>
      </w:r>
      <w:r>
        <w:t xml:space="preserve">. Here, we document shifts in the pathways of material flow across a wide natural temperature gradient and show that increasing temperatures were associated with reductions in mean population body size and increases in mean population</w:t>
      </w:r>
      <w:r>
        <w:t xml:space="preserve"> </w:t>
      </w:r>
      <w:r>
        <w:rPr>
          <w:iCs/>
          <w:i/>
        </w:rPr>
        <w:t xml:space="preserve">P:B</w:t>
      </w:r>
      <w:r>
        <w:t xml:space="preserve"> </w:t>
      </w:r>
      <w:r>
        <w:t xml:space="preserve">across stream consumer communities. Further, increasing temperatures also systematically skewed OM fluxes</w:t>
      </w:r>
      <w:r>
        <w:t xml:space="preserve"> </w:t>
      </w:r>
      <w:r>
        <w:rPr>
          <w:iCs/>
          <w:i/>
        </w:rPr>
        <w:t xml:space="preserve">within</w:t>
      </w:r>
      <w:r>
        <w:t xml:space="preserve"> </w:t>
      </w:r>
      <w:r>
        <w:t xml:space="preserve">communities such that, food web fluxes were increasingly skewed towards smaller, quick turnover populations at warmer temperatures. Lastly, there was evidence that the distribution of fluxes within communities was non-randomly organized, especially at temperature extremes and in relation to population</w:t>
      </w:r>
      <w:r>
        <w:t xml:space="preserve"> </w:t>
      </w:r>
      <w:r>
        <w:rPr>
          <w:iCs/>
          <w:i/>
        </w:rPr>
        <w:t xml:space="preserve">P:B</w:t>
      </w:r>
      <w:r>
        <w:t xml:space="preserve">, suggesting that environmental filtering is especially important in community assembly of both cold and warm communities. This tendency for energy fluxes to be dominated by relatively higher turnover populations at warmer temperatures and this organization to be increasingly non-random, suggests the speeding up of energy and material fluxes through ecosystems in both an absolute and relative sense may be a general effect of increasing temperature.</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p>
    <w:p>
      <w:pPr>
        <w:pStyle w:val="BodyText"/>
      </w:pPr>
      <w:r>
        <w:t xml:space="preserve">(Diaz et al. 2021)</w:t>
      </w:r>
      <w:r>
        <w:t xml:space="preserve"> </w:t>
      </w:r>
      <w:r>
        <w:t xml:space="preserve">SAD are more uneven than their statistical background</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w:t>
      </w:r>
      <w:r>
        <w:t xml:space="preserve"> </w:t>
      </w:r>
      <w:r>
        <w:t xml:space="preserve">2) optimize for energy availability and demand, 3) and this selection is stronger at extreme temperatures.</w:t>
      </w:r>
    </w:p>
    <w:bookmarkEnd w:id="39"/>
    <w:bookmarkStart w:id="40"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0"/>
    <w:bookmarkStart w:id="121" w:name="references"/>
    <w:p>
      <w:pPr>
        <w:pStyle w:val="Heading1"/>
      </w:pPr>
      <w:r>
        <w:t xml:space="preserve">References</w:t>
      </w:r>
    </w:p>
    <w:bookmarkStart w:id="120" w:name="refs"/>
    <w:bookmarkStart w:id="41" w:name="ref-adams2013"/>
    <w:p>
      <w:pPr>
        <w:pStyle w:val="Bibliography"/>
      </w:pPr>
      <w:r>
        <w:t xml:space="preserve">Adams, G. L., D. E. Pichler, E. J. Cox, E. J. O’Gorman, A. Seeney, G. Woodward, and D. C. Reuman. 2013. Diatoms can be an important exception to temperature</w:t>
      </w:r>
      <w:r>
        <w:t xml:space="preserve">size rules at species and community levels of organization. Global Change Biology 19:3540–3552.</w:t>
      </w:r>
    </w:p>
    <w:bookmarkEnd w:id="41"/>
    <w:bookmarkStart w:id="42" w:name="ref-altermatt2010"/>
    <w:p>
      <w:pPr>
        <w:pStyle w:val="Bibliography"/>
      </w:pPr>
      <w:r>
        <w:t xml:space="preserve">Altermatt, F. 2010. Climatic warming increases voltinism in</w:t>
      </w:r>
      <w:r>
        <w:t xml:space="preserve"> </w:t>
      </w:r>
      <w:r>
        <w:t xml:space="preserve">European</w:t>
      </w:r>
      <w:r>
        <w:t xml:space="preserve"> </w:t>
      </w:r>
      <w:r>
        <w:t xml:space="preserve">butterflies and moths. Proceedings of the Royal Society B: Biological Sciences 277:1281–1287.</w:t>
      </w:r>
    </w:p>
    <w:bookmarkEnd w:id="42"/>
    <w:bookmarkStart w:id="43"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3"/>
    <w:bookmarkStart w:id="44" w:name="ref-angilletta2004"/>
    <w:p>
      <w:pPr>
        <w:pStyle w:val="Bibliography"/>
      </w:pPr>
      <w:r>
        <w:t xml:space="preserve">Angilletta, M. J., Jr., T. D. Steury, and M. W. Sears. 2004. Temperature,</w:t>
      </w:r>
      <w:r>
        <w:t xml:space="preserve"> </w:t>
      </w:r>
      <w:r>
        <w:t xml:space="preserve">Growth Rate</w:t>
      </w:r>
      <w:r>
        <w:t xml:space="preserve">, and</w:t>
      </w:r>
      <w:r>
        <w:t xml:space="preserve"> </w:t>
      </w:r>
      <w:r>
        <w:t xml:space="preserve">Body Size</w:t>
      </w:r>
      <w:r>
        <w:t xml:space="preserve"> </w:t>
      </w:r>
      <w:r>
        <w:t xml:space="preserve">in</w:t>
      </w:r>
      <w:r>
        <w:t xml:space="preserve"> </w:t>
      </w:r>
      <w:r>
        <w:t xml:space="preserve">Ectotherms</w:t>
      </w:r>
      <w:r>
        <w:t xml:space="preserve">:</w:t>
      </w:r>
      <w:r>
        <w:t xml:space="preserve"> </w:t>
      </w:r>
      <w:r>
        <w:t xml:space="preserve">Fitting Pieces</w:t>
      </w:r>
      <w:r>
        <w:t xml:space="preserve"> </w:t>
      </w:r>
      <w:r>
        <w:t xml:space="preserve">of a</w:t>
      </w:r>
      <w:r>
        <w:t xml:space="preserve"> </w:t>
      </w:r>
      <w:r>
        <w:t xml:space="preserve">Life-History Puzzle</w:t>
      </w:r>
      <w:r>
        <w:t xml:space="preserve">. Integrative and Comparative Biology 44:498–509.</w:t>
      </w:r>
    </w:p>
    <w:bookmarkEnd w:id="44"/>
    <w:bookmarkStart w:id="45"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5"/>
    <w:bookmarkStart w:id="46" w:name="ref-atkinson1994"/>
    <w:p>
      <w:pPr>
        <w:pStyle w:val="Bibliography"/>
      </w:pPr>
      <w:r>
        <w:t xml:space="preserve">Atkinson, D. 1994. Temperature and organism size: A biological law for ectotherms? Advances in ecological research 25:1–58.</w:t>
      </w:r>
    </w:p>
    <w:bookmarkEnd w:id="46"/>
    <w:bookmarkStart w:id="47" w:name="ref-atkinson1997"/>
    <w:p>
      <w:pPr>
        <w:pStyle w:val="Bibliography"/>
      </w:pPr>
      <w:r>
        <w:t xml:space="preserve">Atkinson, D., and R. M. Sibly. 1997. Why are organisms usually bigger in colder environments?</w:t>
      </w:r>
      <w:r>
        <w:t xml:space="preserve"> </w:t>
      </w:r>
      <w:r>
        <w:t xml:space="preserve">Making</w:t>
      </w:r>
      <w:r>
        <w:t xml:space="preserve"> </w:t>
      </w:r>
      <w:r>
        <w:t xml:space="preserve">sense of a life history puzzle. Trends in Ecology &amp; Evolution 12:235–239.</w:t>
      </w:r>
    </w:p>
    <w:bookmarkEnd w:id="47"/>
    <w:bookmarkStart w:id="48"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8"/>
    <w:bookmarkStart w:id="49"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9"/>
    <w:bookmarkStart w:id="5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50"/>
    <w:bookmarkStart w:id="5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51"/>
    <w:bookmarkStart w:id="52"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52"/>
    <w:bookmarkStart w:id="53" w:name="ref-benke1980"/>
    <w:p>
      <w:pPr>
        <w:pStyle w:val="Bibliography"/>
      </w:pPr>
      <w:r>
        <w:t xml:space="preserve">Benke, A. C., and J. B. Wallace. 1980. Trophic</w:t>
      </w:r>
      <w:r>
        <w:t xml:space="preserve"> </w:t>
      </w:r>
      <w:r>
        <w:t xml:space="preserve">Basis</w:t>
      </w:r>
      <w:r>
        <w:t xml:space="preserve"> </w:t>
      </w:r>
      <w:r>
        <w:t xml:space="preserve">of</w:t>
      </w:r>
      <w:r>
        <w:t xml:space="preserve"> </w:t>
      </w:r>
      <w:r>
        <w:t xml:space="preserve">Production Among Net-Spinning Caddisflies</w:t>
      </w:r>
      <w:r>
        <w:t xml:space="preserve"> </w:t>
      </w:r>
      <w:r>
        <w:t xml:space="preserve">in a</w:t>
      </w:r>
      <w:r>
        <w:t xml:space="preserve"> </w:t>
      </w:r>
      <w:r>
        <w:t xml:space="preserve">Southern Appalachian Stream</w:t>
      </w:r>
      <w:r>
        <w:t xml:space="preserve">. Ecology 61:108–118.</w:t>
      </w:r>
    </w:p>
    <w:bookmarkEnd w:id="53"/>
    <w:bookmarkStart w:id="54"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54"/>
    <w:bookmarkStart w:id="5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55"/>
    <w:bookmarkStart w:id="56" w:name="ref-bernhardt2018"/>
    <w:p>
      <w:pPr>
        <w:pStyle w:val="Bibliography"/>
      </w:pPr>
      <w:r>
        <w:t xml:space="preserve">Bernhardt, J. R., J. M. Sunday, and M. I. O’Connor. 2018. Metabolic</w:t>
      </w:r>
      <w:r>
        <w:t xml:space="preserve"> </w:t>
      </w:r>
      <w:r>
        <w:t xml:space="preserve">Theory</w:t>
      </w:r>
      <w:r>
        <w:t xml:space="preserve"> </w:t>
      </w:r>
      <w:r>
        <w:t xml:space="preserve">and the</w:t>
      </w:r>
      <w:r>
        <w:t xml:space="preserve"> </w:t>
      </w:r>
      <w:r>
        <w:t xml:space="preserve">Temperature-Size Rule Explain</w:t>
      </w:r>
      <w:r>
        <w:t xml:space="preserve"> </w:t>
      </w:r>
      <w:r>
        <w:t xml:space="preserve">the</w:t>
      </w:r>
      <w:r>
        <w:t xml:space="preserve"> </w:t>
      </w:r>
      <w:r>
        <w:t xml:space="preserve">Temperature Dependence</w:t>
      </w:r>
      <w:r>
        <w:t xml:space="preserve"> </w:t>
      </w:r>
      <w:r>
        <w:t xml:space="preserve">of</w:t>
      </w:r>
      <w:r>
        <w:t xml:space="preserve"> </w:t>
      </w:r>
      <w:r>
        <w:t xml:space="preserve">Population Carrying Capacity</w:t>
      </w:r>
      <w:r>
        <w:t xml:space="preserve">. The American Naturalist:000–000.</w:t>
      </w:r>
    </w:p>
    <w:bookmarkEnd w:id="56"/>
    <w:bookmarkStart w:id="57" w:name="ref-bideault2019"/>
    <w:p>
      <w:pPr>
        <w:pStyle w:val="Bibliography"/>
      </w:pPr>
      <w:r>
        <w:t xml:space="preserve">Bideault, A., M. Loreau, and D. Gravel. 2019. Temperature</w:t>
      </w:r>
      <w:r>
        <w:t xml:space="preserve"> </w:t>
      </w:r>
      <w:r>
        <w:t xml:space="preserve">Modifies Consumer-Resource Interaction Strength Through Its Effects</w:t>
      </w:r>
      <w:r>
        <w:t xml:space="preserve"> </w:t>
      </w:r>
      <w:r>
        <w:t xml:space="preserve">on</w:t>
      </w:r>
      <w:r>
        <w:t xml:space="preserve"> </w:t>
      </w:r>
      <w:r>
        <w:t xml:space="preserve">Biological Rates</w:t>
      </w:r>
      <w:r>
        <w:t xml:space="preserve"> </w:t>
      </w:r>
      <w:r>
        <w:t xml:space="preserve">and</w:t>
      </w:r>
      <w:r>
        <w:t xml:space="preserve"> </w:t>
      </w:r>
      <w:r>
        <w:t xml:space="preserve">Body Mass</w:t>
      </w:r>
      <w:r>
        <w:t xml:space="preserve">. Frontiers in Ecology and Evolution 7.</w:t>
      </w:r>
    </w:p>
    <w:bookmarkEnd w:id="57"/>
    <w:bookmarkStart w:id="58"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8"/>
    <w:bookmarkStart w:id="59"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9"/>
    <w:bookmarkStart w:id="60"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60"/>
    <w:bookmarkStart w:id="61" w:name="ref-chao2019"/>
    <w:p>
      <w:pPr>
        <w:pStyle w:val="Bibliography"/>
      </w:pPr>
      <w:r>
        <w:t xml:space="preserve">Chao, A., and C. Ricotta. 2019. Quantifying evenness and linking it to diversity, beta diversity, and similarity. Ecology 100:e02852.</w:t>
      </w:r>
    </w:p>
    <w:bookmarkEnd w:id="61"/>
    <w:bookmarkStart w:id="62"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62"/>
    <w:bookmarkStart w:id="63"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63"/>
    <w:bookmarkStart w:id="64"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Detritus-Based Food Web</w:t>
      </w:r>
      <w:r>
        <w:t xml:space="preserve">. Ecology 88:2563–2575.</w:t>
      </w:r>
    </w:p>
    <w:bookmarkEnd w:id="64"/>
    <w:bookmarkStart w:id="65" w:name="ref-daufresne2009"/>
    <w:p>
      <w:pPr>
        <w:pStyle w:val="Bibliography"/>
      </w:pPr>
      <w:r>
        <w:t xml:space="preserve">Daufresne, M., K. Lengfellner, and U. Sommer. 2009. Global warming benefits the small in aquatic ecosystems. Proceedings of the National Academy of Sciences 106:12788–12793.</w:t>
      </w:r>
    </w:p>
    <w:bookmarkEnd w:id="65"/>
    <w:bookmarkStart w:id="66"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66"/>
    <w:bookmarkStart w:id="67"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67"/>
    <w:bookmarkStart w:id="68"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68"/>
    <w:bookmarkStart w:id="69" w:name="ref-delong2014"/>
    <w:p>
      <w:pPr>
        <w:pStyle w:val="Bibliography"/>
      </w:pPr>
      <w:r>
        <w:t xml:space="preserve">DeLong, J. P., T. C. Hanley, and D. A. Vasseur. 2014. Predator</w:t>
      </w:r>
      <w:r>
        <w:t xml:space="preserve">prey dynamics and the plasticity of predator body size. Functional Ecology 28:487–493.</w:t>
      </w:r>
    </w:p>
    <w:bookmarkEnd w:id="69"/>
    <w:bookmarkStart w:id="70"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70"/>
    <w:bookmarkStart w:id="71" w:name="ref-diaz2021a"/>
    <w:p>
      <w:pPr>
        <w:pStyle w:val="Bibliography"/>
      </w:pPr>
      <w:r>
        <w:t xml:space="preserve">Diaz, R. M., H. Ye, and S. K. M. Ernest. 2021. Empirical abundance distributions are more uneven than expected given their statistical baseline. Ecology Letters n/a.</w:t>
      </w:r>
    </w:p>
    <w:bookmarkEnd w:id="71"/>
    <w:bookmarkStart w:id="72"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72"/>
    <w:bookmarkStart w:id="73"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73"/>
    <w:bookmarkStart w:id="74" w:name="ref-fussmann2014"/>
    <w:p>
      <w:pPr>
        <w:pStyle w:val="Bibliography"/>
      </w:pPr>
      <w:r>
        <w:t xml:space="preserve">Fussmann, K. E., F. Schwarzmüller, U. Brose, A. Jousset, and B. C. Rall. 2014. Ecological stability in response to warming. Nature Climate Change 4:206–210.</w:t>
      </w:r>
    </w:p>
    <w:bookmarkEnd w:id="74"/>
    <w:bookmarkStart w:id="75" w:name="ref-gardner2011"/>
    <w:p>
      <w:pPr>
        <w:pStyle w:val="Bibliography"/>
      </w:pPr>
      <w:r>
        <w:t xml:space="preserve">Gardner, J. L., A. Peters, M. R. Kearney, L. Joseph, and R. Heinsohn. 2011. Declining body size: A third universal response to warming? Trends in Ecology &amp; Evolution 26:285–291.</w:t>
      </w:r>
    </w:p>
    <w:bookmarkEnd w:id="75"/>
    <w:bookmarkStart w:id="76" w:name="ref-geist1987"/>
    <w:p>
      <w:pPr>
        <w:pStyle w:val="Bibliography"/>
      </w:pPr>
      <w:r>
        <w:t xml:space="preserve">Geist, V. 1987. Bergmann’s rule is invalid. Canadian Journal of Zoology.</w:t>
      </w:r>
    </w:p>
    <w:bookmarkEnd w:id="76"/>
    <w:bookmarkStart w:id="77" w:name="ref-gibert2019a"/>
    <w:p>
      <w:pPr>
        <w:pStyle w:val="Bibliography"/>
      </w:pPr>
      <w:r>
        <w:t xml:space="preserve">Gibert, J. P. 2019. Temperature directly and indirectly influences food web structure. Scientific Reports 9:5312.</w:t>
      </w:r>
    </w:p>
    <w:bookmarkEnd w:id="77"/>
    <w:bookmarkStart w:id="78" w:name="ref-gillooly2001"/>
    <w:p>
      <w:pPr>
        <w:pStyle w:val="Bibliography"/>
      </w:pPr>
      <w:r>
        <w:t xml:space="preserve">Gillooly, J. F., J. H. Brown, G. B. West, V. M. Savage, and E. L. Charnov. 2001. Effects of size and temperature on metabolic rate. Science (New York, N.Y.) 293:2248–2251.</w:t>
      </w:r>
    </w:p>
    <w:bookmarkEnd w:id="78"/>
    <w:bookmarkStart w:id="7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79"/>
    <w:bookmarkStart w:id="80" w:name="ref-greyson-gaito2022"/>
    <w:p>
      <w:pPr>
        <w:pStyle w:val="Bibliography"/>
      </w:pPr>
      <w:r>
        <w:t xml:space="preserve">Greyson-Gaito, C. J., G. Gellner, and K. S. McCann. 2022. Slower organisms exhibit sudden population disappearances in a reddened world. Preprint,</w:t>
      </w:r>
      <w:r>
        <w:t xml:space="preserve"> </w:t>
      </w:r>
      <w:r>
        <w:t xml:space="preserve">Ecology</w:t>
      </w:r>
      <w:r>
        <w:t xml:space="preserve">.</w:t>
      </w:r>
    </w:p>
    <w:bookmarkEnd w:id="80"/>
    <w:bookmarkStart w:id="81" w:name="ref-haegeman2008"/>
    <w:p>
      <w:pPr>
        <w:pStyle w:val="Bibliography"/>
      </w:pPr>
      <w:r>
        <w:t xml:space="preserve">Haegeman, B., and M. Loreau. 2008. Limitations of entropy maximization in ecology. Oikos 117:1700–1710.</w:t>
      </w:r>
    </w:p>
    <w:bookmarkEnd w:id="81"/>
    <w:bookmarkStart w:id="82"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82"/>
    <w:bookmarkStart w:id="83"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83"/>
    <w:bookmarkStart w:id="84"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84"/>
    <w:bookmarkStart w:id="85"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 Limnology and Oceanography 31:216–221.</w:t>
      </w:r>
    </w:p>
    <w:bookmarkEnd w:id="85"/>
    <w:bookmarkStart w:id="86" w:name="ref-james1970"/>
    <w:p>
      <w:pPr>
        <w:pStyle w:val="Bibliography"/>
      </w:pPr>
      <w:r>
        <w:t xml:space="preserve">James, F. C. 1970. Geographic</w:t>
      </w:r>
      <w:r>
        <w:t xml:space="preserve"> </w:t>
      </w:r>
      <w:r>
        <w:t xml:space="preserve">Size Variation</w:t>
      </w:r>
      <w:r>
        <w:t xml:space="preserve"> </w:t>
      </w:r>
      <w:r>
        <w:t xml:space="preserve">in</w:t>
      </w:r>
      <w:r>
        <w:t xml:space="preserve"> </w:t>
      </w:r>
      <w:r>
        <w:t xml:space="preserve">Birds</w:t>
      </w:r>
      <w:r>
        <w:t xml:space="preserve"> </w:t>
      </w:r>
      <w:r>
        <w:t xml:space="preserve">and</w:t>
      </w:r>
      <w:r>
        <w:t xml:space="preserve"> </w:t>
      </w:r>
      <w:r>
        <w:t xml:space="preserve">Its Relationship</w:t>
      </w:r>
      <w:r>
        <w:t xml:space="preserve"> </w:t>
      </w:r>
      <w:r>
        <w:t xml:space="preserve">to</w:t>
      </w:r>
      <w:r>
        <w:t xml:space="preserve"> </w:t>
      </w:r>
      <w:r>
        <w:t xml:space="preserve">Climate</w:t>
      </w:r>
      <w:r>
        <w:t xml:space="preserve">. Ecology 51:365–390.</w:t>
      </w:r>
    </w:p>
    <w:bookmarkEnd w:id="86"/>
    <w:bookmarkStart w:id="87"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87"/>
    <w:bookmarkStart w:id="88" w:name="ref-kozlowski2004"/>
    <w:p>
      <w:pPr>
        <w:pStyle w:val="Bibliography"/>
      </w:pPr>
      <w:r>
        <w:t xml:space="preserve">Kozłowski, J., M. Czarnołęski, and M. Dańko. 2004. Can</w:t>
      </w:r>
      <w:r>
        <w:t xml:space="preserve"> </w:t>
      </w:r>
      <w:r>
        <w:t xml:space="preserve">Optimal Resource Allocation Models Explain Why Ectotherms Grow Larger</w:t>
      </w:r>
      <w:r>
        <w:t xml:space="preserve"> </w:t>
      </w:r>
      <w:r>
        <w:t xml:space="preserve">in</w:t>
      </w:r>
      <w:r>
        <w:t xml:space="preserve"> </w:t>
      </w:r>
      <w:r>
        <w:t xml:space="preserve">Cold</w:t>
      </w:r>
      <w:r>
        <w:t xml:space="preserve">?1. Integrative and Comparative Biology 44:480–493.</w:t>
      </w:r>
    </w:p>
    <w:bookmarkEnd w:id="88"/>
    <w:bookmarkStart w:id="89"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89"/>
    <w:bookmarkStart w:id="90"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90"/>
    <w:bookmarkStart w:id="91" w:name="ref-mccann1998"/>
    <w:p>
      <w:pPr>
        <w:pStyle w:val="Bibliography"/>
      </w:pPr>
      <w:r>
        <w:t xml:space="preserve">McCann, K., A. Hastings, and G. R. Huxel. 1998. Weak trophic interactions and the balance of nature. Nature 395:794–798.</w:t>
      </w:r>
    </w:p>
    <w:bookmarkEnd w:id="91"/>
    <w:bookmarkStart w:id="92" w:name="ref-mccann2011"/>
    <w:p>
      <w:pPr>
        <w:pStyle w:val="Bibliography"/>
      </w:pPr>
      <w:r>
        <w:t xml:space="preserve">McCann, K. S. 2011. Food</w:t>
      </w:r>
      <w:r>
        <w:t xml:space="preserve"> </w:t>
      </w:r>
      <w:r>
        <w:t xml:space="preserve">Webs</w:t>
      </w:r>
      <w:r>
        <w:t xml:space="preserve"> </w:t>
      </w:r>
      <w:r>
        <w:t xml:space="preserve">(</w:t>
      </w:r>
      <w:r>
        <w:t xml:space="preserve">MPB-50</w:t>
      </w:r>
      <w:r>
        <w:t xml:space="preserve">).</w:t>
      </w:r>
      <w:r>
        <w:t xml:space="preserve"> </w:t>
      </w:r>
      <w:r>
        <w:t xml:space="preserve">Princeton University Press</w:t>
      </w:r>
      <w:r>
        <w:t xml:space="preserve">.</w:t>
      </w:r>
    </w:p>
    <w:bookmarkEnd w:id="92"/>
    <w:bookmarkStart w:id="93"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93"/>
    <w:bookmarkStart w:id="94"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94"/>
    <w:bookmarkStart w:id="95"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95"/>
    <w:bookmarkStart w:id="96" w:name="ref-nelson2020"/>
    <w:p>
      <w:pPr>
        <w:pStyle w:val="Bibliography"/>
      </w:pPr>
      <w:r>
        <w:t xml:space="preserve">Nelson, D., J. P. Benstead, A. D. Huryn, W. F. Cross, J. M. Hood, P. W. Johnson, J. R. Junker, G. M. Gíslason, and J. S. Ólafsson. 2020b. Thermal niche diversity and trophic redundancy drive neutral effects of warming on energy flux through a stream food web. Ecology.</w:t>
      </w:r>
    </w:p>
    <w:bookmarkEnd w:id="96"/>
    <w:bookmarkStart w:id="97" w:name="ref-nelson2020b"/>
    <w:p>
      <w:pPr>
        <w:pStyle w:val="Bibliography"/>
      </w:pPr>
      <w:r>
        <w:t xml:space="preserve">Nelson, D., J. P. Benstead, A. D. Huryn, W. F. Cross, J. M. Hood, P. W. Johnson, J. R. Junker, G. M. Gíslason, and J. S. Ólafsson. 2020a. Contrasting responses of black fly species (</w:t>
      </w:r>
      <w:r>
        <w:t xml:space="preserve">Diptera</w:t>
      </w:r>
      <w:r>
        <w:t xml:space="preserve">:</w:t>
      </w:r>
      <w:r>
        <w:t xml:space="preserve"> </w:t>
      </w:r>
      <w:r>
        <w:t xml:space="preserve">Simuliidae</w:t>
      </w:r>
      <w:r>
        <w:t xml:space="preserve">) to experimental whole-stream warming. Freshwater Biology 65:1793–1805.</w:t>
      </w:r>
    </w:p>
    <w:bookmarkEnd w:id="97"/>
    <w:bookmarkStart w:id="98"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98"/>
    <w:bookmarkStart w:id="99"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99"/>
    <w:bookmarkStart w:id="10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100"/>
    <w:bookmarkStart w:id="101" w:name="ref-ohlberger2013"/>
    <w:p>
      <w:pPr>
        <w:pStyle w:val="Bibliography"/>
      </w:pPr>
      <w:r>
        <w:t xml:space="preserve">Ohlberger, J. 2013. Climate warming and ectotherm body size</w:t>
      </w:r>
      <w:r>
        <w:t xml:space="preserve"> </w:t>
      </w:r>
      <w:r>
        <w:t xml:space="preserve"> </w:t>
      </w:r>
      <w:r>
        <w:t xml:space="preserve">from individual physiology to community ecology. Functional Ecology 27:991–1001.</w:t>
      </w:r>
    </w:p>
    <w:bookmarkEnd w:id="101"/>
    <w:bookmarkStart w:id="102" w:name="ref-osmond2017"/>
    <w:p>
      <w:pPr>
        <w:pStyle w:val="Bibliography"/>
      </w:pPr>
      <w:r>
        <w:t xml:space="preserve">Osmond, M. M., M. A. Barbour, J. R. Bernhardt, M. W. Pennell, J. M. Sunday, and M. I. O’Connor. 2017. Warming-</w:t>
      </w:r>
      <w:r>
        <w:t xml:space="preserve">Induced Changes</w:t>
      </w:r>
      <w:r>
        <w:t xml:space="preserve"> </w:t>
      </w:r>
      <w:r>
        <w:t xml:space="preserve">to</w:t>
      </w:r>
      <w:r>
        <w:t xml:space="preserve"> </w:t>
      </w:r>
      <w:r>
        <w:t xml:space="preserve">Body Size Stabilize Consumer-Resource Dynamics</w:t>
      </w:r>
      <w:r>
        <w:t xml:space="preserve">. The American Naturalist 189:718–725.</w:t>
      </w:r>
    </w:p>
    <w:bookmarkEnd w:id="102"/>
    <w:bookmarkStart w:id="10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103"/>
    <w:bookmarkStart w:id="104" w:name="ref-petchey1999"/>
    <w:p>
      <w:pPr>
        <w:pStyle w:val="Bibliography"/>
      </w:pPr>
      <w:r>
        <w:t xml:space="preserve">Petchey, O. L., P. T. McPhearson, T. M. Casey, and P. J. Morin. 1999. Environmental warming alters food-web structure and ecosystem function. Nature 402:69–72.</w:t>
      </w:r>
    </w:p>
    <w:bookmarkEnd w:id="104"/>
    <w:bookmarkStart w:id="105" w:name="ref-peters1983"/>
    <w:p>
      <w:pPr>
        <w:pStyle w:val="Bibliography"/>
      </w:pPr>
      <w:r>
        <w:t xml:space="preserve">Peters, R. H. 1983. The ecological implications of body size.</w:t>
      </w:r>
      <w:r>
        <w:t xml:space="preserve"> </w:t>
      </w:r>
      <w:r>
        <w:t xml:space="preserve">Cambridge University Press</w:t>
      </w:r>
      <w:r>
        <w:t xml:space="preserve">,</w:t>
      </w:r>
      <w:r>
        <w:t xml:space="preserve"> </w:t>
      </w:r>
      <w:r>
        <w:t xml:space="preserve">Cambridge</w:t>
      </w:r>
      <w:r>
        <w:t xml:space="preserve">.</w:t>
      </w:r>
    </w:p>
    <w:bookmarkEnd w:id="105"/>
    <w:bookmarkStart w:id="106"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06"/>
    <w:bookmarkStart w:id="107" w:name="ref-rosi-marshall2016"/>
    <w:p>
      <w:pPr>
        <w:pStyle w:val="Bibliography"/>
      </w:pPr>
      <w:r>
        <w:t xml:space="preserve">Rosi-Marshall, E. J., H. A. Wellard Kelly, R. O. Hall, and K. A. Vallis. 2016. Methods for quantifying aquatic macroinvertebrate diets. Freshwater Science 35:229–236.</w:t>
      </w:r>
    </w:p>
    <w:bookmarkEnd w:id="107"/>
    <w:bookmarkStart w:id="108" w:name="ref-rypel2014"/>
    <w:p>
      <w:pPr>
        <w:pStyle w:val="Bibliography"/>
      </w:pPr>
      <w:r>
        <w:t xml:space="preserve">Rypel, A. L. 2014. The</w:t>
      </w:r>
      <w:r>
        <w:t xml:space="preserve"> </w:t>
      </w:r>
      <w:r>
        <w:t xml:space="preserve">Cold-Water Connection</w:t>
      </w:r>
      <w:r>
        <w:t xml:space="preserve">:</w:t>
      </w:r>
      <w:r>
        <w:t xml:space="preserve"> </w:t>
      </w:r>
      <w:r>
        <w:t xml:space="preserve">Bergmann</w:t>
      </w:r>
      <w:r>
        <w:t xml:space="preserve">’s</w:t>
      </w:r>
      <w:r>
        <w:t xml:space="preserve"> </w:t>
      </w:r>
      <w:r>
        <w:t xml:space="preserve">Rule</w:t>
      </w:r>
      <w:r>
        <w:t xml:space="preserve"> </w:t>
      </w:r>
      <w:r>
        <w:t xml:space="preserve">in</w:t>
      </w:r>
      <w:r>
        <w:t xml:space="preserve"> </w:t>
      </w:r>
      <w:r>
        <w:t xml:space="preserve">North American Freshwater Fishes</w:t>
      </w:r>
      <w:r>
        <w:t xml:space="preserve">. The American Naturalist 183:147–156.</w:t>
      </w:r>
    </w:p>
    <w:bookmarkEnd w:id="108"/>
    <w:bookmarkStart w:id="109" w:name="ref-saito2021"/>
    <w:p>
      <w:pPr>
        <w:pStyle w:val="Bibliography"/>
      </w:pPr>
      <w:r>
        <w:t xml:space="preserve">Saito, V. S., D. M. Perkins, and P. Kratina. 2021. A</w:t>
      </w:r>
      <w:r>
        <w:t xml:space="preserve"> </w:t>
      </w:r>
      <w:r>
        <w:t xml:space="preserve">Metabolic Perspective</w:t>
      </w:r>
      <w:r>
        <w:t xml:space="preserve"> </w:t>
      </w:r>
      <w:r>
        <w:t xml:space="preserve">of</w:t>
      </w:r>
      <w:r>
        <w:t xml:space="preserve"> </w:t>
      </w:r>
      <w:r>
        <w:t xml:space="preserve">Stochastic Community Assembly</w:t>
      </w:r>
      <w:r>
        <w:t xml:space="preserve">. Trends in Ecology &amp; Evolution:S0169534721000057.</w:t>
      </w:r>
    </w:p>
    <w:bookmarkEnd w:id="109"/>
    <w:bookmarkStart w:id="110"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110"/>
    <w:bookmarkStart w:id="111" w:name="ref-solomon1975"/>
    <w:p>
      <w:pPr>
        <w:pStyle w:val="Bibliography"/>
      </w:pPr>
      <w:r>
        <w:t xml:space="preserve">Solomon, D. L. 1975. A comparative approach to species diversity:7.</w:t>
      </w:r>
    </w:p>
    <w:bookmarkEnd w:id="111"/>
    <w:bookmarkStart w:id="112"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112"/>
    <w:bookmarkStart w:id="113" w:name="ref-walther2002"/>
    <w:p>
      <w:pPr>
        <w:pStyle w:val="Bibliography"/>
      </w:pPr>
      <w:r>
        <w:t xml:space="preserve">Walther, G.-R., E. Post, P. Convey, A. Menzel, C. Parmesan, T. J. C. Beebee, J.-M. Fromentin, O. Hoegh-Guldberg, and F. Bairlein. 2002. Ecological responses to recent climate change. Nature 416:389–395.</w:t>
      </w:r>
    </w:p>
    <w:bookmarkEnd w:id="113"/>
    <w:bookmarkStart w:id="114"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114"/>
    <w:bookmarkStart w:id="115"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115"/>
    <w:bookmarkStart w:id="116"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116"/>
    <w:bookmarkStart w:id="117" w:name="ref-zeuss2017"/>
    <w:p>
      <w:pPr>
        <w:pStyle w:val="Bibliography"/>
      </w:pPr>
      <w:r>
        <w:t xml:space="preserve">Zeuss, D., S. Brunzel, and R. Brandl. 2017. Environmental drivers of voltinism and body size in insect assemblages across</w:t>
      </w:r>
      <w:r>
        <w:t xml:space="preserve"> </w:t>
      </w:r>
      <w:r>
        <w:t xml:space="preserve">Europe</w:t>
      </w:r>
      <w:r>
        <w:t xml:space="preserve">. Global Ecology and Biogeography 26:154–165.</w:t>
      </w:r>
    </w:p>
    <w:bookmarkEnd w:id="117"/>
    <w:bookmarkStart w:id="118" w:name="ref-zhang2017"/>
    <w:p>
      <w:pPr>
        <w:pStyle w:val="Bibliography"/>
      </w:pPr>
      <w:r>
        <w:t xml:space="preserve">Zhang, L., D. Takahashi, M. Hartvig, and K. H. Andersen. 2017. Food-web dynamics under climate change. Proceedings of the Royal Society B: Biological Sciences 284:20171772.</w:t>
      </w:r>
    </w:p>
    <w:bookmarkEnd w:id="118"/>
    <w:bookmarkStart w:id="119" w:name="ref-zuo2012"/>
    <w:p>
      <w:pPr>
        <w:pStyle w:val="Bibliography"/>
      </w:pPr>
      <w:r>
        <w:t xml:space="preserve">Zuo, W., M. E. Moses, G. B. West, C. Hou, and J. H. Brown. 2012. A general model for effects of temperature on ectotherm ontogenetic growth and development. Proceedings of the Royal Society B: Biological Sciences 279:1840–1846.</w:t>
      </w:r>
    </w:p>
    <w:bookmarkEnd w:id="119"/>
    <w:bookmarkEnd w:id="120"/>
    <w:bookmarkEnd w:id="121"/>
    <w:bookmarkStart w:id="126" w:name="appendix"/>
    <w:p>
      <w:pPr>
        <w:pStyle w:val="Heading1"/>
      </w:pPr>
      <w:r>
        <w:t xml:space="preserve">Appendix</w:t>
      </w:r>
    </w:p>
    <w:p>
      <w:pPr>
        <w:pStyle w:val="FirstParagraph"/>
      </w:pPr>
      <w:r>
        <w:t xml:space="preserve">Spare(d) words</w:t>
      </w:r>
    </w:p>
    <w:p>
      <w:pPr>
        <w:pStyle w:val="BodyText"/>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r>
        <w:t xml:space="preserve"> </w:t>
      </w:r>
      <w:r>
        <w:t xml:space="preserve">-</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2"/>
        </w:numPr>
        <w:pStyle w:val="Compact"/>
      </w:pPr>
      <w:r>
        <w:t xml:space="preserve">Seasonal systems have unique constraints</w:t>
      </w:r>
    </w:p>
    <w:p>
      <w:pPr>
        <w:numPr>
          <w:ilvl w:val="0"/>
          <w:numId w:val="1002"/>
        </w:numPr>
        <w:pStyle w:val="Compact"/>
      </w:pPr>
      <w:r>
        <w:t xml:space="preserve">These seasonal constraints are greater at higher temps</w:t>
      </w:r>
    </w:p>
    <w:p>
      <w:pPr>
        <w:pStyle w:val="FirstParagraph"/>
      </w:pPr>
      <w:r>
        <w:t xml:space="preserve">This creates a situation where body sizes are selected for that 1) ,</w:t>
      </w:r>
      <w:r>
        <w:t xml:space="preserve"> </w:t>
      </w:r>
      <w:r>
        <w:t xml:space="preserve">2) optimize for energy availability and demand, 3) and this selection is stronger at extreme temperatures.</w:t>
      </w:r>
    </w:p>
    <w:p>
      <w:pPr>
        <w:pStyle w:val="BodyText"/>
      </w:pPr>
      <w:r>
        <w:t xml:space="preserve">Warmer streams had communities with smaller mean body sizes and faster turnover rates on average (Figure 2). Both among and within streams, OM fluxes were distributed differently across body sizes and turnover rates (</w:t>
      </w:r>
      <w:r>
        <w:rPr>
          <w:iCs/>
          <w:i/>
        </w:rPr>
        <w:t xml:space="preserve">P:B</w:t>
      </w:r>
      <w:r>
        <w:t xml:space="preserve">). Among streams, mean population body size ranged from 0.1 to 2.66 mg ind</w:t>
      </w:r>
      <w:r>
        <w:rPr>
          <w:vertAlign w:val="superscript"/>
        </w:rPr>
        <w:t xml:space="preserve">-1</w:t>
      </w:r>
      <w:r>
        <w:t xml:space="preserve"> </w:t>
      </w:r>
      <w:r>
        <w:t xml:space="preserve">and mean population annual P:B ranged from 4.23 to 31.67 (Figure 2).Both,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-9.5% (95% PI, -11.7% – -7.2%)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7.2% (95% PI, 6.3% – 8.1%) for each 1</w:t>
      </w:r>
      <m:oMath>
        <m:sSup>
          <m:e>
            <m:r>
              <m:t>​</m:t>
            </m:r>
          </m:e>
          <m:sup>
            <m:r>
              <m:rPr>
                <m:sty m:val="p"/>
              </m:rPr>
              <m:t>∘</m:t>
            </m:r>
          </m:sup>
        </m:sSup>
      </m:oMath>
      <w:r>
        <w:t xml:space="preserve">C in mean annual stream temperature.</w:t>
      </w:r>
    </w:p>
    <w:p>
      <w:pPr>
        <w:pStyle w:val="CaptionedFigure"/>
      </w:pPr>
      <w:r>
        <w:drawing>
          <wp:inline>
            <wp:extent cx="4582182" cy="3665746"/>
            <wp:effectExtent b="0" l="0" r="0" t="0"/>
            <wp:docPr descr="Figure S1. Modeled diet proportions of consumer communities across the temperature gradient." title="" id="1" name="Picture"/>
            <a:graphic>
              <a:graphicData uri="http://schemas.openxmlformats.org/drawingml/2006/picture">
                <pic:pic>
                  <pic:nvPicPr>
                    <pic:cNvPr descr="ms_files/figure-docx/diet%20figure-1.png" id="0" name="Picture"/>
                    <pic:cNvPicPr>
                      <a:picLocks noChangeArrowheads="1" noChangeAspect="1"/>
                    </pic:cNvPicPr>
                  </pic:nvPicPr>
                  <pic:blipFill>
                    <a:blip r:embed="rId12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pPr>
        <w:pStyle w:val="CaptionedFigure"/>
      </w:pPr>
      <w:r>
        <w:drawing>
          <wp:inline>
            <wp:extent cx="4583458" cy="3666766"/>
            <wp:effectExtent b="0" l="0" r="0" t="0"/>
            <wp:docPr descr="Figure S2. Lorenz plot of relative community flux by species in ascending order of annual population organic matter flux (mg AFDM m-2 y-1)" title="" id="1" name="Picture"/>
            <a:graphic>
              <a:graphicData uri="http://schemas.openxmlformats.org/drawingml/2006/picture">
                <pic:pic>
                  <pic:nvPicPr>
                    <pic:cNvPr descr="ms_files/figure-docx/raw%20lorenz-1.png" id="0" name="Picture"/>
                    <pic:cNvPicPr>
                      <a:picLocks noChangeArrowheads="1" noChangeAspect="1"/>
                    </pic:cNvPicPr>
                  </pic:nvPicPr>
                  <pic:blipFill>
                    <a:blip r:embed="rId12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1" name="Picture"/>
            <a:graphic>
              <a:graphicData uri="http://schemas.openxmlformats.org/drawingml/2006/picture">
                <pic:pic>
                  <pic:nvPicPr>
                    <pic:cNvPr descr="ms_files/figure-docx/biomass%20lorenze-1.png" id="0" name="Picture"/>
                    <pic:cNvPicPr>
                      <a:picLocks noChangeArrowheads="1" noChangeAspect="1"/>
                    </pic:cNvPicPr>
                  </pic:nvPicPr>
                  <pic:blipFill>
                    <a:blip r:embed="rId124"/>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compared to random species ordering."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compared to random species ordering.</w:t>
      </w:r>
    </w:p>
    <w:bookmarkEnd w:id="126"/>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124" Target="media/rId124.png" /><Relationship Type="http://schemas.openxmlformats.org/officeDocument/2006/relationships/image" Id="rId122" Target="media/rId1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0" Target="mailto:jrjunker@mt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non-randomly speeds up food web fluxes in both an absolute and relative sense</dc:title>
  <dc:creator>James R. Junker1,2,✉, Wyatt F. Cross1, James M. Hood3, Jonathan P. Benstead4, Alex D. Huryn4, Daniel Nelson5, Jon S. Olafsson6, and Gisli M. Gislason7</dc:creator>
  <cp:keywords/>
  <dcterms:created xsi:type="dcterms:W3CDTF">2022-06-02T19:13:12Z</dcterms:created>
  <dcterms:modified xsi:type="dcterms:W3CDTF">2022-06-02T19:13:12Z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