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02.png" ContentType="image/png"/>
  <Override PartName="/word/media/rId100.png" ContentType="image/png"/>
  <Override PartName="/word/media/rId33.png" ContentType="image/png"/>
  <Override PartName="/word/media/rId36.png" ContentType="image/png"/>
  <Override PartName="/word/media/rId101.png" ContentType="image/png"/>
  <Override PartName="/word/media/rId37.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osu</w:t>
      </w:r>
      <w:r>
        <w:br/>
      </w:r>
      <w:r>
        <w:rPr>
          <w:vertAlign w:val="superscript"/>
        </w:rPr>
        <w:t xml:space="preserve">4</w:t>
      </w:r>
      <w:r>
        <w:t xml:space="preserve"> </w:t>
      </w:r>
      <w:r>
        <w:t xml:space="preserve">bama</w:t>
      </w:r>
      <w:r>
        <w:br/>
      </w:r>
      <w:r>
        <w:rPr>
          <w:vertAlign w:val="superscript"/>
        </w:rPr>
        <w:t xml:space="preserve">5</w:t>
      </w:r>
      <w:r>
        <w:t xml:space="preserve"> </w:t>
      </w:r>
      <w:r>
        <w:t xml:space="preserve">usu</w:t>
      </w:r>
      <w:r>
        <w:br/>
      </w:r>
      <w:r>
        <w:rPr>
          <w:vertAlign w:val="superscript"/>
        </w:rPr>
        <w:t xml:space="preserve">6</w:t>
      </w:r>
      <w:r>
        <w:t xml:space="preserve"> </w:t>
      </w:r>
      <w:r>
        <w:t xml:space="preserve">veidi</w:t>
      </w:r>
      <w:r>
        <w:br/>
      </w:r>
      <w:r>
        <w:rPr>
          <w:vertAlign w:val="superscript"/>
        </w:rPr>
        <w:t xml:space="preserve">7</w:t>
      </w:r>
      <w:r>
        <w:t xml:space="preserve"> </w:t>
      </w:r>
      <w:r>
        <w:t xml:space="preserve">reyk</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Energy fluxes through invertebrate food webs restructured in response to temperature. Specifically, communities in warmer streams were composed of smaller-bodied and higher-turnover populations on average. Additionally, energy fluxes of warmer streams were unequally skewed towards small-bodied, high-turnover populations</w:t>
      </w:r>
      <w:r>
        <w:t xml:space="preserve"> </w:t>
      </w:r>
      <w:r>
        <w:rPr>
          <w:iCs/>
          <w:i/>
        </w:rPr>
        <w:t xml:space="preserve">within</w:t>
      </w:r>
      <w:r>
        <w:t xml:space="preserve"> </w:t>
      </w:r>
      <w:r>
        <w:t xml:space="preserve">the community, suggesting higher temperatures restructured energy fluxes in both an absolute and relative sense across and within communities.</w:t>
      </w:r>
    </w:p>
    <w:p>
      <w:r>
        <w:br w:type="page"/>
      </w:r>
    </w:p>
    <w:bookmarkEnd w:id="21"/>
    <w:bookmarkStart w:id="22"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The effects of temperature on ecosystems manifest through complex direct and indirect pathways such as shifting species ranges and subsequent changes to local and regional communities</w:t>
      </w:r>
      <w:r>
        <w:t xml:space="preserve"> </w:t>
      </w:r>
      <w:r>
        <w:t xml:space="preserve">(Root et al. 2003)</w:t>
      </w:r>
      <w:r>
        <w:t xml:space="preserve">,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w:t>
      </w:r>
    </w:p>
    <w:p>
      <w:pPr>
        <w:pStyle w:val="BodyText"/>
      </w:pPr>
      <w:r>
        <w:t xml:space="preserve">Temperature has the potential to alter the provision and maintenance of ecosystem services by modifying the network of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interactions among species and trophic levels</w:t>
      </w:r>
      <w:r>
        <w:t xml:space="preserve"> </w:t>
      </w:r>
      <w:r>
        <w:t xml:space="preserve">(May 1972, McCann et al. 1998, Barnes et al. 2018, Gibert 2019)</w:t>
      </w:r>
      <w:r>
        <w:t xml:space="preserve">. Importantly, these effects operate directly through temperature’s influence on individual metabolic rates</w:t>
      </w:r>
      <w:r>
        <w:t xml:space="preserve"> </w:t>
      </w:r>
      <w:r>
        <w:t xml:space="preserve">Brown et al. (2004)</w:t>
      </w:r>
      <w:r>
        <w:t xml:space="preserve"> </w:t>
      </w:r>
      <w:r>
        <w:t xml:space="preserve">and biological activity [e.g., attack rate, handling time, growth rates, etc.;</w:t>
      </w:r>
      <w:r>
        <w:t xml:space="preserve"> </w:t>
      </w:r>
      <w:r>
        <w:t xml:space="preserve">Dell et al. (2014)</w:t>
      </w:r>
      <w:r>
        <w:t xml:space="preserve">], and indirectly through the distribution of species traits, such as body size, within and across species</w:t>
      </w:r>
      <w:r>
        <w:t xml:space="preserve"> </w:t>
      </w:r>
      <w:r>
        <w:t xml:space="preserve">(Nelson et al. 2017b,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of climate change….</w:t>
      </w:r>
    </w:p>
    <w:p>
      <w:pPr>
        <w:pStyle w:val="BodyText"/>
      </w:pPr>
      <w:r>
        <w:t xml:space="preserve">Here, we measured the patterning and distribution of organic matter fluxes within invertebrate food webs across a natural stream temperature gradient (~5–28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among-stream patterns in resource availability and consumer energy demand and increase with temperature across streams. We further expected that increasing temperature would reduce consumer species richness</w:t>
      </w:r>
      <w:r>
        <w:t xml:space="preserve"> </w:t>
      </w:r>
      <w:r>
        <w:t xml:space="preserve">(O’Gorman et al. 2019)</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w:t>
      </w:r>
    </w:p>
    <w:bookmarkEnd w:id="22"/>
    <w:bookmarkStart w:id="31"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2017a)</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2017b,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w:t>
      </w:r>
      <w:r>
        <w:t xml:space="preserve"> </w:t>
      </w:r>
      <w:r>
        <w:t xml:space="preserve">(IGR, 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rPr>
          <w:bCs/>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(e.g.,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r>
                    <m:t>j</m:t>
                  </m:r>
                </m:sub>
              </m:sSub>
            </m:e>
          </m:acc>
          <m:r>
            <m:rPr>
              <m:sty m:val="p"/>
            </m:rPr>
            <m:t>,</m:t>
          </m:r>
          <m:sSub>
            <m:e>
              <m:r>
                <m:t>n</m:t>
              </m:r>
            </m:e>
            <m:sub>
              <m:r>
                <m:t>i</m:t>
              </m:r>
              <m:r>
                <m:t>j</m:t>
              </m:r>
            </m:sub>
          </m:sSub>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Cs/>
          <w:b/>
        </w:rPr>
        <w:t xml:space="preserve">add in</w:t>
      </w:r>
      <w:r>
        <w:rPr>
          <w:bCs/>
          <w:b/>
        </w:rPr>
        <w:t xml:space="preserve"> </w:t>
      </w:r>
      <w:r>
        <w:rPr>
          <w:bCs/>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w:t>
      </w:r>
      <w:r>
        <w:t xml:space="preserve"> </w:t>
      </w:r>
      <w:r>
        <w:t xml:space="preserve">(TBP, 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29"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bookmarkEnd w:id="27"/>
    <w:bookmarkStart w:id="28" w:name="distribution-along-species-trait-axes"/>
    <w:p>
      <w:pPr>
        <w:pStyle w:val="Heading3"/>
      </w:pPr>
      <w:r>
        <w:t xml:space="preserve">Distribution along species’ trait axes</w:t>
      </w:r>
    </w:p>
    <w:p>
      <w:pPr>
        <w:pStyle w:val="FirstParagraph"/>
      </w:pPr>
      <w:r>
        <w:t xml:space="preserve">We were interested in the question of how temperature may select for certain species traits (i.e., body size,</w:t>
      </w:r>
      <w:r>
        <w:t xml:space="preserve"> </w:t>
      </w:r>
      <m:oMath>
        <m:r>
          <m:t>P</m:t>
        </m:r>
        <m:r>
          <m:rPr>
            <m:sty m:val="p"/>
          </m:rPr>
          <m:t>:</m:t>
        </m:r>
        <m:r>
          <m:t>B</m:t>
        </m:r>
      </m:oMath>
      <w:r>
        <w:t xml:space="preserve"> </w:t>
      </w:r>
      <w:r>
        <w:t xml:space="preserve">ratio, population biomass) and therefore OM fluxes would skew towards populations with those traits. To detect this, for all bootstrapped estimates of annual OM flux,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if this outcome was due to random ordering,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energy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portion of each stream community’s feasible set by randomly ordering species and calculating the skewness in the cumulative distribution of annual OM fluxes 100,000 times. The number of random orderings was chosen as a balance between characterizing the relative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energy flux.</w:t>
      </w:r>
    </w:p>
    <w:bookmarkEnd w:id="28"/>
    <w:bookmarkEnd w:id="29"/>
    <w:bookmarkStart w:id="30" w:name="statistical-analyses"/>
    <w:p>
      <w:pPr>
        <w:pStyle w:val="Heading2"/>
      </w:pPr>
      <w:r>
        <w:t xml:space="preserve">Statistical Analyses</w:t>
      </w:r>
    </w:p>
    <w:p>
      <w:pPr>
        <w:pStyle w:val="FirstParagraph"/>
      </w:pPr>
      <w:r>
        <w:t xml:space="preserve">Relationships between mean annual temperature (</w:t>
      </w:r>
      <m:oMath>
        <m:sSup>
          <m:e>
            <m:r>
              <m:t>​</m:t>
            </m:r>
          </m:e>
          <m:sup>
            <m:r>
              <m:rPr>
                <m:sty m:val="p"/>
              </m:rPr>
              <m:t>∘</m:t>
            </m:r>
          </m:sup>
        </m:sSup>
      </m:oMath>
      <w:r>
        <w:t xml:space="preserve">C) and mean community</w:t>
      </w:r>
      <w:r>
        <w:t xml:space="preserve"> </w:t>
      </w:r>
      <w:r>
        <w:rPr>
          <w:iCs/>
          <w:i/>
        </w:rPr>
        <w:t xml:space="preserve">M</w:t>
      </w:r>
      <w:r>
        <w:t xml:space="preserve"> </w:t>
      </w:r>
      <w:r>
        <w:t xml:space="preserve">and</w:t>
      </w:r>
      <w:r>
        <w:t xml:space="preserve"> </w:t>
      </w:r>
      <w:r>
        <w:rPr>
          <w:iCs/>
          <w:i/>
        </w:rPr>
        <w:t xml:space="preserve">P:B</w:t>
      </w:r>
      <w:r>
        <w:t xml:space="preserve"> </w:t>
      </w:r>
      <w:r>
        <w:t xml:space="preserve">were assessed with bootstrapped linear regressions. Here, 1000 values of mean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each stream. For each resampling event,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 We similarly used a bootstrapped beta regression approach to test for relationships between annual stream temperature and the skewness of fluxes,</w:t>
      </w:r>
      <w:r>
        <w:t xml:space="preserve"> </w:t>
      </w:r>
      <m:oMath>
        <m:r>
          <m:t>S</m:t>
        </m:r>
        <m:sSub>
          <m:e>
            <m:r>
              <m:t>k</m:t>
            </m:r>
          </m:e>
          <m:sub>
            <m:r>
              <m:t>f</m:t>
            </m:r>
            <m:r>
              <m:t>l</m:t>
            </m:r>
            <m:r>
              <m:t>u</m:t>
            </m:r>
            <m:r>
              <m:t>x</m:t>
            </m:r>
          </m:sub>
        </m:sSub>
      </m:oMath>
      <w:r>
        <w:t xml:space="preserve">, with</w:t>
      </w:r>
      <w:r>
        <w:t xml:space="preserve"> </w:t>
      </w:r>
      <w:r>
        <w:rPr>
          <w:iCs/>
          <w:i/>
        </w:rPr>
        <w:t xml:space="preserve">M</w:t>
      </w:r>
      <w:r>
        <w:t xml:space="preserve"> </w:t>
      </w:r>
      <w:r>
        <w:t xml:space="preserve">and</w:t>
      </w:r>
      <w:r>
        <w:t xml:space="preserve"> </w:t>
      </w:r>
      <w:r>
        <w:rPr>
          <w:iCs/>
          <w:i/>
        </w:rPr>
        <w:t xml:space="preserve">P:B</w:t>
      </w:r>
      <w:r>
        <w:t xml:space="preserve">. Skewness coefficients exist in the range [-1, 1], therefore we applied a simple transformation,</w:t>
      </w:r>
    </w:p>
    <w:p>
      <w:pPr>
        <w:pStyle w:val="BodyText"/>
      </w:pPr>
      <m:oMathPara>
        <m:oMathParaPr>
          <m:jc m:val="center"/>
        </m:oMathParaPr>
        <m:oMath>
          <m:r>
            <m:rPr>
              <m:sty m:val="p"/>
            </m:rPr>
            <m:t>(</m:t>
          </m:r>
          <m:r>
            <m:t>S</m:t>
          </m:r>
          <m:sSub>
            <m:e>
              <m:r>
                <m:t>k</m:t>
              </m:r>
            </m:e>
            <m:sub>
              <m:r>
                <m:t>f</m:t>
              </m:r>
              <m:r>
                <m:t>l</m:t>
              </m:r>
              <m:r>
                <m:t>u</m:t>
              </m:r>
              <m:r>
                <m:t>x</m:t>
              </m:r>
            </m:sub>
          </m:sSub>
          <m:r>
            <m:rPr>
              <m:sty m:val="p"/>
            </m:rPr>
            <m:t>+</m:t>
          </m:r>
          <m:r>
            <m:t>1</m:t>
          </m:r>
          <m:r>
            <m:rPr>
              <m:sty m:val="p"/>
            </m:rPr>
            <m:t>)</m:t>
          </m:r>
          <m:r>
            <m:rPr>
              <m:sty m:val="p"/>
            </m:rPr>
            <m:t>/</m:t>
          </m:r>
          <m:r>
            <m:t>2</m:t>
          </m:r>
        </m:oMath>
      </m:oMathPara>
    </w:p>
    <w:p>
      <w:pPr>
        <w:pStyle w:val="FirstParagraph"/>
      </w:pPr>
      <w:r>
        <w:t xml:space="preserve">to standardize the values between 0 and 1 to meet the assumptions of the model. Coefficients were back-transformed to estimate effect sizes. To detect changes in</w:t>
      </w:r>
      <w:r>
        <w:t xml:space="preserve"> </w:t>
      </w:r>
      <w:r>
        <w:t xml:space="preserve">‘</w:t>
      </w:r>
      <w:r>
        <w:t xml:space="preserve">random</w:t>
      </w:r>
      <w:r>
        <w:t xml:space="preserve">’</w:t>
      </w:r>
      <w:r>
        <w:t xml:space="preserve"> </w:t>
      </w:r>
      <w:r>
        <w:t xml:space="preserve">vs. non-random assembly, we again used beta regression on estimates of the probability of seeing the empirical</w:t>
      </w:r>
      <w:r>
        <w:t xml:space="preserve"> </w:t>
      </w:r>
      <m:oMath>
        <m:r>
          <m:t>S</m:t>
        </m:r>
        <m:sSub>
          <m:e>
            <m:r>
              <m:t>k</m:t>
            </m:r>
          </m:e>
          <m:sub>
            <m:r>
              <m:t>f</m:t>
            </m:r>
            <m:r>
              <m:t>l</m:t>
            </m:r>
            <m:r>
              <m:t>u</m:t>
            </m:r>
            <m:r>
              <m:t>x</m:t>
            </m:r>
          </m:sub>
        </m:sSub>
      </m:oMath>
      <w:r>
        <w:t xml:space="preserve"> </w:t>
      </w:r>
      <w:r>
        <w:t xml:space="preserve">value or one more extreme based on random ordering of species in the permuted feasible set. Here, values can take the range between 0 and 1 so no transformation was necessary. As necessary, when we observed many values near 0 and 1, we implemented a zero-one inflated beta regressions in brms</w:t>
      </w:r>
      <w:r>
        <w:t xml:space="preserve"> </w:t>
      </w:r>
      <w:r>
        <w:t xml:space="preserve">(Bürkner 2017)</w:t>
      </w:r>
      <w:r>
        <w:t xml:space="preserve"> </w:t>
      </w:r>
      <w:r>
        <w:t xml:space="preserve">to test if the probability of observing the empirical</w:t>
      </w:r>
      <w:r>
        <w:t xml:space="preserve"> </w:t>
      </w:r>
      <m:oMath>
        <m:r>
          <m:t>S</m:t>
        </m:r>
        <m:sSub>
          <m:e>
            <m:r>
              <m:t>k</m:t>
            </m:r>
          </m:e>
          <m:sub>
            <m:r>
              <m:t>f</m:t>
            </m:r>
            <m:r>
              <m:t>l</m:t>
            </m:r>
            <m:r>
              <m:t>u</m:t>
            </m:r>
            <m:r>
              <m:t>x</m:t>
            </m:r>
          </m:sub>
        </m:sSub>
      </m:oMath>
      <w:r>
        <w:t xml:space="preserve"> </w:t>
      </w:r>
      <w:r>
        <w:t xml:space="preserve">was associated with mean annual temperature across streams.</w:t>
      </w:r>
    </w:p>
    <w:bookmarkEnd w:id="30"/>
    <w:bookmarkEnd w:id="31"/>
    <w:bookmarkStart w:id="40" w:name="results"/>
    <w:p>
      <w:pPr>
        <w:pStyle w:val="Heading1"/>
      </w:pPr>
      <w:r>
        <w:t xml:space="preserve">Results</w:t>
      </w:r>
    </w:p>
    <w:bookmarkStart w:id="32"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 [125.6–236.6]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SX). Diets composition among all streams were dominated by diatoms (44.1% [0–75.5]), amorphous detritus (17.4% [0–32.3]), and green algae (13.2% [0–42.6]).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2"/>
    <w:bookmarkStart w:id="34" w:name="evenness-of-om-fluxes-within-streams"/>
    <w:p>
      <w:pPr>
        <w:pStyle w:val="Heading2"/>
      </w:pPr>
      <w:r>
        <w:t xml:space="preserve">Evenness of OM fluxes within streams</w:t>
      </w:r>
    </w:p>
    <w:p>
      <w:pPr>
        <w:pStyle w:val="FirstParagraph"/>
      </w:pPr>
      <w:r>
        <w:t xml:space="preserve">Generally, OM fluxes were distributed unevenly among consumers, however, the extent varied among streams (Figure 1; Figure S1). Gini inequality coefficients ranged from 0.07 [0.05 – 0.1] to 0.27 [0.24 – 0.31]; Table 1). Differences in inequality were partly attributed to variation in consumer species richness among streams which ranged from 14 to 34 consumers. Yet, even after accounting for differences in consumer richness, patterns of material fluxes were still unevenly distributed among consumers (Normalized Gini coefficient: 0.04 [0.02 – 0.07] to 0.25 [0.21 – 0.28]; Table 1).</w:t>
      </w:r>
    </w:p>
    <w:p>
      <w:pPr>
        <w:pStyle w:val="TableCaption"/>
      </w:pPr>
      <w:r>
        <w:t xml:space="preserve">Table 1. Evenness of energy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energy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( 0.098 - 0.21 )</w:t>
            </w:r>
          </w:p>
        </w:tc>
        <w:tc>
          <w:p>
            <w:pPr>
              <w:pStyle w:val="Compact"/>
              <w:jc w:val="right"/>
            </w:pPr>
            <w:r>
              <w:t xml:space="preserve">0.1 ( 0.059 - 0.17 )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0.069 ( 0.054 - 0.098 )</w:t>
            </w:r>
          </w:p>
        </w:tc>
        <w:tc>
          <w:p>
            <w:pPr>
              <w:pStyle w:val="Compact"/>
              <w:jc w:val="right"/>
            </w:pPr>
            <w:r>
              <w:t xml:space="preserve">0.04 ( 0.024 - 0.069 )</w:t>
            </w:r>
          </w:p>
        </w:tc>
      </w:tr>
    </w:tbl>
    <w:p>
      <w:pPr>
        <w:pStyle w:val="BodyText"/>
      </w:pPr>
      <w:r>
        <w:t xml:space="preserve">Variation in the relative distribution of OM fluxes among consumers corresponded to different patterns of dominance across streams (Figure 1). For example, in an absolute sense, ~85% of total flux was contributed by 2 to 11 species. Relatively, this flux was attributed by 3% to 29% of the species assemblages within streams. Differences in dominance were unrelated to temperature, however, species dominance in relation to population traits exhibited important differences along the temperature gradient.</w:t>
      </w:r>
    </w:p>
    <w:p>
      <w:pPr>
        <w:pStyle w:val="CaptionedFigure"/>
      </w:pPr>
      <w:r>
        <w:drawing>
          <wp:inline>
            <wp:extent cx="4582182" cy="4582182"/>
            <wp:effectExtent b="0" l="0" r="0" t="0"/>
            <wp:docPr descr="Figure 1. Rank ordering of annual population energy flux loge(mg m-2 y-1) in consumer communities across the temperature gradient."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3"/>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1. Rank ordering of annual population energy flux log</w:t>
      </w:r>
      <w:r>
        <w:rPr>
          <w:vertAlign w:val="subscript"/>
        </w:rPr>
        <w:t xml:space="preserve">e</w:t>
      </w:r>
      <w:r>
        <w:t xml:space="preserve">(mg m</w:t>
      </w:r>
      <w:r>
        <w:rPr>
          <w:vertAlign w:val="superscript"/>
        </w:rPr>
        <w:t xml:space="preserve">-2</w:t>
      </w:r>
      <w:r>
        <w:t xml:space="preserve"> </w:t>
      </w:r>
      <w:r>
        <w:t xml:space="preserve">y</w:t>
      </w:r>
      <w:r>
        <w:rPr>
          <w:vertAlign w:val="superscript"/>
        </w:rPr>
        <w:t xml:space="preserve">-1</w:t>
      </w:r>
      <w:r>
        <w:t xml:space="preserve">) in consumer communities across the temperature gradient.</w:t>
      </w:r>
    </w:p>
    <w:bookmarkEnd w:id="34"/>
    <w:bookmarkStart w:id="39"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Cs/>
          <w:i/>
        </w:rPr>
        <w:t xml:space="preserve">P:B</w:t>
      </w:r>
      <w:r>
        <w:t xml:space="preserve">) among and within streams. Across streams, mean body size of taxa ranged from 0.13 to 2.66 mg ind</w:t>
      </w:r>
      <w:r>
        <w:rPr>
          <w:vertAlign w:val="superscript"/>
        </w:rPr>
        <w:t xml:space="preserve">-1</w:t>
      </w:r>
      <w:r>
        <w:t xml:space="preserve"> </w:t>
      </w:r>
      <w:r>
        <w:t xml:space="preserve">and mean annual P:B ranged from 4.23 to 31.67 (Figure 2). 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-9.5% (95% PI, -11.1% – -8%)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18.8% (95% PI, 17% – 20.8%) for each 1</w:t>
      </w:r>
      <m:oMath>
        <m:sSup>
          <m:e>
            <m:r>
              <m:t>​</m:t>
            </m:r>
          </m:e>
          <m:sup>
            <m:r>
              <m:rPr>
                <m:sty m:val="p"/>
              </m:rPr>
              <m:t>∘</m:t>
            </m:r>
          </m:sup>
        </m:sSup>
      </m:oMath>
      <w:r>
        <w:t xml:space="preserve">C in mean annual stream temperature. Energy fluxes within consumer communities were skewed towards larger body sizes (positive skew), towards smaller body sizes (negative skew), or neutrally in regards to body size among streams, with skew estimates with body size (</w:t>
      </w:r>
      <w:r>
        <w:rPr>
          <w:iCs/>
          <w:i/>
        </w:rPr>
        <w:t xml:space="preserve">M</w:t>
      </w:r>
      <w:r>
        <w:t xml:space="preserve">) ranging from 0.13 to -0.84 (Figure 3, Table 2). Similarly, skew in fluxes towards high turnover taxa varied among streams ranging from 0.25 to 1 (Figure 3, Table 2).</w:t>
      </w:r>
    </w:p>
    <w:p>
      <w:pPr>
        <w:pStyle w:val="CaptionedFigure"/>
      </w:pPr>
      <w:r>
        <w:drawing>
          <wp:inline>
            <wp:extent cx="4582182" cy="4582182"/>
            <wp:effectExtent b="0" l="0" r="0" t="0"/>
            <wp:docPr descr="Figure 2." title="" id="1" name="Picture"/>
            <a:graphic>
              <a:graphicData uri="http://schemas.openxmlformats.org/drawingml/2006/picture">
                <pic:pic>
                  <pic:nvPicPr>
                    <pic:cNvPr descr="ms_files/figure-docx/trait%20hist-1.png" id="0" name="Picture"/>
                    <pic:cNvPicPr>
                      <a:picLocks noChangeArrowheads="1" noChangeAspect="1"/>
                    </pic:cNvPicPr>
                  </pic:nvPicPr>
                  <pic:blipFill>
                    <a:blip r:embed="rId35"/>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 skew of energy fluxes towards populations with smaller/larger body sizes showed a small, yet systematic association with stream temperature (Figure 4). The median effect size of increasing temperature was to shift the skewness coefficient,</w:t>
      </w:r>
      <w:r>
        <w:t xml:space="preserve"> </w:t>
      </w:r>
      <m:oMath>
        <m:r>
          <m:t>S</m:t>
        </m:r>
        <m:sSub>
          <m:e>
            <m:r>
              <m:t>k</m:t>
            </m:r>
          </m:e>
          <m:sub>
            <m:r>
              <m:t>f</m:t>
            </m:r>
            <m:r>
              <m:t>l</m:t>
            </m:r>
            <m:r>
              <m:t>u</m:t>
            </m:r>
            <m:r>
              <m:t>x</m:t>
            </m:r>
          </m:sub>
        </m:sSub>
      </m:oMath>
      <w:r>
        <w:t xml:space="preserve">, -0.02 units (-0.02—0.02 95% PI) for every 1</w:t>
      </w:r>
      <m:oMath>
        <m:sSup>
          <m:e>
            <m:r>
              <m:t>​</m:t>
            </m:r>
          </m:e>
          <m:sup>
            <m:r>
              <m:rPr>
                <m:sty m:val="p"/>
              </m:rPr>
              <m:t>∘</m:t>
            </m:r>
          </m:sup>
        </m:sSup>
      </m:oMath>
      <w:r>
        <w:t xml:space="preserve">C increase. Similarly, energy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0.02 (0.02–0.02 95% PI; Figure 4).</w:t>
      </w:r>
    </w:p>
    <w:p>
      <w:pPr>
        <w:pStyle w:val="CaptionedFigure"/>
      </w:pPr>
      <w:r>
        <w:drawing>
          <wp:inline>
            <wp:extent cx="4582182" cy="4582182"/>
            <wp:effectExtent b="0" l="0" r="0" t="0"/>
            <wp:docPr descr="Figure 3."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6"/>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energy fluxes. The probability of observing a similar or more extreme skew of within stream OM fluxes in relation to species body size ranged from 0.34 (0.19–0.56 95% PI) to 0.79 (0.07–0.95 95% PI). Similarly, the probability of a more extremely skewed distribution in relation to population</w:t>
      </w:r>
      <w:r>
        <w:t xml:space="preserve"> </w:t>
      </w:r>
      <w:r>
        <w:rPr>
          <w:iCs/>
          <w:i/>
        </w:rPr>
        <w:t xml:space="preserve">P:B</w:t>
      </w:r>
      <w:r>
        <w:t xml:space="preserve"> </w:t>
      </w:r>
      <w:r>
        <w:t xml:space="preserve">ranged from 0.21 (0.08 – 0.28 95% PI) to 0.75 (0.18 – 0.94 95% PI). The probability that energy fluxes were organized randomly or non-randomly in regards to body size showed a 1.4% (1.1% – 1.7% 95% PI) change with 1</w:t>
      </w:r>
      <m:oMath>
        <m:sSup>
          <m:e>
            <m:r>
              <m:t>​</m:t>
            </m:r>
          </m:e>
          <m:sup>
            <m:r>
              <m:rPr>
                <m:sty m:val="p"/>
              </m:rPr>
              <m:t>∘</m:t>
            </m:r>
          </m:sup>
        </m:sSup>
      </m:oMath>
      <w:r>
        <w:t xml:space="preserve">C change in temperature (Figure 5 top). Further, there was a trend towards a more structured energy flux distribution with regard to population</w:t>
      </w:r>
      <w:r>
        <w:t xml:space="preserve"> </w:t>
      </w:r>
      <w:r>
        <w:rPr>
          <w:iCs/>
          <w:i/>
        </w:rPr>
        <w:t xml:space="preserve">P:B</w:t>
      </w:r>
      <w:r>
        <w:t xml:space="preserve"> </w:t>
      </w:r>
      <w:r>
        <w:t xml:space="preserve">at higher temperatures. The probability of observing such skewed energy fluxes randomly became less likely with temperatures, such that the probability of random ordering decreased -2.7% (-3.1% – -2.2% 95% PI) for every 1</w:t>
      </w:r>
      <m:oMath>
        <m:sSup>
          <m:e>
            <m:r>
              <m:t>​</m:t>
            </m:r>
          </m:e>
          <m:sup>
            <m:r>
              <m:rPr>
                <m:sty m:val="p"/>
              </m:rPr>
              <m:t>∘</m:t>
            </m:r>
          </m:sup>
        </m:sSup>
      </m:oMath>
      <w:r>
        <w:t xml:space="preserve">C increase.</w:t>
      </w:r>
    </w:p>
    <w:p>
      <w:pPr>
        <w:pStyle w:val="CaptionedFigure"/>
      </w:pPr>
      <w:r>
        <w:drawing>
          <wp:inline>
            <wp:extent cx="4620126" cy="3696101"/>
            <wp:effectExtent b="0" l="0" r="0" t="0"/>
            <wp:docPr descr="Figure 4. Probability distribution of empirical Skflux measurements compared to random species ordering."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Probability distribution of empirical Sk</w:t>
      </w:r>
      <w:r>
        <w:rPr>
          <w:vertAlign w:val="subscript"/>
        </w:rPr>
        <w:t xml:space="preserve">flux</w:t>
      </w:r>
      <w:r>
        <w:t xml:space="preserve"> </w:t>
      </w:r>
      <w:r>
        <w:t xml:space="preserve">measurements compared to random species ordering.</w:t>
      </w:r>
    </w:p>
    <w:p>
      <w:pPr>
        <w:pStyle w:val="CaptionedFigure"/>
      </w:pPr>
      <w:r>
        <w:drawing>
          <wp:inline>
            <wp:extent cx="5943600" cy="3657600"/>
            <wp:effectExtent b="0" l="0" r="0" t="0"/>
            <wp:docPr descr="Figure 5. Empirical flux measurements (left column), the probability of observing a more Skflux value more extreme (middle), and the estimated effect of increasing temperature on the probability of random ordering (right column) for energy flux distributions in relation to body size (top) and population P:B (bottom)."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5. Empirical flux measurements (left column), the probability of observing a more Sk</w:t>
      </w:r>
      <w:r>
        <w:rPr>
          <w:vertAlign w:val="subscript"/>
        </w:rPr>
        <w:t xml:space="preserve">flux</w:t>
      </w:r>
      <w:r>
        <w:t xml:space="preserve"> </w:t>
      </w:r>
      <w:r>
        <w:t xml:space="preserve">value more extreme (middle), and the estimated effect of increasing temperature on the probability of random ordering (right column) for energy flux distributions in relation to body size (top) and population</w:t>
      </w:r>
      <w:r>
        <w:t xml:space="preserve"> </w:t>
      </w:r>
      <w:r>
        <w:rPr>
          <w:iCs/>
          <w:i/>
        </w:rPr>
        <w:t xml:space="preserve">P:B</w:t>
      </w:r>
      <w:r>
        <w:t xml:space="preserve"> </w:t>
      </w:r>
      <w:r>
        <w:t xml:space="preserve">(bottom).</w:t>
      </w:r>
    </w:p>
    <w:bookmarkEnd w:id="39"/>
    <w:bookmarkEnd w:id="40"/>
    <w:bookmarkStart w:id="41" w:name="discussion"/>
    <w:p>
      <w:pPr>
        <w:pStyle w:val="Heading1"/>
      </w:pPr>
      <w:r>
        <w:t xml:space="preserve">Discussion</w:t>
      </w:r>
    </w:p>
    <w:p>
      <w:pPr>
        <w:pStyle w:val="FirstParagraph"/>
      </w:pPr>
      <w:r>
        <w:t xml:space="preserve">Rising global temperatures are altering the pathways of energy flow across and within ecosystems with potential consequences for the services they provide. Here, we document shifting energy flow pathways across a wide natural temperature gradient to show that while increasing mean annual temperatures led to expected reductions in mean community body size and increases in mean biomass turnover rates across stream consumer communities, increasing temperatures also systematically skewed energy fluxes</w:t>
      </w:r>
      <w:r>
        <w:t xml:space="preserve"> </w:t>
      </w:r>
      <w:r>
        <w:rPr>
          <w:iCs/>
          <w:i/>
        </w:rPr>
        <w:t xml:space="preserve">within</w:t>
      </w:r>
      <w:r>
        <w:t xml:space="preserve"> </w:t>
      </w:r>
      <w:r>
        <w:t xml:space="preserve">communities. Here, energy fluxes were skewed towards smaller, quick turnover populations at warmer temperatures and showed increasingly non-random organization moving from cooler to warmer temperatures. but this trend reversed at the warmest temperatures. The tendency for energy fluxes to be dominated by relatively higher turnover populations at warmer temperatures and this organization to be increasingly non-random, suggests warming may speed up energy fluxes through ecosystems in both an absolute and relative sense.</w:t>
      </w:r>
    </w:p>
    <w:p>
      <w:pPr>
        <w:pStyle w:val="BodyText"/>
      </w:pPr>
      <w:r>
        <w:t xml:space="preserve">Increasing global temperatures</w:t>
      </w:r>
    </w:p>
    <w:p>
      <w:pPr>
        <w:pStyle w:val="BodyText"/>
      </w:pPr>
      <w:r>
        <w:t xml:space="preserve">(Diaz et al. 2021)</w:t>
      </w:r>
      <w:r>
        <w:t xml:space="preserve"> </w:t>
      </w:r>
      <w:r>
        <w:t xml:space="preserve">SAD are more uneven than their statistical background</w:t>
      </w:r>
      <w:r>
        <w:t xml:space="preserve"> </w:t>
      </w:r>
      <w:r>
        <w:t xml:space="preserve">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2017b, Zhang et al. 2017)</w:t>
      </w:r>
      <w:r>
        <w:t xml:space="preserve">, especially at higher levels of organizations such as communities and food webs</w:t>
      </w:r>
      <w:r>
        <w:t xml:space="preserve"> </w:t>
      </w:r>
      <w:r>
        <w:t xml:space="preserve">(Walther et al. 2002, Woodward et al. 2010)</w:t>
      </w:r>
      <w:r>
        <w:t xml:space="preserve">. Yet, identifying general effects of temperature is a necessary step towards understanding how future warming may alter the functioning of ecosystems and the services they provide.</w:t>
      </w:r>
    </w:p>
    <w:bookmarkEnd w:id="41"/>
    <w:bookmarkStart w:id="42"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2"/>
    <w:bookmarkStart w:id="99" w:name="references"/>
    <w:p>
      <w:pPr>
        <w:pStyle w:val="Heading1"/>
      </w:pPr>
      <w:r>
        <w:t xml:space="preserve">References</w:t>
      </w:r>
    </w:p>
    <w:bookmarkStart w:id="98" w:name="refs"/>
    <w:bookmarkStart w:id="43" w:name="ref-andersen2013"/>
    <w:p>
      <w:pPr>
        <w:pStyle w:val="Bibliography"/>
      </w:pPr>
      <w:r>
        <w:t xml:space="preserve">Andersen, T., P. S. Cranston, and J. H. Epler. 2013. Chironomidae of the</w:t>
      </w:r>
      <w:r>
        <w:t xml:space="preserve"> </w:t>
      </w:r>
      <w:r>
        <w:t xml:space="preserve">Holarctic</w:t>
      </w:r>
      <w:r>
        <w:t xml:space="preserve"> </w:t>
      </w:r>
      <w:r>
        <w:t xml:space="preserve">region: Keys 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3"/>
    <w:bookmarkStart w:id="44"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4"/>
    <w:bookmarkStart w:id="45"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5"/>
    <w:bookmarkStart w:id="46" w:name="ref-barnes2018"/>
    <w:p>
      <w:pPr>
        <w:pStyle w:val="Bibliography"/>
      </w:pPr>
      <w:r>
        <w:t xml:space="preserve">Barnes, A. D., M. Jochum, J. S. Lefcheck, N. Eisenhauer, C. Scherber, M. I. O’Connor, P. de Ruiter, and U. Brose. 2018. Energy</w:t>
      </w:r>
      <w:r>
        <w:t xml:space="preserve"> </w:t>
      </w:r>
      <w:r>
        <w:t xml:space="preserve">Flux</w:t>
      </w:r>
      <w:r>
        <w:t xml:space="preserve">: The</w:t>
      </w:r>
      <w:r>
        <w:t xml:space="preserve"> </w:t>
      </w:r>
      <w:r>
        <w:t xml:space="preserve">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6"/>
    <w:bookmarkStart w:id="47" w:name="ref-belgorodski2017"/>
    <w:p>
      <w:pPr>
        <w:pStyle w:val="Bibliography"/>
      </w:pPr>
      <w:r>
        <w:t xml:space="preserve">Belgorodski, N., M. Greiner, K. Tolksdorf, and K. Schueller. 2017.</w:t>
      </w:r>
      <w:r>
        <w:t xml:space="preserve"> </w:t>
      </w:r>
      <w:r>
        <w:t xml:space="preserve">rriskDistributions</w:t>
      </w:r>
      <w:r>
        <w:t xml:space="preserve">: Fitting</w:t>
      </w:r>
      <w:r>
        <w:t xml:space="preserve"> </w:t>
      </w:r>
      <w:r>
        <w:t xml:space="preserve">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7"/>
    <w:bookmarkStart w:id="48"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8"/>
    <w:bookmarkStart w:id="49"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9"/>
    <w:bookmarkStart w:id="50" w:name="ref-benke1980"/>
    <w:p>
      <w:pPr>
        <w:pStyle w:val="Bibliography"/>
      </w:pPr>
      <w:r>
        <w:t xml:space="preserve">Benke, A. C., and J. B. Wallace. 1980. Trophic basis of production among net-spinning caddisflies in a southern appalachain stream. Ecology 61:108–118.</w:t>
      </w:r>
    </w:p>
    <w:bookmarkEnd w:id="50"/>
    <w:bookmarkStart w:id="51"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 Implications for</w:t>
      </w:r>
      <w:r>
        <w:t xml:space="preserve"> </w:t>
      </w:r>
      <w:r>
        <w:t xml:space="preserve">Food Web Analysis</w:t>
      </w:r>
      <w:r>
        <w:t xml:space="preserve">. Ecology 78:1132–1145.</w:t>
      </w:r>
    </w:p>
    <w:bookmarkEnd w:id="51"/>
    <w:bookmarkStart w:id="52" w:name="ref-bideault2019"/>
    <w:p>
      <w:pPr>
        <w:pStyle w:val="Bibliography"/>
      </w:pPr>
      <w:r>
        <w:t xml:space="preserve">Bideault, A., M. Loreau, and D. Gravel. 2019. Temperature</w:t>
      </w:r>
      <w:r>
        <w:t xml:space="preserve"> </w:t>
      </w:r>
      <w:r>
        <w:t xml:space="preserve">Modifies Consumer</w:t>
      </w:r>
      <w:r>
        <w:t xml:space="preserve">-</w:t>
      </w:r>
      <w:r>
        <w:t xml:space="preserve">Resource Interaction Strength Through Its Effects</w:t>
      </w:r>
      <w:r>
        <w:t xml:space="preserve"> </w:t>
      </w:r>
      <w:r>
        <w:t xml:space="preserve">on</w:t>
      </w:r>
      <w:r>
        <w:t xml:space="preserve"> </w:t>
      </w:r>
      <w:r>
        <w:t xml:space="preserve">Biological Rates</w:t>
      </w:r>
      <w:r>
        <w:t xml:space="preserve"> </w:t>
      </w:r>
      <w:r>
        <w:t xml:space="preserve">and</w:t>
      </w:r>
      <w:r>
        <w:t xml:space="preserve"> </w:t>
      </w:r>
      <w:r>
        <w:t xml:space="preserve">Body Mass</w:t>
      </w:r>
      <w:r>
        <w:t xml:space="preserve">. Frontiers in Ecology and Evolution 7.</w:t>
      </w:r>
    </w:p>
    <w:bookmarkEnd w:id="52"/>
    <w:bookmarkStart w:id="53"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3"/>
    <w:bookmarkStart w:id="54"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4"/>
    <w:bookmarkStart w:id="55" w:name="ref-burkner2017"/>
    <w:p>
      <w:pPr>
        <w:pStyle w:val="Bibliography"/>
      </w:pPr>
      <w:r>
        <w:t xml:space="preserve">Bürkner, P.-C. 2017. Brms: An</w:t>
      </w:r>
      <w:r>
        <w:t xml:space="preserve"> </w:t>
      </w:r>
      <w:r>
        <w:t xml:space="preserve">R Package</w:t>
      </w:r>
      <w:r>
        <w:t xml:space="preserve"> </w:t>
      </w:r>
      <w:r>
        <w:t xml:space="preserve">for</w:t>
      </w:r>
      <w:r>
        <w:t xml:space="preserve"> </w:t>
      </w:r>
      <w:r>
        <w:t xml:space="preserve">Bayesian Multilevel Models Using Stan</w:t>
      </w:r>
      <w:r>
        <w:t xml:space="preserve">. Journal of Statistical Software 80:1–28.</w:t>
      </w:r>
    </w:p>
    <w:bookmarkEnd w:id="55"/>
    <w:bookmarkStart w:id="56" w:name="ref-chao2019"/>
    <w:p>
      <w:pPr>
        <w:pStyle w:val="Bibliography"/>
      </w:pPr>
      <w:r>
        <w:t xml:space="preserve">Chao, A., and C. Ricotta. 2019. Quantifying evenness and linking it to diversity, beta diversity, and similarity. Ecology 100:e02852.</w:t>
      </w:r>
    </w:p>
    <w:bookmarkEnd w:id="56"/>
    <w:bookmarkStart w:id="57"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57"/>
    <w:bookmarkStart w:id="58"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8"/>
    <w:bookmarkStart w:id="59"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9"/>
    <w:bookmarkStart w:id="60"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60"/>
    <w:bookmarkStart w:id="61"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61"/>
    <w:bookmarkStart w:id="62"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62"/>
    <w:bookmarkStart w:id="63" w:name="ref-diaz2021a"/>
    <w:p>
      <w:pPr>
        <w:pStyle w:val="Bibliography"/>
      </w:pPr>
      <w:r>
        <w:t xml:space="preserve">Diaz, R. M., H. Ye, and S. K. M. Ernest. 2021. Empirical abundance distributions are more uneven than expected given their statistical baseline. Ecology Letters n/a.</w:t>
      </w:r>
    </w:p>
    <w:bookmarkEnd w:id="63"/>
    <w:bookmarkStart w:id="64"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 A</w:t>
      </w:r>
      <w:r>
        <w:t xml:space="preserve"> </w:t>
      </w:r>
      <w:r>
        <w:t xml:space="preserve">Flexible Tool</w:t>
      </w:r>
      <w:r>
        <w:t xml:space="preserve"> </w:t>
      </w:r>
      <w:r>
        <w:t xml:space="preserve">for</w:t>
      </w:r>
      <w:r>
        <w:t xml:space="preserve"> </w:t>
      </w:r>
      <w:r>
        <w:t xml:space="preserve">Ecologists</w:t>
      </w:r>
      <w:r>
        <w:t xml:space="preserve">. PLOS ONE 6:e26785.</w:t>
      </w:r>
    </w:p>
    <w:bookmarkEnd w:id="64"/>
    <w:bookmarkStart w:id="65"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65"/>
    <w:bookmarkStart w:id="66" w:name="ref-gibert2019"/>
    <w:p>
      <w:pPr>
        <w:pStyle w:val="Bibliography"/>
      </w:pPr>
      <w:r>
        <w:t xml:space="preserve">Gibert, J. P. 2019. Temperature directly and indirectly influences food web structure. Scientific Reports 9:5312.</w:t>
      </w:r>
    </w:p>
    <w:bookmarkEnd w:id="66"/>
    <w:bookmarkStart w:id="67" w:name="ref-gibert2017"/>
    <w:p>
      <w:pPr>
        <w:pStyle w:val="Bibliography"/>
      </w:pPr>
      <w:r>
        <w:t xml:space="preserve">Gibert, J. P., and J. P. DeLong. 2017. Phenotypic variation explains food web structural patterns. Proceedings of the National Academy of Sciences 114:11187–11192.</w:t>
      </w:r>
    </w:p>
    <w:bookmarkEnd w:id="67"/>
    <w:bookmarkStart w:id="68" w:name="ref-gillooly2001"/>
    <w:p>
      <w:pPr>
        <w:pStyle w:val="Bibliography"/>
      </w:pPr>
      <w:r>
        <w:t xml:space="preserve">Gillooly, J. F., J. H. Brown, G. B. West, V. M. Savage, and E. L. Charnov. 2001. Effects of size and temperature on metabolic rate. Science (New York, N.Y.) 293:2248–2251.</w:t>
      </w:r>
    </w:p>
    <w:bookmarkEnd w:id="68"/>
    <w:bookmarkStart w:id="69"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9"/>
    <w:bookmarkStart w:id="70" w:name="ref-haegeman2008"/>
    <w:p>
      <w:pPr>
        <w:pStyle w:val="Bibliography"/>
      </w:pPr>
      <w:r>
        <w:t xml:space="preserve">Haegeman, B., and M. Loreau. 2008. Limitations of entropy maximization in ecology. Oikos 117:1700–1710.</w:t>
      </w:r>
    </w:p>
    <w:bookmarkEnd w:id="70"/>
    <w:bookmarkStart w:id="71"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71"/>
    <w:bookmarkStart w:id="72"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72"/>
    <w:bookmarkStart w:id="73"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 Limnology and Oceanography 31:216–221.</w:t>
      </w:r>
    </w:p>
    <w:bookmarkEnd w:id="73"/>
    <w:bookmarkStart w:id="74"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74"/>
    <w:bookmarkStart w:id="75"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75"/>
    <w:bookmarkStart w:id="76"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76"/>
    <w:bookmarkStart w:id="77" w:name="ref-mccann1998"/>
    <w:p>
      <w:pPr>
        <w:pStyle w:val="Bibliography"/>
      </w:pPr>
      <w:r>
        <w:t xml:space="preserve">McCann, K., A. Hastings, and G. R. Huxel. 1998. Weak trophic interactions and the balance of nature. Nature 395:794–798.</w:t>
      </w:r>
    </w:p>
    <w:bookmarkEnd w:id="77"/>
    <w:bookmarkStart w:id="7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78"/>
    <w:bookmarkStart w:id="79" w:name="ref-nelson2017a"/>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79"/>
    <w:bookmarkStart w:id="80" w:name="ref-nelson2017"/>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80"/>
    <w:bookmarkStart w:id="81" w:name="ref-nelson2020"/>
    <w:p>
      <w:pPr>
        <w:pStyle w:val="Bibliography"/>
      </w:pPr>
      <w:r>
        <w:t xml:space="preserve">Nelson, D., J. P. Benstead, A. D. Huryn, W. F. Cross, J. M. Hood, P. W. Johnson, J. R. Junker, G. M. Gíslason, and J. S. Ólafsson. 2020. Thermal niche diversity and trophic redundancy drive neutral effects of warming on energy flux through a stream food web. Ecology.</w:t>
      </w:r>
    </w:p>
    <w:bookmarkEnd w:id="81"/>
    <w:bookmarkStart w:id="82"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82"/>
    <w:bookmarkStart w:id="83"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83"/>
    <w:bookmarkStart w:id="84" w:name="ref-ogorman2019"/>
    <w:p>
      <w:pPr>
        <w:pStyle w:val="Bibliography"/>
      </w:pPr>
      <w:r>
        <w:t xml:space="preserve">O’Gorman, E. J., O. L. Petchey, K. J. Faulkner, B. Gallo, T. A. C. Gordon, J. Neto-Cerejeira, J. S. Ólafsson, D. E. Pichler, M. S. A. Thompson, and G. Woodward. 2019. A simple model predicts how warming simplifies wild food webs. Nature Climate Change:1.</w:t>
      </w:r>
    </w:p>
    <w:bookmarkEnd w:id="84"/>
    <w:bookmarkStart w:id="85"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85"/>
    <w:bookmarkStart w:id="86"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86"/>
    <w:bookmarkStart w:id="87"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87"/>
    <w:bookmarkStart w:id="88" w:name="ref-root2003"/>
    <w:p>
      <w:pPr>
        <w:pStyle w:val="Bibliography"/>
      </w:pPr>
      <w:r>
        <w:t xml:space="preserve">Root, T. L., J. T. Price, K. R. Hall, S. H. Schneider, C. Rosenzweig, and J. A. Pounds. 2003. Fingerprints of global warming on wild animals and plants. Nature 421:57–60.</w:t>
      </w:r>
    </w:p>
    <w:bookmarkEnd w:id="88"/>
    <w:bookmarkStart w:id="89" w:name="ref-rosi-marshall2016"/>
    <w:p>
      <w:pPr>
        <w:pStyle w:val="Bibliography"/>
      </w:pPr>
      <w:r>
        <w:t xml:space="preserve">Rosi-Marshall, E. J., H. A. Wellard Kelly, R. O. Hall, and K. A. Vallis. 2016. Methods for quantifying aquatic macroinvertebrate diets. Freshwater Science 35:229–236.</w:t>
      </w:r>
    </w:p>
    <w:bookmarkEnd w:id="89"/>
    <w:bookmarkStart w:id="90"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90"/>
    <w:bookmarkStart w:id="91" w:name="ref-solomon1975"/>
    <w:p>
      <w:pPr>
        <w:pStyle w:val="Bibliography"/>
      </w:pPr>
      <w:r>
        <w:t xml:space="preserve">Solomon, D. L. 1975. A comparative approach to species diversity:7.</w:t>
      </w:r>
    </w:p>
    <w:bookmarkEnd w:id="91"/>
    <w:bookmarkStart w:id="92"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92"/>
    <w:bookmarkStart w:id="93" w:name="ref-walther2002"/>
    <w:p>
      <w:pPr>
        <w:pStyle w:val="Bibliography"/>
      </w:pPr>
      <w:r>
        <w:t xml:space="preserve">Walther, G.-R., E. Post, P. Convey, A. Menzel, C. Parmesan, T. J. C. Beebee, J.-M. Fromentin, O. Hoegh-Guldberg, and F. Bairlein. 2002. Ecological responses to recent climate change. Nature 416:389–395.</w:t>
      </w:r>
    </w:p>
    <w:bookmarkEnd w:id="93"/>
    <w:bookmarkStart w:id="94"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94"/>
    <w:bookmarkStart w:id="95"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95"/>
    <w:bookmarkStart w:id="96"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96"/>
    <w:bookmarkStart w:id="97" w:name="ref-zhang2017"/>
    <w:p>
      <w:pPr>
        <w:pStyle w:val="Bibliography"/>
      </w:pPr>
      <w:r>
        <w:t xml:space="preserve">Zhang, L., D. Takahashi, M. Hartvig, and K. H. Andersen. 2017. Food-web dynamics under climate change. Proceedings of the Royal Society B: Biological Sciences 284:20171772.</w:t>
      </w:r>
    </w:p>
    <w:bookmarkEnd w:id="97"/>
    <w:bookmarkEnd w:id="98"/>
    <w:bookmarkEnd w:id="99"/>
    <w:bookmarkStart w:id="103" w:name="appendix"/>
    <w:p>
      <w:pPr>
        <w:pStyle w:val="Heading1"/>
      </w:pPr>
      <w:r>
        <w:t xml:space="preserve">Appendix</w:t>
      </w:r>
    </w:p>
    <w:p>
      <w:pPr>
        <w:pStyle w:val="CaptionedFigure"/>
      </w:pPr>
      <w:r>
        <w:drawing>
          <wp:inline>
            <wp:extent cx="4582182" cy="3665746"/>
            <wp:effectExtent b="0" l="0" r="0" t="0"/>
            <wp:docPr descr="Figure S1. Modeled diet proportions of consumer communities across the temperature gradient." title="" id="1" name="Picture"/>
            <a:graphic>
              <a:graphicData uri="http://schemas.openxmlformats.org/drawingml/2006/picture">
                <pic:pic>
                  <pic:nvPicPr>
                    <pic:cNvPr descr="ms_files/figure-docx/diet%20figure-1.png" id="0" name="Picture"/>
                    <pic:cNvPicPr>
                      <a:picLocks noChangeArrowheads="1" noChangeAspect="1"/>
                    </pic:cNvPicPr>
                  </pic:nvPicPr>
                  <pic:blipFill>
                    <a:blip r:embed="rId10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Figure S1. Modeled diet proportions of consumer communities across the temperature gradient.</w:t>
      </w:r>
    </w:p>
    <w:p>
      <w:pPr>
        <w:pStyle w:val="CaptionedFigure"/>
      </w:pPr>
      <w:r>
        <w:drawing>
          <wp:inline>
            <wp:extent cx="4583458" cy="3666766"/>
            <wp:effectExtent b="0" l="0" r="0" t="0"/>
            <wp:docPr descr="Figure S2. Lorenz plot of relative community flux by species in ascending order of annual population organic matter flux (mg AFDM m-2 y-1)" title="" id="1" name="Picture"/>
            <a:graphic>
              <a:graphicData uri="http://schemas.openxmlformats.org/drawingml/2006/picture">
                <pic:pic>
                  <pic:nvPicPr>
                    <pic:cNvPr descr="ms_files/figure-docx/raw%20lorenz-1.png" id="0" name="Picture"/>
                    <pic:cNvPicPr>
                      <a:picLocks noChangeArrowheads="1" noChangeAspect="1"/>
                    </pic:cNvPicPr>
                  </pic:nvPicPr>
                  <pic:blipFill>
                    <a:blip r:embed="rId101"/>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S2. Lorenz plot of relative community flux by species in ascending order of annual population organic matter flux (mg AFDM m</w:t>
      </w:r>
      <w:r>
        <w:rPr>
          <w:vertAlign w:val="superscript"/>
        </w:rPr>
        <w:t xml:space="preserve">-2</w:t>
      </w:r>
      <w:r>
        <w:t xml:space="preserve"> </w:t>
      </w:r>
      <w:r>
        <w:t xml:space="preserve">y</w:t>
      </w:r>
      <w:r>
        <w:rPr>
          <w:vertAlign w:val="superscript"/>
        </w:rPr>
        <w:t xml:space="preserve">-1</w:t>
      </w:r>
      <w:r>
        <w:t xml:space="preserve">)</w:t>
      </w:r>
    </w:p>
    <w:p>
      <w:pPr>
        <w:pStyle w:val="CaptionedFigure"/>
      </w:pPr>
      <w:r>
        <w:drawing>
          <wp:inline>
            <wp:extent cx="4583458" cy="3666766"/>
            <wp:effectExtent b="0" l="0" r="0" t="0"/>
            <wp:docPr descr="Figure S3. Cumulative plot of relative community flux by species in relation to mean annual population biomass (mg m-2)." title="" id="1" name="Picture"/>
            <a:graphic>
              <a:graphicData uri="http://schemas.openxmlformats.org/drawingml/2006/picture">
                <pic:pic>
                  <pic:nvPicPr>
                    <pic:cNvPr descr="ms_files/figure-docx/biomass%20lorenze-1.png" id="0" name="Picture"/>
                    <pic:cNvPicPr>
                      <a:picLocks noChangeArrowheads="1" noChangeAspect="1"/>
                    </pic:cNvPicPr>
                  </pic:nvPicPr>
                  <pic:blipFill>
                    <a:blip r:embed="rId102"/>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Figure S3. Cumulative plot of relative community flux by species in relation to mean annual population biomass (mg m</w:t>
      </w:r>
      <w:r>
        <w:rPr>
          <w:vertAlign w:val="superscript"/>
        </w:rPr>
        <w:t xml:space="preserve">-2</w:t>
      </w:r>
      <w:r>
        <w:t xml:space="preserve">).</w:t>
      </w:r>
    </w:p>
    <w:bookmarkEnd w:id="103"/>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101" Target="media/rId10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0" Target="mailto:jrjunker@mt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James R. Junker1,2,✉, Wyatt F. Cross1, James M. Hood3, Jonathan P. Benstead4, Alex D. Huryn4, Daniel Nelson5, Jon S. Olafsson6, and Gisli M. Gislason7</dc:creator>
  <cp:keywords/>
  <dcterms:created xsi:type="dcterms:W3CDTF">2021-12-28T18:05:35Z</dcterms:created>
  <dcterms:modified xsi:type="dcterms:W3CDTF">2021-12-28T18:05:35Z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