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pPr>
        <w:pStyle w:val="FirstParagraph"/>
      </w:pPr>
      <w:r>
        <w:t xml:space="preserve">Energy fluxes through invertebrate food webs restructured in response to temperature. Specifically, communities in warmer streams were composed of smaller-bodied and higher-turnover populations on average. Additionally, energy fluxes of warmer streams were unequally skewed towards small-bodied, high-turnover populations</w:t>
      </w:r>
      <w:r>
        <w:t xml:space="preserve"> </w:t>
      </w:r>
      <w:r>
        <w:rPr>
          <w:i/>
        </w:rPr>
        <w:t xml:space="preserve">within</w:t>
      </w:r>
      <w:r>
        <w:t xml:space="preserve"> </w:t>
      </w:r>
      <w:r>
        <w:t xml:space="preserve">the community, suggesting higher temperatures restructured energy fluxes in both an absolute and relative sense/both across and within communities.</w:t>
      </w:r>
    </w:p>
    <w:p>
      <w:r>
        <w:br w:type="page"/>
      </w:r>
    </w:p>
    <w:bookmarkEnd w:id="20"/>
    <w:bookmarkStart w:id="21"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Temperature’s effect on ecosystems manifest through complex direct and indirect pathways such as shifting species ranges [][] and subsequent changes to local and</w:t>
      </w:r>
      <w:r>
        <w:t xml:space="preserve"> </w:t>
      </w:r>
      <w:r>
        <w:t xml:space="preserve">regional communities [],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(O’Connor et al. 2009)</w:t>
      </w:r>
      <w:r>
        <w:t xml:space="preserve">, general patterns are uncertain and empirical studies often idiosyncratic</w:t>
      </w:r>
      <w:r>
        <w:t xml:space="preserve"> </w:t>
      </w:r>
      <w:r>
        <w:t xml:space="preserve">(Nelson et al. 2017a, Zhang et al. 2017)</w:t>
      </w:r>
      <w:r>
        <w:t xml:space="preserve">,</w:t>
      </w:r>
      <w:r>
        <w:t xml:space="preserve"> </w:t>
      </w:r>
      <w:r>
        <w:t xml:space="preserve">especially at higher levels of organizations such as communities and food webs</w:t>
      </w:r>
      <w:r>
        <w:t xml:space="preserve"> </w:t>
      </w:r>
      <w:r>
        <w:t xml:space="preserve">(Walther et al. 2002, Woodward et al. 2010)</w:t>
      </w:r>
      <w:r>
        <w:t xml:space="preserve">. Yet, identifying general effects of temperature is a necessary step</w:t>
      </w:r>
      <w:r>
        <w:t xml:space="preserve"> </w:t>
      </w:r>
      <w:r>
        <w:t xml:space="preserve">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distributions among species and trophic levels</w:t>
      </w:r>
      <w:r>
        <w:t xml:space="preserve"> </w:t>
      </w:r>
      <w:r>
        <w:t xml:space="preserve">(May 1972, McCann et al. 1998, Barnes et al. 2018)</w:t>
      </w:r>
      <w:r>
        <w:t xml:space="preserve">. Direct changes through species richness effects</w:t>
      </w:r>
      <w:r>
        <w:t xml:space="preserve"> </w:t>
      </w:r>
      <w:r>
        <w:t xml:space="preserve">(Gibert 2019)</w:t>
      </w:r>
      <w:r>
        <w:t xml:space="preserve">. Indirect through the distribution of consumer and prey species and it effects on the acquisition and allocation of resources among species</w:t>
      </w:r>
      <w:r>
        <w:t xml:space="preserve"> </w:t>
      </w:r>
      <w:r>
        <w:t xml:space="preserve">(Zhang et al. 2017)</w:t>
      </w:r>
      <w:r>
        <w:t xml:space="preserve"> </w:t>
      </w:r>
      <w:r>
        <w:t xml:space="preserve">–macroecology of food web dynamics and stability are controlled by the .</w:t>
      </w:r>
    </w:p>
    <w:p>
      <w:pPr>
        <w:pStyle w:val="BodyText"/>
      </w:pPr>
      <w:r>
        <w:t xml:space="preserve">Temperature can directly alter the distribution of species interactions by asymmetric responses in organismal traits among species [e.g., attack rate, handling time, growth rates,</w:t>
      </w:r>
      <w:r>
        <w:t xml:space="preserve"> </w:t>
      </w:r>
      <w:r>
        <w:t xml:space="preserve">etc.;</w:t>
      </w:r>
      <w:r>
        <w:t xml:space="preserve"> </w:t>
      </w:r>
      <w:r>
        <w:t xml:space="preserve">Dell et al. (2014)</w:t>
      </w:r>
      <w:r>
        <w:t xml:space="preserve">].</w:t>
      </w:r>
    </w:p>
    <w:p>
      <w:pPr>
        <w:pStyle w:val="BodyText"/>
      </w:pPr>
      <w:r>
        <w:t xml:space="preserve">Metabolic rates</w:t>
      </w:r>
    </w:p>
    <w:p>
      <w:pPr>
        <w:pStyle w:val="BodyText"/>
      </w:pPr>
      <w:r>
        <w:t xml:space="preserve">acquisition of resources by consumer Generally, temperature is predicted to have disproportionately higher effects on consumers relative to resources</w:t>
      </w:r>
      <w:r>
        <w:t xml:space="preserve"> </w:t>
      </w:r>
      <w:r>
        <w:t xml:space="preserve">(Allen et al. 2005, Vasseur and McCann 2005,</w:t>
      </w:r>
      <w:r>
        <w:t xml:space="preserve"> </w:t>
      </w:r>
      <w:r>
        <w:rPr>
          <w:b/>
        </w:rPr>
        <w:t xml:space="preserve">oconnor2011?</w:t>
      </w:r>
      <w:r>
        <w:t xml:space="preserve">)</w:t>
      </w:r>
    </w:p>
    <w:p>
      <w:pPr>
        <w:pStyle w:val="BodyText"/>
      </w:pPr>
      <w:r>
        <w:t xml:space="preserve">Here, we measured the patterning and distribution of organic matter fluxes within invertebrate food webs across a natural stream temperature gradient (~5 - 28</w:t>
      </w:r>
      <m:oMath>
        <m:sSup>
          <m:e>
            <m:r>
              <m:t>​</m:t>
            </m:r>
          </m:e>
          <m:sup>
            <m:r>
              <m:t>∘</m:t>
            </m:r>
          </m:sup>
        </m:sSup>
      </m:oMath>
      <w:r>
        <w:t xml:space="preserve">C). Previous research in these streams has shown a strong positive effect of temperature on primary production both among streams</w:t>
      </w:r>
      <w:r>
        <w:t xml:space="preserve"> </w:t>
      </w:r>
      <w:r>
        <w:t xml:space="preserve">(Padfield et al. 2017,</w:t>
      </w:r>
      <w:r>
        <w:t xml:space="preserve"> </w:t>
      </w:r>
      <w:r>
        <w:rPr>
          <w:b/>
        </w:rPr>
        <w:t xml:space="preserve">demars2011?</w:t>
      </w:r>
      <w:r>
        <w:t xml:space="preserve">)</w:t>
      </w:r>
      <w:r>
        <w:t xml:space="preserve"> </w:t>
      </w:r>
      <w:r>
        <w:t xml:space="preserve">and within streams seasonally</w:t>
      </w:r>
      <w:r>
        <w:t xml:space="preserve"> </w:t>
      </w:r>
      <w:r>
        <w:t xml:space="preserve">(O’Gorman et al. 2012, Hood et al. 2018)</w:t>
      </w:r>
      <w:r>
        <w:t xml:space="preserve">. Consumers rely largely on autochthonous resource</w:t>
      </w:r>
      <w:r>
        <w:t xml:space="preserve"> </w:t>
      </w:r>
      <w:r>
        <w:t xml:space="preserve">(O’Gorman et al. 2012,</w:t>
      </w:r>
      <w:r>
        <w:t xml:space="preserve"> </w:t>
      </w:r>
      <w:r>
        <w:rPr>
          <w:b/>
        </w:rPr>
        <w:t xml:space="preserve">nelson2019?</w:t>
      </w:r>
      <w:r>
        <w:t xml:space="preserve">)</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 consumers to scale with among stream patterns in primary production and consumer energy demand, and therefore, increase with temperature across streams. We, further expected that increasing temperature would reduce consumer species</w:t>
      </w:r>
      <w:r>
        <w:t xml:space="preserve"> </w:t>
      </w:r>
      <w:r>
        <w:t xml:space="preserve">(</w:t>
      </w:r>
      <w:r>
        <w:rPr>
          <w:b/>
        </w:rPr>
        <w:t xml:space="preserve">ogorman2019?</w:t>
      </w:r>
      <w:r>
        <w:t xml:space="preserve">)</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 Seasonally, warmer streams will lead to earlier food web fluxes in warmer compared to colder streams.</w:t>
      </w:r>
    </w:p>
    <w:bookmarkEnd w:id="21"/>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2"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2"/>
    <w:bookmarkStart w:id="23"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
        </w:rPr>
        <w:t xml:space="preserve">g</w:t>
      </w:r>
      <w:r>
        <w:t xml:space="preserve">, d</w:t>
      </w:r>
      <w:r>
        <w:rPr>
          <w:vertAlign w:val="superscript"/>
        </w:rPr>
        <w:t xml:space="preserve">-1</w:t>
      </w:r>
      <w:r>
        <w:t xml:space="preserve">) were</w:t>
      </w:r>
      <w:r>
        <w:t xml:space="preserve"> </w:t>
      </w:r>
      <w:r>
        <w:t xml:space="preserve">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3"/>
    <w:bookmarkStart w:id="24" w:name="diet-analysis"/>
    <w:p>
      <w:pPr>
        <w:pStyle w:val="Heading2"/>
      </w:pPr>
      <w:r>
        <w:t xml:space="preserve">Diet analysis</w:t>
      </w:r>
    </w:p>
    <w:p>
      <w:pPr>
        <w:pStyle w:val="FirstParagraph"/>
      </w:pPr>
      <w:r>
        <w:rPr>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p>
    <w:p>
      <w:pPr>
        <w:pStyle w:val="BodyText"/>
      </w:pPr>
      <w:r>
        <w:t xml:space="preserve">hierarchical multivariate model</w:t>
      </w:r>
      <w:r>
        <w:t xml:space="preserve"> </w:t>
      </w:r>
      <w:r>
        <w:t xml:space="preserve">(</w:t>
      </w:r>
      <w:r>
        <w:rPr>
          <w:b/>
        </w:rPr>
        <w:t xml:space="preserve">coblentz2017?</w:t>
      </w:r>
      <w:r>
        <w:t xml:space="preserve">)</w:t>
      </w:r>
      <w:r>
        <w:t xml:space="preserve">. Here, the diet of a consumer population,</w:t>
      </w:r>
      <w:r>
        <w:t xml:space="preserve"> </w:t>
      </w:r>
      <w:r>
        <w:rPr>
          <w:i/>
        </w:rPr>
        <w:t xml:space="preserve">i</w:t>
      </w:r>
      <w:r>
        <w:t xml:space="preserve">, is a multinomial vector,</w:t>
      </w:r>
      <m:oMath>
        <m:acc>
          <m:accPr>
            <m:chr m:val="⃗"/>
          </m:accPr>
          <m:e>
            <m:sSub>
              <m:e>
                <m:r>
                  <m:t>y</m:t>
                </m:r>
              </m:e>
              <m:sub>
                <m:r>
                  <m:t>i</m:t>
                </m:r>
              </m:sub>
            </m:sSub>
          </m:e>
        </m:acc>
      </m:oMath>
      <w:r>
        <w:t xml:space="preserve">, of</w:t>
      </w:r>
    </w:p>
    <w:p>
      <w:pPr>
        <w:pStyle w:val="BodyText"/>
      </w:pPr>
      <m:oMathPara>
        <m:oMathParaPr>
          <m:jc m:val="center"/>
        </m:oMathParaPr>
        <m:oMath>
          <m:acc>
            <m:accPr>
              <m:chr m:val="⃗"/>
            </m:accPr>
            <m:e>
              <m:sSub>
                <m:e>
                  <m:r>
                    <m:t>y</m:t>
                  </m:r>
                </m:e>
                <m:sub>
                  <m:r>
                    <m:t>i</m:t>
                  </m:r>
                </m:sub>
              </m:sSub>
            </m:e>
          </m:acc>
          <m:r>
            <m:t>∼</m:t>
          </m:r>
          <m:r>
            <m:t>M</m:t>
          </m:r>
          <m:r>
            <m:t>u</m:t>
          </m:r>
          <m:r>
            <m:t>l</m:t>
          </m:r>
          <m:r>
            <m:t>t</m:t>
          </m:r>
          <m:r>
            <m:t>i</m:t>
          </m:r>
          <m:r>
            <m:t>n</m:t>
          </m:r>
          <m:r>
            <m:t>o</m:t>
          </m:r>
          <m:r>
            <m:t>m</m:t>
          </m:r>
          <m:r>
            <m:t>i</m:t>
          </m:r>
          <m:r>
            <m:t>a</m:t>
          </m:r>
          <m:r>
            <m:t>l</m:t>
          </m:r>
          <m:r>
            <m:t>(</m:t>
          </m:r>
          <m:acc>
            <m:accPr>
              <m:chr m:val="⃗"/>
            </m:accPr>
            <m:e>
              <m:sSub>
                <m:e>
                  <m:r>
                    <m:t>p</m:t>
                  </m:r>
                </m:e>
                <m:sub>
                  <m:r>
                    <m:t>i</m:t>
                  </m:r>
                </m:sub>
              </m:sSub>
            </m:e>
          </m:acc>
          <m:r>
            <m:t>,</m:t>
          </m:r>
          <m:sSub>
            <m:e>
              <m:r>
                <m:t>n</m:t>
              </m:r>
            </m:e>
            <m:sub>
              <m:r>
                <m:t>i</m:t>
              </m:r>
            </m:sub>
          </m:sSub>
          <m:r>
            <m:t>)</m:t>
          </m:r>
        </m:oMath>
      </m:oMathPara>
    </w:p>
    <w:p>
      <w:pPr>
        <w:pStyle w:val="FirstParagraph"/>
      </w:pPr>
      <m:oMathPara>
        <m:oMathParaPr>
          <m:jc m:val="center"/>
        </m:oMathParaPr>
        <m:oMath>
          <m:acc>
            <m:accPr>
              <m:chr m:val="⃗"/>
            </m:accPr>
            <m:e>
              <m:sSub>
                <m:e>
                  <m:r>
                    <m:t>p</m:t>
                  </m:r>
                </m:e>
                <m:sub>
                  <m:r>
                    <m:t>i</m:t>
                  </m:r>
                </m:sub>
              </m:sSub>
            </m:e>
          </m:acc>
          <m:r>
            <m:t>∼</m:t>
          </m:r>
          <m:r>
            <m:t>D</m:t>
          </m:r>
          <m:r>
            <m:t>i</m:t>
          </m:r>
          <m:r>
            <m:t>r</m:t>
          </m:r>
          <m:r>
            <m:t>i</m:t>
          </m:r>
          <m:r>
            <m:t>c</m:t>
          </m:r>
          <m:r>
            <m:t>h</m:t>
          </m:r>
          <m:r>
            <m:t>l</m:t>
          </m:r>
          <m:r>
            <m:t>e</m:t>
          </m:r>
          <m:r>
            <m:t>t</m:t>
          </m:r>
          <m:r>
            <m:t>(</m:t>
          </m:r>
          <m:acc>
            <m:accPr>
              <m:chr m:val="⃗"/>
            </m:accPr>
            <m:e>
              <m:sSub>
                <m:e>
                  <m:r>
                    <m:t>q</m:t>
                  </m:r>
                </m:e>
                <m:sub>
                  <m:r>
                    <m:t>i</m:t>
                  </m:r>
                </m:sub>
              </m:sSub>
            </m:e>
          </m:acc>
          <m:r>
            <m:t>×</m:t>
          </m:r>
          <m:r>
            <m:t>α</m:t>
          </m:r>
          <m: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t>∼</m:t>
          </m:r>
          <m:r>
            <m:t>D</m:t>
          </m:r>
          <m:r>
            <m:t>i</m:t>
          </m:r>
          <m:r>
            <m:t>r</m:t>
          </m:r>
          <m:r>
            <m:t>i</m:t>
          </m:r>
          <m:r>
            <m:t>c</m:t>
          </m:r>
          <m:r>
            <m:t>h</m:t>
          </m:r>
          <m:r>
            <m:t>l</m:t>
          </m:r>
          <m:r>
            <m:t>e</m:t>
          </m:r>
          <m:r>
            <m:t>t</m:t>
          </m:r>
          <m:r>
            <m:t>(</m:t>
          </m:r>
          <m:acc>
            <m:accPr>
              <m:chr m:val="⃗"/>
            </m:accPr>
            <m:e>
              <m:r>
                <m:rPr>
                  <m:nor/>
                  <m:sty m:val="b"/>
                </m:rPr>
                <m:t>1</m:t>
              </m:r>
            </m:e>
          </m:acc>
          <m:r>
            <m:t>)</m:t>
          </m:r>
        </m:oMath>
      </m:oMathPara>
    </w:p>
    <w:p>
      <w:pPr>
        <w:pStyle w:val="FirstParagraph"/>
      </w:pPr>
      <m:oMathPara>
        <m:oMathParaPr>
          <m:jc m:val="center"/>
        </m:oMathParaPr>
        <m:oMath>
          <m:r>
            <m:t>α</m:t>
          </m:r>
          <m:r>
            <m:t>∼</m:t>
          </m:r>
          <m:r>
            <m:t>U</m:t>
          </m:r>
          <m:r>
            <m:t>n</m:t>
          </m:r>
          <m:r>
            <m:t>i</m:t>
          </m:r>
          <m:r>
            <m:t>f</m:t>
          </m:r>
          <m:r>
            <m:t>o</m:t>
          </m:r>
          <m:r>
            <m:t>r</m:t>
          </m:r>
          <m:r>
            <m:t>m</m:t>
          </m:r>
          <m:r>
            <m:t>(</m:t>
          </m:r>
          <m:r>
            <m:t>0</m:t>
          </m:r>
          <m:r>
            <m:t>,</m:t>
          </m:r>
          <m:r>
            <m:rPr>
              <m:nor/>
              <m:sty m:val="i"/>
            </m:rPr>
            <m:t>c</m:t>
          </m:r>
          <m: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
        </w:rPr>
        <w:t xml:space="preserve">add in</w:t>
      </w:r>
      <w:r>
        <w:rPr>
          <w:b/>
        </w:rPr>
        <w:t xml:space="preserve"> </w:t>
      </w:r>
      <w:r>
        <w:rPr>
          <w:b/>
        </w:rPr>
        <w:t xml:space="preserve">site-level model parameter and model fitting language</w:t>
      </w:r>
      <w:r>
        <w:t xml:space="preserve"> </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p>
      <w:pPr>
        <w:pStyle w:val="BodyText"/>
      </w:pPr>
      <w:r>
        <w:t xml:space="preserve">From modeled diet compositions, we estimated trophic redundancy within and across stream food webs by calculating proportional similarities [</w:t>
      </w:r>
      <w:r>
        <w:rPr>
          <w:i/>
        </w:rPr>
        <w:t xml:space="preserve">PS</w:t>
      </w:r>
      <w:r>
        <w:t xml:space="preserve">;</w:t>
      </w:r>
      <w:r>
        <w:t xml:space="preserve"> </w:t>
      </w:r>
      <w:r>
        <w:t xml:space="preserve">(</w:t>
      </w:r>
      <w:r>
        <w:rPr>
          <w:b/>
        </w:rPr>
        <w:t xml:space="preserve">whittaker1952?</w:t>
      </w:r>
      <w:r>
        <w:t xml:space="preserve">)</w:t>
      </w:r>
      <w:r>
        <w:t xml:space="preserve">] among modeled diet estimates (proportional similarity estimates from empirical diets give similar results to modeled estimates; Supporting Materials). Proportional similarities were calculated as:</w:t>
      </w:r>
    </w:p>
    <w:p>
      <w:pPr>
        <w:pStyle w:val="BodyText"/>
      </w:pPr>
      <m:oMathPara>
        <m:oMathParaPr>
          <m:jc m:val="center"/>
        </m:oMathParaPr>
        <m:oMath>
          <m:r>
            <m:t>P</m:t>
          </m:r>
          <m:r>
            <m:t>S</m:t>
          </m:r>
          <m:r>
            <m:t>=</m:t>
          </m:r>
          <m:r>
            <m:t>1</m:t>
          </m:r>
          <m:r>
            <m:t>−</m:t>
          </m:r>
          <m:r>
            <m:t>0.5</m:t>
          </m:r>
          <m:nary>
            <m:naryPr>
              <m:chr m:val="∑"/>
              <m:limLoc m:val="undOvr"/>
              <m:subHide m:val="0"/>
              <m:supHide m:val="0"/>
            </m:naryPr>
            <m:sub>
              <m:r>
                <m:t>j</m:t>
              </m:r>
              <m:r>
                <m:t>=</m:t>
              </m:r>
              <m:r>
                <m:t>1</m:t>
              </m:r>
            </m:sub>
            <m:sup>
              <m:r>
                <m:t>S</m:t>
              </m:r>
            </m:sup>
            <m:e>
              <m:r>
                <m:t>|</m:t>
              </m:r>
            </m:e>
          </m:nary>
          <m:sSub>
            <m:e>
              <m:r>
                <m:t>p</m:t>
              </m:r>
            </m:e>
            <m:sub>
              <m:r>
                <m:t>x</m:t>
              </m:r>
              <m:r>
                <m:t>,</m:t>
              </m:r>
              <m:r>
                <m:t>i</m:t>
              </m:r>
            </m:sub>
          </m:sSub>
          <m:r>
            <m:t>−</m:t>
          </m:r>
          <m:sSub>
            <m:e>
              <m:r>
                <m:t>p</m:t>
              </m:r>
            </m:e>
            <m:sub>
              <m:r>
                <m:t>y</m:t>
              </m:r>
              <m:r>
                <m:t>,</m:t>
              </m:r>
              <m:r>
                <m:t>i</m:t>
              </m:r>
            </m:sub>
          </m:sSub>
          <m:r>
            <m:t>|</m:t>
          </m:r>
        </m:oMath>
      </m:oMathPara>
    </w:p>
    <w:p>
      <w:pPr>
        <w:pStyle w:val="FirstParagraph"/>
      </w:pPr>
      <w:r>
        <w:t xml:space="preserve">where,</w:t>
      </w:r>
      <w:r>
        <w:t xml:space="preserve"> </w:t>
      </w:r>
      <w:r>
        <w:rPr>
          <w:i/>
        </w:rPr>
        <w:t xml:space="preserve">p</w:t>
      </w:r>
      <w:r>
        <w:rPr>
          <w:vertAlign w:val="subscript"/>
          <w:i/>
        </w:rPr>
        <w:t xml:space="preserve">x,i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x</w:t>
      </w:r>
      <w:r>
        <w:t xml:space="preserve">,</w:t>
      </w:r>
      <w:r>
        <w:t xml:space="preserve"> </w:t>
      </w:r>
      <w:r>
        <w:rPr>
          <w:i/>
        </w:rPr>
        <w:t xml:space="preserve">p</w:t>
      </w:r>
      <w:r>
        <w:rPr>
          <w:vertAlign w:val="subscript"/>
          <w:i/>
        </w:rPr>
        <w:t xml:space="preserve">y,i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y</w:t>
      </w:r>
      <w:r>
        <w:t xml:space="preserve">, and there are</w:t>
      </w:r>
      <w:r>
        <w:t xml:space="preserve"> </w:t>
      </w:r>
      <w:r>
        <w:rPr>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
        </w:rPr>
        <w:t xml:space="preserve">PS</w:t>
      </w:r>
      <w:r>
        <w:t xml:space="preserve"> </w:t>
      </w:r>
      <w:r>
        <w:t xml:space="preserve">among streams we sampled 1000 estimates of the mean stream-level diet proportions for each stream and calculated</w:t>
      </w:r>
      <w:r>
        <w:t xml:space="preserve"> </w:t>
      </w:r>
      <w:r>
        <w:rPr>
          <w:i/>
        </w:rPr>
        <w:t xml:space="preserve">PS</w:t>
      </w:r>
      <w:r>
        <w:t xml:space="preserve"> </w:t>
      </w:r>
      <w:r>
        <w:t xml:space="preserve">for each.</w:t>
      </w:r>
    </w:p>
    <w:bookmarkEnd w:id="24"/>
    <w:bookmarkStart w:id="25"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p>
    <w:p>
      <w:pPr>
        <w:pStyle w:val="BodyText"/>
      </w:pPr>
      <w:r>
        <w:t xml:space="preserve">diet proportions, diet-specific assimilation efficiencies,</w:t>
      </w:r>
      <w:r>
        <w:t xml:space="preserve"> </w:t>
      </w:r>
      <w:r>
        <w:rPr>
          <w:i/>
        </w:rPr>
        <w:t xml:space="preserve">AE</w:t>
      </w:r>
      <w:r>
        <w:rPr>
          <w:vertAlign w:val="subscript"/>
          <w:i/>
        </w:rPr>
        <w:t xml:space="preserve">i</w:t>
      </w:r>
      <w:r>
        <w:t xml:space="preserve">, and assumed net production efficiencies,</w:t>
      </w:r>
      <w:r>
        <w:t xml:space="preserve"> </w:t>
      </w:r>
      <w:r>
        <w:rPr>
          <w:i/>
        </w:rPr>
        <w:t xml:space="preserve">NPE</w:t>
      </w:r>
      <w:r>
        <w:t xml:space="preserve">, to estimate consumption of organic matter. For each food</w:t>
      </w:r>
      <w:r>
        <w:t xml:space="preserve"> </w:t>
      </w:r>
      <w:r>
        <w:t xml:space="preserve">category,</w:t>
      </w:r>
      <w:r>
        <w:t xml:space="preserve"> </w:t>
      </w:r>
      <w:r>
        <w:rPr>
          <w:i/>
        </w:rPr>
        <w:t xml:space="preserve">i</w:t>
      </w:r>
      <w:r>
        <w:t xml:space="preserve">, diet proportions were multiplied by the gross growth efficiency (</w:t>
      </w:r>
      <m:oMath>
        <m:r>
          <m:t>G</m:t>
        </m:r>
        <m:r>
          <m:t>G</m:t>
        </m:r>
        <m:sSub>
          <m:e>
            <m:r>
              <m:t>E</m:t>
            </m:r>
          </m:e>
          <m:sub>
            <m:r>
              <m:t>i</m:t>
            </m:r>
          </m:sub>
        </m:sSub>
        <m:r>
          <m:t>=</m:t>
        </m:r>
        <m:r>
          <m:t>A</m:t>
        </m:r>
        <m:sSub>
          <m:e>
            <m:r>
              <m:t>E</m:t>
            </m:r>
          </m:e>
          <m:sub>
            <m:r>
              <m:t>i</m:t>
            </m:r>
          </m:sub>
        </m:sSub>
        <m: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
        </w:rPr>
        <w:t xml:space="preserve">Diet analysis</w:t>
      </w:r>
      <w:r>
        <w:t xml:space="preserve"> </w:t>
      </w:r>
      <w:r>
        <w:t xml:space="preserve">above), diet-specific assimilation efficiencies, and net production efficiency. Variability in</w:t>
      </w:r>
      <w:r>
        <w:t xml:space="preserve"> </w:t>
      </w:r>
      <w:r>
        <w:rPr>
          <w:i/>
        </w:rPr>
        <w:t xml:space="preserve">AE</w:t>
      </w:r>
      <w:r>
        <w:rPr>
          <w:vertAlign w:val="subscript"/>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
        </w:rPr>
        <w:t xml:space="preserve">NPE</w:t>
      </w:r>
      <w:r>
        <w:t xml:space="preserve"> </w:t>
      </w:r>
      <w:r>
        <w:t xml:space="preserve">was</w:t>
      </w:r>
      <w:r>
        <w:t xml:space="preserve"> </w:t>
      </w:r>
      <w:r>
        <w:t xml:space="preserve">incorporated by resampling values from an assumed beta distribution with median</w:t>
      </w:r>
      <w:r>
        <w:t xml:space="preserve"> </w:t>
      </w:r>
      <w:r>
        <w:rPr>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t>≤</m:t>
        </m:r>
        <m:sSub>
          <m:e>
            <m:r>
              <m:t>p</m:t>
            </m:r>
          </m:e>
          <m:sub>
            <m:r>
              <m:t>2</m:t>
            </m:r>
          </m:sub>
        </m:sSub>
        <m:r>
          <m:t>≤</m:t>
        </m:r>
        <m:r>
          <m:t>.</m:t>
        </m:r>
        <m:r>
          <m:t>.</m:t>
        </m:r>
        <m:r>
          <m:t>.</m:t>
        </m:r>
        <m:sSub>
          <m:e>
            <m:r>
              <m:t>p</m:t>
            </m:r>
          </m:e>
          <m:sub>
            <m:r>
              <m:t>S</m:t>
            </m:r>
          </m:sub>
        </m:sSub>
      </m:oMath>
      <w:r>
        <w:t xml:space="preserve">. The Lorenz curve plots how a value, in this</w:t>
      </w:r>
    </w:p>
    <w:p>
      <w:pPr>
        <w:pStyle w:val="BodyText"/>
      </w:pPr>
      <w:r>
        <w:t xml:space="preserve">case OM flux, accumulates with increasing cumulative proportion of species. In a community with perfectly equal distribution of OM consumption among species, the Lorenz curve is</w:t>
      </w:r>
      <w:r>
        <w:t xml:space="preserve"> </w:t>
      </w:r>
      <w:r>
        <w:t xml:space="preserve">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t>*</m:t>
            </m:r>
          </m:sup>
        </m:sSup>
      </m:oMath>
      <w:r>
        <w:t xml:space="preserve"> </w:t>
      </w:r>
      <w:r>
        <w:t xml:space="preserve">(Solomon 1975, Chao and Ricotta 2019)</w:t>
      </w:r>
      <w:r>
        <w:t xml:space="preserve">:</w:t>
      </w:r>
    </w:p>
    <w:p>
      <w:pPr>
        <w:pStyle w:val="BodyText"/>
      </w:pPr>
      <m:oMathPara>
        <m:oMathParaPr>
          <m:jc m:val="center"/>
        </m:oMathParaPr>
        <m:oMath>
          <m:sSup>
            <m:e>
              <m:r>
                <m:t>G</m:t>
              </m:r>
            </m:e>
            <m:sup>
              <m:r>
                <m:t>*</m:t>
              </m:r>
            </m:sup>
          </m:sSup>
          <m:r>
            <m:t>=</m:t>
          </m:r>
          <m:r>
            <m:t>(</m:t>
          </m:r>
          <m:r>
            <m:t>2</m:t>
          </m:r>
          <m:nary>
            <m:naryPr>
              <m:chr m:val="∑"/>
              <m:limLoc m:val="undOvr"/>
              <m:subHide m:val="0"/>
              <m:supHide m:val="0"/>
            </m:naryPr>
            <m:sub>
              <m:r>
                <m:t>i</m:t>
              </m:r>
              <m:r>
                <m:t>=</m:t>
              </m:r>
              <m:r>
                <m:t>1</m:t>
              </m:r>
            </m:sub>
            <m:sup>
              <m:r>
                <m:t>S</m:t>
              </m:r>
            </m:sup>
            <m:e>
              <m:r>
                <m:t>i</m:t>
              </m:r>
            </m:e>
          </m:nary>
          <m:sSub>
            <m:e>
              <m:r>
                <m:t>p</m:t>
              </m:r>
            </m:e>
            <m:sub>
              <m:r>
                <m:t>i</m:t>
              </m:r>
            </m:sub>
          </m:sSub>
          <m:r>
            <m:t>−</m:t>
          </m:r>
          <m:r>
            <m:t>2</m:t>
          </m:r>
          <m:r>
            <m:t>)</m:t>
          </m:r>
          <m:r>
            <m:t>/</m:t>
          </m:r>
          <m:r>
            <m:t>(</m:t>
          </m:r>
          <m:r>
            <m:t>S</m:t>
          </m:r>
          <m:r>
            <m:t>−</m:t>
          </m:r>
          <m:r>
            <m:t>1</m:t>
          </m:r>
          <m:r>
            <m:t>)</m:t>
          </m:r>
        </m:oMath>
      </m:oMathPara>
    </w:p>
    <w:bookmarkEnd w:id="26"/>
    <w:bookmarkStart w:id="27" w:name="distribution-along-species-trait-axes"/>
    <w:p>
      <w:pPr>
        <w:pStyle w:val="Heading3"/>
      </w:pPr>
      <w:r>
        <w:t xml:space="preserve">Distribution along species’ trait axes</w:t>
      </w:r>
    </w:p>
    <w:p>
      <w:pPr>
        <w:pStyle w:val="FirstParagraph"/>
      </w:pPr>
      <w:r>
        <w:t xml:space="preserve">We were interested in how OM fluxes were distributed (randomly vs. non-randomly) in relation to species traits (i.e., body size,</w:t>
      </w:r>
      <w:r>
        <w:t xml:space="preserve"> </w:t>
      </w:r>
      <m:oMath>
        <m:r>
          <m:t>P</m:t>
        </m:r>
        <m:r>
          <m:t>:</m:t>
        </m:r>
        <m:r>
          <m:t>B</m:t>
        </m:r>
      </m:oMath>
      <w:r>
        <w:t xml:space="preserve"> </w:t>
      </w:r>
      <w:r>
        <w:t xml:space="preserve">ratio, population biomass) across the temperature gradient. We used a permutation analyses to test for non-random patterns in OM flux with species traits. First, we ordered species based on within-stream ranking of annual population traits (i.e,</w:t>
      </w:r>
      <w:r>
        <w:t xml:space="preserve"> </w:t>
      </w:r>
      <m:oMath>
        <m:r>
          <m:t>M</m:t>
        </m:r>
      </m:oMath>
      <w:r>
        <w:t xml:space="preserve">,</w:t>
      </w:r>
      <w:r>
        <w:t xml:space="preserve"> </w:t>
      </w:r>
      <m:oMath>
        <m:r>
          <m:t>P</m:t>
        </m:r>
        <m:r>
          <m:t>:</m:t>
        </m:r>
        <m:r>
          <m:t>B</m:t>
        </m:r>
      </m:oMath>
      <w:r>
        <w:t xml:space="preserve">). We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t>=</m:t>
          </m:r>
          <m:sSub>
            <m:e>
              <m:r>
                <m:t>f</m:t>
              </m:r>
            </m:e>
            <m:sub>
              <m:r>
                <m:t>Q</m:t>
              </m:r>
              <m:r>
                <m:t>0.75</m:t>
              </m:r>
            </m:sub>
          </m:sSub>
          <m:r>
            <m:t>−</m:t>
          </m:r>
          <m:r>
            <m:t>2</m:t>
          </m:r>
          <m:sSub>
            <m:e>
              <m:r>
                <m:t>f</m:t>
              </m:r>
            </m:e>
            <m:sub>
              <m:r>
                <m:t>Q</m:t>
              </m:r>
              <m:r>
                <m:t>0.5</m:t>
              </m:r>
            </m:sub>
          </m:sSub>
          <m:r>
            <m:t>+</m:t>
          </m:r>
          <m:sSub>
            <m:e>
              <m:r>
                <m:t>f</m:t>
              </m:r>
            </m:e>
            <m:sub>
              <m:r>
                <m:t>Q</m:t>
              </m:r>
              <m:r>
                <m:t>0.25</m:t>
              </m:r>
            </m:sub>
          </m:sSub>
          <m:r>
            <m:t>/</m:t>
          </m:r>
          <m:sSub>
            <m:e>
              <m:r>
                <m:t>f</m:t>
              </m:r>
            </m:e>
            <m:sub>
              <m:r>
                <m:t>Q</m:t>
              </m:r>
              <m:r>
                <m:t>0.75</m:t>
              </m:r>
            </m:sub>
          </m:sSub>
          <m: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the probability of observing the skewness we observe in the data compared to random ordering, we constructed a distribution of skewness estimates from random species ordering while maintaining the relative distribution of OM fluxes. The number of unique orderings of species increases to computationally intractable numbers very quickly (e.g.,</w:t>
      </w:r>
      <w:r>
        <w:t xml:space="preserve"> </w:t>
      </w:r>
      <m:oMath>
        <m:r>
          <m:t>S</m:t>
        </m:r>
        <m:r>
          <m:t>!</m:t>
        </m:r>
      </m:oMath>
      <w:r>
        <w:t xml:space="preserve">), therefore we permuted 1,000,000 random species orderings and calculating the skew in the cumulative distribution of annual OM fluxes. We then use this random distribution to estimate the probability of observing a skewness as extreme or greater.</w:t>
      </w:r>
    </w:p>
    <w:bookmarkEnd w:id="27"/>
    <w:bookmarkEnd w:id="28"/>
    <w:bookmarkStart w:id="29" w:name="statistical-analyses"/>
    <w:p>
      <w:pPr>
        <w:pStyle w:val="Heading2"/>
      </w:pPr>
      <w:r>
        <w:t xml:space="preserve">Statistical Analyses</w:t>
      </w:r>
    </w:p>
    <w:p>
      <w:pPr>
        <w:pStyle w:val="FirstParagraph"/>
      </w:pPr>
      <w:r>
        <w:t xml:space="preserve">Relationships between mean annual temperature (</w:t>
      </w:r>
      <m:oMath>
        <m:sSup>
          <m:e>
            <m:r>
              <m:t>​</m:t>
            </m:r>
          </m:e>
          <m:sup>
            <m:r>
              <m:t>∘</m:t>
            </m:r>
          </m:sup>
        </m:sSup>
      </m:oMath>
      <w:r>
        <w:t xml:space="preserve">C) and mean community</w:t>
      </w:r>
      <w:r>
        <w:t xml:space="preserve"> </w:t>
      </w:r>
      <w:r>
        <w:rPr>
          <w:i/>
        </w:rPr>
        <w:t xml:space="preserve">M</w:t>
      </w:r>
      <w:r>
        <w:t xml:space="preserve"> </w:t>
      </w:r>
      <w:r>
        <w:t xml:space="preserve">and</w:t>
      </w:r>
      <w:r>
        <w:t xml:space="preserve"> </w:t>
      </w:r>
      <w:r>
        <w:rPr>
          <w:i/>
        </w:rPr>
        <w:t xml:space="preserve">P:B</w:t>
      </w:r>
      <w:r>
        <w:t xml:space="preserve"> </w:t>
      </w:r>
      <w:r>
        <w:t xml:space="preserve">were assessed with bootstrapped linear regressions. Here, 10^{5} values of mean</w:t>
      </w:r>
      <w:r>
        <w:t xml:space="preserve"> </w:t>
      </w:r>
      <w:r>
        <w:rPr>
          <w:i/>
        </w:rPr>
        <w:t xml:space="preserve">M</w:t>
      </w:r>
      <w:r>
        <w:t xml:space="preserve"> </w:t>
      </w:r>
      <w:r>
        <w:t xml:space="preserve">or</w:t>
      </w:r>
      <w:r>
        <w:t xml:space="preserve"> </w:t>
      </w:r>
      <w:r>
        <w:rPr>
          <w:i/>
        </w:rPr>
        <w:t xml:space="preserve">P:B</w:t>
      </w:r>
      <w:r>
        <w:t xml:space="preserve"> </w:t>
      </w:r>
      <w:r>
        <w:t xml:space="preserve">were resampled with replacement from each stream. For each resampling event, a linear model was fit between</w:t>
      </w:r>
      <w:r>
        <w:t xml:space="preserve"> </w:t>
      </w:r>
      <w:r>
        <w:rPr>
          <w:i/>
        </w:rPr>
        <w:t xml:space="preserve">log</w:t>
      </w:r>
      <w:r>
        <w:rPr>
          <w:vertAlign w:val="subscript"/>
          <w:i/>
        </w:rPr>
        <w:t xml:space="preserve">e</w:t>
      </w:r>
      <w:r>
        <w:t xml:space="preserve">-transformed</w:t>
      </w:r>
      <w:r>
        <w:t xml:space="preserve"> </w:t>
      </w:r>
      <w:r>
        <w:rPr>
          <w:i/>
        </w:rPr>
        <w:t xml:space="preserve">M</w:t>
      </w:r>
      <w:r>
        <w:t xml:space="preserve"> </w:t>
      </w:r>
      <w:r>
        <w:t xml:space="preserve">or</w:t>
      </w:r>
      <w:r>
        <w:t xml:space="preserve"> </w:t>
      </w:r>
      <w:r>
        <w:rPr>
          <w:i/>
        </w:rPr>
        <w:t xml:space="preserve">P:B</w:t>
      </w:r>
      <w:r>
        <w:t xml:space="preserve"> </w:t>
      </w:r>
      <w:r>
        <w:t xml:space="preserve">and mean annual temperature. Response variables</w:t>
      </w:r>
      <w:r>
        <w:t xml:space="preserve"> </w:t>
      </w:r>
      <w:r>
        <w:rPr>
          <w:i/>
        </w:rPr>
        <w:t xml:space="preserve">M</w:t>
      </w:r>
      <w:r>
        <w:t xml:space="preserve"> </w:t>
      </w:r>
      <w:r>
        <w:t xml:space="preserve">and</w:t>
      </w:r>
      <w:r>
        <w:t xml:space="preserve"> </w:t>
      </w:r>
      <w:r>
        <w:rPr>
          <w:i/>
        </w:rPr>
        <w:t xml:space="preserve">P:B</w:t>
      </w:r>
      <w:r>
        <w:t xml:space="preserve"> </w:t>
      </w:r>
      <w:r>
        <w:t xml:space="preserve">were transformed to meet the assumption of normally distributed residual variation.</w:t>
      </w:r>
    </w:p>
    <w:bookmarkEnd w:id="29"/>
    <w:bookmarkEnd w:id="30"/>
    <w:bookmarkStart w:id="34"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(1.005[0.556 , 1.555] to 44.4 [32.4 , 57.8]; g AFDM</w:t>
      </w:r>
      <w:r>
        <w:t xml:space="preserve"> </w:t>
      </w:r>
      <m:oMath>
        <m:sSup>
          <m:e>
            <m:r>
              <m:t>m</m:t>
            </m:r>
          </m:e>
          <m:sup>
            <m:r>
              <m:t>−</m:t>
            </m:r>
            <m:r>
              <m:t>2</m:t>
            </m:r>
          </m:sup>
        </m:sSup>
        <m:sSup>
          <m:e>
            <m:r>
              <m:t>y</m:t>
            </m:r>
          </m:e>
          <m:sup>
            <m: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177.4[125.6,236.6] g AFDM</w:t>
      </w:r>
      <w:r>
        <w:t xml:space="preserve"> </w:t>
      </w:r>
      <m:oMath>
        <m:sSup>
          <m:e>
            <m:r>
              <m:t>m</m:t>
            </m:r>
          </m:e>
          <m:sup>
            <m:r>
              <m:t>−</m:t>
            </m:r>
            <m:r>
              <m:t>2</m:t>
            </m:r>
          </m:sup>
        </m:sSup>
        <m:sSup>
          <m:e>
            <m:r>
              <m:t>y</m:t>
            </m:r>
          </m:e>
          <m:sup>
            <m:r>
              <m:t>−</m:t>
            </m:r>
            <m:r>
              <m:t>1</m:t>
            </m:r>
          </m:sup>
        </m:sSup>
      </m:oMath>
      <w:r>
        <w:t xml:space="preserve">.</w:t>
      </w:r>
    </w:p>
    <w:p>
      <w:pPr>
        <w:pStyle w:val="BodyText"/>
      </w:pPr>
      <w:r>
        <w:t xml:space="preserve">Patterns of OM flux among streams were most closely tied to total consumer energy demands as consumer diets exhibited high similarity among streams (Figure SX). Diets composition among all streams were dominated by diatoms (44.1% [0,75.5]), amorphous detritus (17.4% [0,32.3]), and green algae (13.2% [0,42.6]). Within streams, diet similarity ranged from 0.7 (0.66 – 0.73) to 0.75 (0.71 – 0.79). Among streams, diet overlap was similarly high and mean overlap among all streams was 0.89% (0.84 – 0.92 95% PI). Diet similarity of pairwise comparisons among streams showed little differences in diet among streams and no clear relationship with temperature (Supporting Materials).</w:t>
      </w:r>
    </w:p>
    <w:bookmarkEnd w:id="31"/>
    <w:bookmarkStart w:id="32" w:name="evenness-of-om-fluxes-within-streams"/>
    <w:p>
      <w:pPr>
        <w:pStyle w:val="Heading2"/>
      </w:pPr>
      <w:r>
        <w:t xml:space="preserve">Evenness of OM fluxes within streams</w:t>
      </w:r>
    </w:p>
    <w:p>
      <w:pPr>
        <w:pStyle w:val="FirstParagraph"/>
      </w:pPr>
      <w:r>
        <w:t xml:space="preserve">Generally, the material fluxes within a stream were distributed unequally among consumers, however, this varied among streams (Figure 1; Figure S1). The calculated inequality, i.e. Gini coefficient, ranged from 0.07 [0.05 , 0.1] to 0.27 [0.24 , 0.31]; Table 1). Differences in inequality were partly attributed to consumer species richness among streams which ranged from 14 to 34 consumers. Patterns of material fluxes were still unequally distributed among consumers even after correcting for differences in species richness (Normalized Gini coefficient: 0.04 [0.02 , 0.07] to 0.25 [0.21 , 0.28]; Table 1).</w:t>
      </w:r>
    </w:p>
    <w:p>
      <w:pPr>
        <w:pStyle w:val="BodyText"/>
      </w:pPr>
      <w:r>
        <w:t xml:space="preserve">Unequal distributions of fluxes within streams corresponded to very different patterns in dominance of OM fluxes across streams (Figure 1a). For example, in an absolute sense, ~85% of total flux was contributed by 2 to 11 species (0.85% to 0.85% of flux, respectively). Relatively, this flux was attributed by 3% to 29% of the species assemblages within streams. Differences in dominance were unrelated to temperature, however, species dominance in relation to population traits exhibited important differences among the temperature gradient.</w:t>
      </w:r>
    </w:p>
    <w:bookmarkEnd w:id="32"/>
    <w:bookmarkStart w:id="33" w:name="Xe0fd77b2eb78caf5292373d657b83e8d56ea848"/>
    <w:p>
      <w:pPr>
        <w:pStyle w:val="Heading2"/>
      </w:pPr>
      <w:r>
        <w:t xml:space="preserve">OM fluxes along species trait distributions among sites and taxa</w:t>
      </w:r>
    </w:p>
    <w:p>
      <w:pPr>
        <w:pStyle w:val="FirstParagraph"/>
      </w:pPr>
      <w:r>
        <w:t xml:space="preserve">The fluxes of OM were distributed differently across body sizes and turnover rates (</w:t>
      </w:r>
      <w:r>
        <w:rPr>
          <w:i/>
        </w:rPr>
        <w:t xml:space="preserve">P:B</w:t>
      </w:r>
      <w:r>
        <w:t xml:space="preserve">) among and within streams. Across streams, mean body size of taxa ranged from 0.13 to 2.66 and mean annual P:B ranged from 4.23 to 31.67 (Figure 2). Both,</w:t>
      </w:r>
      <w:r>
        <w:t xml:space="preserve"> </w:t>
      </w:r>
      <w:r>
        <w:rPr>
          <w:i/>
        </w:rPr>
        <w:t xml:space="preserve">M</w:t>
      </w:r>
      <w:r>
        <w:t xml:space="preserve"> </w:t>
      </w:r>
      <w:r>
        <w:t xml:space="preserve">and</w:t>
      </w:r>
      <w:r>
        <w:t xml:space="preserve"> </w:t>
      </w:r>
      <w:r>
        <w:rPr>
          <w:i/>
        </w:rPr>
        <w:t xml:space="preserve">P:B</w:t>
      </w:r>
      <w:r>
        <w:t xml:space="preserve"> </w:t>
      </w:r>
      <w:r>
        <w:t xml:space="preserve">showed associations with mean annual stream temperature that were negative and positive, respectively. Generally, mean</w:t>
      </w:r>
      <w:r>
        <w:t xml:space="preserve"> </w:t>
      </w:r>
      <w:r>
        <w:rPr>
          <w:i/>
        </w:rPr>
        <w:t xml:space="preserve">M</w:t>
      </w:r>
      <w:r>
        <w:t xml:space="preserve"> </w:t>
      </w:r>
      <w:r>
        <w:t xml:space="preserve">of the community decreased -9.5% (95% PI, -11.1% – -8%) for each increase in 1</w:t>
      </w:r>
      <m:oMath>
        <m:sSup>
          <m:e>
            <m:r>
              <m:t>​</m:t>
            </m:r>
          </m:e>
          <m:sup>
            <m:r>
              <m:t>∘</m:t>
            </m:r>
          </m:sup>
        </m:sSup>
      </m:oMath>
      <w:r>
        <w:t xml:space="preserve">C. In contrast, mean population</w:t>
      </w:r>
      <w:r>
        <w:t xml:space="preserve"> </w:t>
      </w:r>
      <w:r>
        <w:rPr>
          <w:i/>
        </w:rPr>
        <w:t xml:space="preserve">P:B</w:t>
      </w:r>
      <w:r>
        <w:t xml:space="preserve"> </w:t>
      </w:r>
      <w:r>
        <w:t xml:space="preserve">of the community increased 18.8% (95% IP, 17% – 20.7%) for each 1</w:t>
      </w:r>
      <m:oMath>
        <m:sSup>
          <m:e>
            <m:r>
              <m:t>​</m:t>
            </m:r>
          </m:e>
          <m:sup>
            <m:r>
              <m:t>∘</m:t>
            </m:r>
          </m:sup>
        </m:sSup>
      </m:oMath>
      <w:r>
        <w:t xml:space="preserve">C in mean annual stream temperature. Energy fluxes within consumer communities were skewed towards larger body sizes (positive skew), towards smaller body sizes (negative skew), or neutrally in regards to body size among streams, with skew estimates with body size (</w:t>
      </w:r>
      <w:r>
        <w:rPr>
          <w:i/>
        </w:rPr>
        <w:t xml:space="preserve">M</w:t>
      </w:r>
      <w:r>
        <w:t xml:space="preserve">) ranging from 0.13 to -0.84 (Figure 3). Similarly, skew in fluxes towards high turnover taxa varied among streams ranging from 0.25 to 1 (Figure 3).</w:t>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the community energy fluxes. The probability of observing a similar or more extreme skew of within stream OM fluxes in relation to species body size ranged from 0.16 to 0.38. Similarly, the probability of a more extremely skewed distribution in relation to population biomass turnover ranged from 0.09 to 0.34. The probability that</w:t>
      </w:r>
    </w:p>
    <w:p>
      <w:pPr>
        <w:pStyle w:val="BodyText"/>
      </w:pPr>
      <w:r>
        <w:t xml:space="preserve">The skew of energy fluxes towards populations with smaller/larger body sizes or higher/lower turnover showed weak, yet systematic variation with stream temperature (Figure XX). Skew towards larger body sizes was negatively association with stream temperature. The mean effect size of increasing temperature was to shift the skewness coefficient,</w:t>
      </w:r>
      <w:r>
        <w:t xml:space="preserve"> </w:t>
      </w:r>
      <m:oMath>
        <m:r>
          <m:t>S</m:t>
        </m:r>
        <m:sSub>
          <m:e>
            <m:r>
              <m:t>k</m:t>
            </m:r>
          </m:e>
          <m:sub>
            <m:r>
              <m:t>f</m:t>
            </m:r>
            <m:r>
              <m:t>l</m:t>
            </m:r>
            <m:r>
              <m:t>u</m:t>
            </m:r>
            <m:r>
              <m:t>x</m:t>
            </m:r>
          </m:sub>
        </m:sSub>
      </m:oMath>
      <w:r>
        <w:t xml:space="preserve">, -0.03 units (-0.05 to 0.04 95% PI) for every 1</w:t>
      </w:r>
      <w:r>
        <w:t xml:space="preserve"> </w:t>
      </w:r>
      <m:oMath>
        <m:sSup>
          <m:e>
            <m:r>
              <m:t>​</m:t>
            </m:r>
          </m:e>
          <m:sup>
            <m:r>
              <m:t>∘</m:t>
            </m:r>
          </m:sup>
        </m:sSup>
      </m:oMath>
      <w:r>
        <w:t xml:space="preserve">C . The estimated effect of temperature on</w:t>
      </w:r>
      <w:r>
        <w:t xml:space="preserve"> </w:t>
      </w:r>
      <m:oMath>
        <m:r>
          <m:t>S</m:t>
        </m:r>
        <m:sSub>
          <m:e>
            <m:r>
              <m:t>k</m:t>
            </m:r>
          </m:e>
          <m:sub>
            <m:r>
              <m:t>f</m:t>
            </m:r>
            <m:r>
              <m:t>l</m:t>
            </m:r>
            <m:r>
              <m:t>u</m:t>
            </m:r>
            <m:r>
              <m:t>x</m:t>
            </m:r>
          </m:sub>
        </m:sSub>
      </m:oMath>
      <w:r>
        <w:t xml:space="preserve"> </w:t>
      </w:r>
      <w:r>
        <w:t xml:space="preserve">towards higher body size populations exhibited a bimodal distribution around zero, but 93.616% of values fell below zero. Similarly, energy fluxes through the community skewed increasingly toward higher turnover (</w:t>
      </w:r>
      <w:r>
        <w:rPr>
          <w:i/>
        </w:rPr>
        <w:t xml:space="preserve">P:B</w:t>
      </w:r>
      <w:r>
        <w:t xml:space="preserve">)organisms with increasing temperature. The increase in</w:t>
      </w:r>
      <w:r>
        <w:t xml:space="preserve"> </w:t>
      </w:r>
      <m:oMath>
        <m:r>
          <m:t>S</m:t>
        </m:r>
        <m:sSub>
          <m:e>
            <m:r>
              <m:t>k</m:t>
            </m:r>
          </m:e>
          <m:sub>
            <m:r>
              <m:t>f</m:t>
            </m:r>
            <m:r>
              <m:t>l</m:t>
            </m:r>
            <m:r>
              <m:t>u</m:t>
            </m:r>
            <m:r>
              <m:t>x</m:t>
            </m:r>
          </m:sub>
        </m:sSub>
      </m:oMath>
      <w:r>
        <w:t xml:space="preserve"> </w:t>
      </w:r>
      <w:r>
        <w:t xml:space="preserve">towards higher</w:t>
      </w:r>
      <w:r>
        <w:t xml:space="preserve"> </w:t>
      </w:r>
      <w:r>
        <w:rPr>
          <w:i/>
        </w:rPr>
        <w:t xml:space="preserve">P:B</w:t>
      </w:r>
      <w:r>
        <w:t xml:space="preserve"> </w:t>
      </w:r>
      <w:r>
        <w:t xml:space="preserve">populations was 0.04 (0.01 to 0.06 95% PI).</w:t>
      </w:r>
    </w:p>
    <w:p>
      <w:pPr>
        <w:pStyle w:val="BodyText"/>
      </w:pPr>
      <w:r>
        <w:t xml:space="preserve">#Discussion</w:t>
      </w:r>
    </w:p>
    <w:p>
      <w:pPr>
        <w:pStyle w:val="BodyText"/>
      </w:pPr>
      <w:r>
        <w:t xml:space="preserve">Changing global temperatures are altering the pathways of energy flow across and within ecosystems with potential consequences for the services they provide. Here, we document shifting energy flow pathways across a wide natural temperature gradient to show that increasing mean annual temperatures are associated with reductions in mean community body size and a concomitant increase in mean biomass turnover rates across stream consumer communities. Further, within consumer communities energy fluxes are skewed systematically toward larger, slower-turnover organisms at cooler stream temperatures and smaller</w:t>
      </w:r>
    </w:p>
    <w:bookmarkEnd w:id="33"/>
    <w:bookmarkEnd w:id="34"/>
    <w:bookmarkStart w:id="35" w:name="acknowledgements"/>
    <w:p>
      <w:pPr>
        <w:pStyle w:val="Heading1"/>
      </w:pPr>
      <w:r>
        <w:t xml:space="preserve">Acknowledgements</w:t>
      </w:r>
    </w:p>
    <w:p>
      <w:pPr>
        <w:pStyle w:val="FirstParagraph"/>
      </w:pPr>
      <w:r>
        <w:t xml:space="preserve">Jeff Wesner and Abe Kanz for code sharing and discussions on modeling diet proportions.</w:t>
      </w:r>
    </w:p>
    <w:bookmarkEnd w:id="35"/>
    <w:bookmarkStart w:id="85" w:name="references"/>
    <w:p>
      <w:pPr>
        <w:pStyle w:val="Heading1"/>
      </w:pPr>
      <w:r>
        <w:t xml:space="preserve">References</w:t>
      </w:r>
    </w:p>
    <w:bookmarkStart w:id="84" w:name="refs"/>
    <w:bookmarkStart w:id="36" w:name="ref-allen2005"/>
    <w:p>
      <w:pPr>
        <w:pStyle w:val="Bibliography"/>
      </w:pPr>
      <w:r>
        <w:t xml:space="preserve">Allen, A. P., J. F. Gillooly, and J. H. Brown. 2005. Linking the global carbon cycle to individual metabolism. Functional Ecology 19:202–213.</w:t>
      </w:r>
    </w:p>
    <w:bookmarkEnd w:id="36"/>
    <w:bookmarkStart w:id="37"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7"/>
    <w:bookmarkStart w:id="38"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38"/>
    <w:bookmarkStart w:id="39"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39"/>
    <w:bookmarkStart w:id="40"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0"/>
    <w:bookmarkStart w:id="41"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1"/>
    <w:bookmarkStart w:id="42"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2"/>
    <w:bookmarkStart w:id="43"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3"/>
    <w:bookmarkStart w:id="44" w:name="ref-benke1980"/>
    <w:p>
      <w:pPr>
        <w:pStyle w:val="Bibliography"/>
      </w:pPr>
      <w:r>
        <w:t xml:space="preserve">Benke, A. C., and J. B. Wallace. 1980. Trophic basis of production among net-spinning caddisflies in a southern appalachain stream. Ecology 61:108–118.</w:t>
      </w:r>
    </w:p>
    <w:bookmarkEnd w:id="44"/>
    <w:bookmarkStart w:id="45"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45"/>
    <w:bookmarkStart w:id="46"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46"/>
    <w:bookmarkStart w:id="47"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47"/>
    <w:bookmarkStart w:id="48"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48"/>
    <w:bookmarkStart w:id="49" w:name="ref-chao2019"/>
    <w:p>
      <w:pPr>
        <w:pStyle w:val="Bibliography"/>
      </w:pPr>
      <w:r>
        <w:t xml:space="preserve">Chao, A., and C. Ricotta. 2019. Quantifying evenness and linking it to diversity, beta diversity, and similarity. Ecology 100:e02852.</w:t>
      </w:r>
    </w:p>
    <w:bookmarkEnd w:id="49"/>
    <w:bookmarkStart w:id="50"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0"/>
    <w:bookmarkStart w:id="51"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1"/>
    <w:bookmarkStart w:id="52"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2"/>
    <w:bookmarkStart w:id="53"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3"/>
    <w:bookmarkStart w:id="54"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54"/>
    <w:bookmarkStart w:id="55"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55"/>
    <w:bookmarkStart w:id="56" w:name="ref-gibert2019"/>
    <w:p>
      <w:pPr>
        <w:pStyle w:val="Bibliography"/>
      </w:pPr>
      <w:r>
        <w:t xml:space="preserve">Gibert, J. P. 2019. Temperature directly and indirectly influences food web structure. Scientific Reports 9:5312.</w:t>
      </w:r>
    </w:p>
    <w:bookmarkEnd w:id="56"/>
    <w:bookmarkStart w:id="57" w:name="ref-gibert2017"/>
    <w:p>
      <w:pPr>
        <w:pStyle w:val="Bibliography"/>
      </w:pPr>
      <w:r>
        <w:t xml:space="preserve">Gibert, J. P., and J. P. DeLong. 2017. Phenotypic variation explains food web structural patterns. Proceedings of the National Academy of Sciences 114:11187–11192.</w:t>
      </w:r>
    </w:p>
    <w:bookmarkEnd w:id="57"/>
    <w:bookmarkStart w:id="58" w:name="ref-gillooly2001"/>
    <w:p>
      <w:pPr>
        <w:pStyle w:val="Bibliography"/>
      </w:pPr>
      <w:r>
        <w:t xml:space="preserve">Gillooly, J. F., J. H. Brown, G. B. West, V. M. Savage, and E. L. Charnov. 2001. Effects of size and temperature on metabolic rate. Science (New York, N.Y.) 293:2248–2251.</w:t>
      </w:r>
    </w:p>
    <w:bookmarkEnd w:id="58"/>
    <w:bookmarkStart w:id="59"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59"/>
    <w:bookmarkStart w:id="60"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60"/>
    <w:bookmarkStart w:id="61"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1"/>
    <w:bookmarkStart w:id="62"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2"/>
    <w:bookmarkStart w:id="63"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63"/>
    <w:bookmarkStart w:id="64"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64"/>
    <w:bookmarkStart w:id="65"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65"/>
    <w:bookmarkStart w:id="66" w:name="ref-mccann1998"/>
    <w:p>
      <w:pPr>
        <w:pStyle w:val="Bibliography"/>
      </w:pPr>
      <w:r>
        <w:t xml:space="preserve">McCann, K., A. Hastings, and G. R. Huxel. 1998. Weak trophic interactions and the balance of nature. Nature 395:794–798.</w:t>
      </w:r>
    </w:p>
    <w:bookmarkEnd w:id="66"/>
    <w:bookmarkStart w:id="67"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67"/>
    <w:bookmarkStart w:id="68"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68"/>
    <w:bookmarkStart w:id="69"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69"/>
    <w:bookmarkStart w:id="70"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70"/>
    <w:bookmarkStart w:id="71"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71"/>
    <w:bookmarkStart w:id="72"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72"/>
    <w:bookmarkStart w:id="73"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73"/>
    <w:bookmarkStart w:id="74"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74"/>
    <w:bookmarkStart w:id="75" w:name="ref-rosi-marshall2016"/>
    <w:p>
      <w:pPr>
        <w:pStyle w:val="Bibliography"/>
      </w:pPr>
      <w:r>
        <w:t xml:space="preserve">Rosi-Marshall, E. J., H. A. Wellard Kelly, R. O. Hall, and K. A. Vallis. 2016. Methods for quantifying aquatic macroinvertebrate diets. Freshwater Science 35:229–236.</w:t>
      </w:r>
    </w:p>
    <w:bookmarkEnd w:id="75"/>
    <w:bookmarkStart w:id="76"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76"/>
    <w:bookmarkStart w:id="77" w:name="ref-solomon1975"/>
    <w:p>
      <w:pPr>
        <w:pStyle w:val="Bibliography"/>
      </w:pPr>
      <w:r>
        <w:t xml:space="preserve">Solomon, D. L. 1975. A comparative approach to species diversity:7.</w:t>
      </w:r>
    </w:p>
    <w:bookmarkEnd w:id="77"/>
    <w:bookmarkStart w:id="78"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78"/>
    <w:bookmarkStart w:id="79"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79"/>
    <w:bookmarkStart w:id="80" w:name="ref-walther2002"/>
    <w:p>
      <w:pPr>
        <w:pStyle w:val="Bibliography"/>
      </w:pPr>
      <w:r>
        <w:t xml:space="preserve">Walther, G.-R., E. Post, P. Convey, A. Menzel, C. Parmesan, T. J. C. Beebee, J.-M. Fromentin, O. Hoegh-Guldberg, and F. Bairlein. 2002. Ecological responses to recent climate change. Nature 416:389–395.</w:t>
      </w:r>
    </w:p>
    <w:bookmarkEnd w:id="80"/>
    <w:bookmarkStart w:id="81"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81"/>
    <w:bookmarkStart w:id="82" w:name="ref-woodward2010b"/>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82"/>
    <w:bookmarkStart w:id="83" w:name="ref-zhang2017"/>
    <w:p>
      <w:pPr>
        <w:pStyle w:val="Bibliography"/>
      </w:pPr>
      <w:r>
        <w:t xml:space="preserve">Zhang, L., D. Takahashi, M. Hartvig, and K. H. Andersen. 2017. Food-web dynamics under climate change. Proceedings of the Royal Society B: Biological Sciences 284:20171772.</w:t>
      </w:r>
    </w:p>
    <w:bookmarkEnd w:id="83"/>
    <w:bookmarkEnd w:id="84"/>
    <w:bookmarkEnd w:id="85"/>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2021-06-01T22:15:40Z</dcterms:created>
  <dcterms:modified xsi:type="dcterms:W3CDTF">2021-06-01T22:15:40Z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