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6.png" ContentType="image/png"/>
  <Override PartName="/word/media/rId24.png" ContentType="image/png"/>
  <Override PartName="/word/media/rId20.png" ContentType="image/png"/>
  <Override PartName="/word/media/rId22.png" ContentType="image/png"/>
  <Override PartName="/word/media/rId25.png" ContentType="image/png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Report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April,</w:t>
      </w:r>
      <w:r>
        <w:t xml:space="preserve"> </w:t>
      </w:r>
      <w:r>
        <w:t xml:space="preserve">2021</w:t>
      </w:r>
    </w:p>
    <w:bookmarkStart w:id="27" w:name="tables"/>
    <w:p>
      <w:pPr>
        <w:pStyle w:val="Heading2"/>
      </w:pPr>
      <w:r>
        <w:t xml:space="preserve">Tables</w:t>
      </w:r>
    </w:p>
    <w:p>
      <w:r>
        <w:br w:type="page"/>
      </w:r>
    </w:p>
    <w:p>
      <w:pPr>
        <w:pStyle w:val="FirstParagraph"/>
      </w:pPr>
      <w:r>
        <w:t xml:space="preserve">Table 1.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Non-normalized Gini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Normalized Gini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hver</w:t>
            </w:r>
          </w:p>
        </w:tc>
        <w:tc>
          <w:p>
            <w:pPr>
              <w:pStyle w:val="Compact"/>
              <w:jc w:val="right"/>
            </w:pPr>
            <w:r>
              <w:t xml:space="preserve">0.22 ( 0.18 - 0.27 )</w:t>
            </w:r>
          </w:p>
        </w:tc>
        <w:tc>
          <w:p>
            <w:pPr>
              <w:pStyle w:val="Compact"/>
              <w:jc w:val="right"/>
            </w:pPr>
            <w:r>
              <w:t xml:space="preserve">0.15 ( 0.11 - 0.19 )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oh2</w:t>
            </w:r>
          </w:p>
        </w:tc>
        <w:tc>
          <w:p>
            <w:pPr>
              <w:pStyle w:val="Compact"/>
              <w:jc w:val="right"/>
            </w:pPr>
            <w:r>
              <w:t xml:space="preserve">0.27 ( 0.24 - 0.31 )</w:t>
            </w:r>
          </w:p>
        </w:tc>
        <w:tc>
          <w:p>
            <w:pPr>
              <w:pStyle w:val="Compact"/>
              <w:jc w:val="right"/>
            </w:pPr>
            <w:r>
              <w:t xml:space="preserve">0.25 ( 0.21 - 0.28 )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st14</w:t>
            </w:r>
          </w:p>
        </w:tc>
        <w:tc>
          <w:p>
            <w:pPr>
              <w:pStyle w:val="Compact"/>
              <w:jc w:val="right"/>
            </w:pPr>
            <w:r>
              <w:t xml:space="preserve">0.14 ( 0.098 - 0.21 )</w:t>
            </w:r>
          </w:p>
        </w:tc>
        <w:tc>
          <w:p>
            <w:pPr>
              <w:pStyle w:val="Compact"/>
              <w:jc w:val="right"/>
            </w:pPr>
            <w:r>
              <w:t xml:space="preserve">0.1 ( 0.059 - 0.17 )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st6</w:t>
            </w:r>
          </w:p>
        </w:tc>
        <w:tc>
          <w:p>
            <w:pPr>
              <w:pStyle w:val="Compact"/>
              <w:jc w:val="right"/>
            </w:pPr>
            <w:r>
              <w:t xml:space="preserve">0.13 ( 0.11 - 0.16 )</w:t>
            </w:r>
          </w:p>
        </w:tc>
        <w:tc>
          <w:p>
            <w:pPr>
              <w:pStyle w:val="Compact"/>
              <w:jc w:val="right"/>
            </w:pPr>
            <w:r>
              <w:t xml:space="preserve">0.1 ( 0.079 - 0.13 )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st7</w:t>
            </w:r>
          </w:p>
        </w:tc>
        <w:tc>
          <w:p>
            <w:pPr>
              <w:pStyle w:val="Compact"/>
              <w:jc w:val="right"/>
            </w:pPr>
            <w:r>
              <w:t xml:space="preserve">0.25 ( 0.22 - 0.28 )</w:t>
            </w:r>
          </w:p>
        </w:tc>
        <w:tc>
          <w:p>
            <w:pPr>
              <w:pStyle w:val="Compact"/>
              <w:jc w:val="right"/>
            </w:pPr>
            <w:r>
              <w:t xml:space="preserve">0.22 ( 0.19 - 0.25 )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st9</w:t>
            </w:r>
          </w:p>
        </w:tc>
        <w:tc>
          <w:p>
            <w:pPr>
              <w:pStyle w:val="Compact"/>
              <w:jc w:val="right"/>
            </w:pPr>
            <w:r>
              <w:t xml:space="preserve">0.069 ( 0.054 - 0.098 )</w:t>
            </w:r>
          </w:p>
        </w:tc>
        <w:tc>
          <w:p>
            <w:pPr>
              <w:pStyle w:val="Compact"/>
              <w:jc w:val="right"/>
            </w:pPr>
            <w:r>
              <w:t xml:space="preserve">0.04 ( 0.024 - 0.069 )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2.</w:t>
      </w:r>
    </w:p>
    <w:p>
      <w:r>
        <w:br w:type="page"/>
      </w:r>
    </w:p>
    <w:p>
      <w:pPr>
        <w:pStyle w:val="BodyText"/>
      </w:pPr>
      <w:r>
        <w:t xml:space="preserve">Figure descriptions</w:t>
      </w:r>
    </w:p>
    <w:p>
      <w:pPr>
        <w:pStyle w:val="BodyText"/>
      </w:pPr>
      <w:r>
        <w:t xml:space="preserve">Figure 1. Species rank-flux plots among streams. Within each stream, species are ranked by descending annual total organic matter flux (mg AFDM</w:t>
      </w:r>
      <w:r>
        <w:t xml:space="preserve"> </w:t>
      </w:r>
      <m:oMath>
        <m:sSup>
          <m:e>
            <m:r>
              <m:t>m</m:t>
            </m:r>
          </m:e>
          <m:sup>
            <m:r>
              <m:t>−</m:t>
            </m:r>
            <m:r>
              <m:t>2</m:t>
            </m:r>
          </m:sup>
        </m:sSup>
        <m:sSup>
          <m:e>
            <m:r>
              <m:t>y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figure%201.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3. Histograms of species trait distributions of (a) log</w:t>
      </w:r>
      <w:r>
        <w:rPr>
          <w:vertAlign w:val="subscript"/>
        </w:rPr>
        <w:t xml:space="preserve">10</w:t>
      </w:r>
      <w:r>
        <w:t xml:space="preserve"> </w:t>
      </w:r>
      <w:r>
        <w:t xml:space="preserve">annual production:biomass ratio (y</w:t>
      </w:r>
      <w:r>
        <w:rPr>
          <w:vertAlign w:val="superscript"/>
        </w:rPr>
        <w:t xml:space="preserve">-1</w:t>
      </w:r>
      <w:r>
        <w:t xml:space="preserve">), (b) log</w:t>
      </w:r>
      <w:r>
        <w:rPr>
          <w:vertAlign w:val="subscript"/>
        </w:rPr>
        <w:t xml:space="preserve">10</w:t>
      </w:r>
      <w:r>
        <w:t xml:space="preserve"> </w:t>
      </w:r>
      <w:r>
        <w:t xml:space="preserve">mean body mass (mg ind</w:t>
      </w:r>
      <w:r>
        <w:rPr>
          <w:vertAlign w:val="superscript"/>
        </w:rPr>
        <w:t xml:space="preserve">-1</w:t>
      </w:r>
      <w:r>
        <w:t xml:space="preserve">), and (c) log</w:t>
      </w:r>
      <w:r>
        <w:rPr>
          <w:vertAlign w:val="subscript"/>
        </w:rPr>
        <w:t xml:space="preserve">10</w:t>
      </w:r>
      <w:r>
        <w:t xml:space="preserve"> </w:t>
      </w:r>
      <w:r>
        <w:t xml:space="preserve">annual mean population biomass (mg m</w:t>
      </w:r>
      <w:r>
        <w:rPr>
          <w:vertAlign w:val="superscript"/>
        </w:rPr>
        <w:t xml:space="preserve">-2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trait%20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4. Relative cumulative fluxes among species in relation to ranked order of (a) annual production:biomass ratio (y</w:t>
      </w:r>
      <w:r>
        <w:rPr>
          <w:vertAlign w:val="superscript"/>
        </w:rPr>
        <w:t xml:space="preserve">-1</w:t>
      </w:r>
      <w:r>
        <w:t xml:space="preserve">) and (b) mean body size (mg ind</w:t>
      </w:r>
      <w:r>
        <w:rPr>
          <w:vertAlign w:val="superscript"/>
        </w:rPr>
        <w:t xml:space="preserve">-1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lorenz%20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4. Bootstrapped distribution of skew statistics from OM fluxes with body size,</w:t>
      </w:r>
      <w:r>
        <w:t xml:space="preserve"> </w:t>
      </w:r>
      <w:r>
        <w:rPr>
          <w:i/>
        </w:rPr>
        <w:t xml:space="preserve">M</w:t>
      </w:r>
      <w:r>
        <w:t xml:space="preserve">, and (b) population annual production:biomass ratio relative to the distribution of skew statistics of 100,000 random orderings.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skew%20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S1. Modeled diet proportions among streams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die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S2. Lorenz plot of relative community flux by species in ascending order of annual population organic matter flux (mg AFDM 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y</w:t>
      </w:r>
      <w:r>
        <w:rPr>
          <w:vertAlign w:val="superscript"/>
        </w:rPr>
        <w:t xml:space="preserve">-1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lorenz%20flu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S3. Cumulative plot of relative community flux by species in relation to mean annual population biomass (mg m</w:t>
      </w:r>
      <w:r>
        <w:rPr>
          <w:vertAlign w:val="superscript"/>
        </w:rPr>
        <w:t xml:space="preserve">-2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biomass%20flu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 w:rsidR="00A024C9" w:rsidRPr="00E8780E" w:rsidSect="009820FA">
      <w:footerReference w:type="default" r:id="rId9"/>
      <w:pgSz w:w="12240" w:h="15840" w:code="1"/>
      <w:pgMar w:top="1440" w:right="1440" w:bottom="1440" w:left="1440" w:header="720" w:footer="720" w:gutter="0"/>
      <w:lnNumType w:countBy="1" w:distance="288" w:restart="continuous"/>
      <w:cols w:space="720"/>
      <w:formProt w:val="0"/>
      <w:docGrid w:linePitch="36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410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ADAB9" w14:textId="2607009A" w:rsidR="009820FA" w:rsidRDefault="00982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Hindi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32"/>
    <w:pPr>
      <w:spacing w:line="480" w:lineRule="auto"/>
      <w:textAlignment w:val="baseline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595"/>
    <w:pPr>
      <w:keepNext/>
      <w:keepLines/>
      <w:spacing w:before="240" w:after="18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595"/>
    <w:pPr>
      <w:keepNext/>
      <w:keepLines/>
      <w:spacing w:before="40" w:after="180"/>
      <w:outlineLvl w:val="1"/>
    </w:pPr>
    <w:rPr>
      <w:rFonts w:eastAsiaTheme="majorEastAsia" w:cs="Mangal"/>
      <w:b/>
      <w:sz w:val="26"/>
      <w:szCs w:val="23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595"/>
    <w:pPr>
      <w:keepNext/>
      <w:keepLines/>
      <w:spacing w:before="40"/>
      <w:outlineLvl w:val="2"/>
    </w:pPr>
    <w:rPr>
      <w:rFonts w:eastAsiaTheme="majorEastAsia" w:cs="Mangal"/>
      <w:i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rsid w:val="00C00A37"/>
    <w:pPr>
      <w:spacing w:before="120"/>
    </w:p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sid w:val="00C00A37"/>
    <w:rPr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595"/>
    <w:rPr>
      <w:rFonts w:ascii="Times New Roman" w:eastAsiaTheme="majorEastAsia" w:hAnsi="Times New Roman" w:cs="Mangal"/>
      <w:i/>
      <w:sz w:val="24"/>
      <w:szCs w:val="21"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rsid w:val="00351935"/>
    <w:pPr>
      <w:spacing w:before="120"/>
    </w:pPr>
  </w:style>
  <w:style w:type="paragraph" w:customStyle="1" w:styleId="affiliation">
    <w:name w:val="affiliation"/>
    <w:basedOn w:val="Normal"/>
    <w:qFormat/>
    <w:rsid w:val="00C00A37"/>
    <w:pPr>
      <w:spacing w:before="120" w:line="240" w:lineRule="auto"/>
    </w:pPr>
    <w:rPr>
      <w:i/>
    </w:rPr>
  </w:style>
  <w:style w:type="paragraph" w:customStyle="1" w:styleId="email">
    <w:name w:val="email"/>
    <w:basedOn w:val="Normal"/>
    <w:link w:val="emailChar"/>
    <w:qFormat/>
    <w:pPr>
      <w:spacing w:before="120" w:line="240" w:lineRule="auto"/>
    </w:p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</w:style>
  <w:style w:type="paragraph" w:customStyle="1" w:styleId="figlegend">
    <w:name w:val="figlegend"/>
    <w:basedOn w:val="Normal"/>
    <w:next w:val="Normal"/>
    <w:qFormat/>
    <w:pPr>
      <w:spacing w:before="120"/>
    </w:pPr>
  </w:style>
  <w:style w:type="paragraph" w:customStyle="1" w:styleId="tablelegend">
    <w:name w:val="tablelegend"/>
    <w:basedOn w:val="Normal"/>
    <w:next w:val="Normal"/>
    <w:qFormat/>
    <w:pPr>
      <w:spacing w:before="120"/>
    </w:p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5E32E6"/>
  </w:style>
  <w:style w:type="character" w:styleId="Hyperlink">
    <w:name w:val="Hyperlink"/>
    <w:basedOn w:val="DefaultParagraphFont"/>
    <w:uiPriority w:val="99"/>
    <w:unhideWhenUsed/>
    <w:rsid w:val="000A0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69"/>
    <w:rPr>
      <w:color w:val="605E5C"/>
      <w:shd w:val="clear" w:color="auto" w:fill="E1DFDD"/>
    </w:rPr>
  </w:style>
  <w:style w:type="paragraph" w:customStyle="1" w:styleId="correspondemail">
    <w:name w:val="correspond_email"/>
    <w:basedOn w:val="email"/>
    <w:link w:val="correspondemailChar"/>
    <w:qFormat/>
    <w:rsid w:val="000A0769"/>
    <w:rPr>
      <w:color w:val="0070C0"/>
      <w:u w:val="single"/>
    </w:rPr>
  </w:style>
  <w:style w:type="character" w:customStyle="1" w:styleId="emailChar">
    <w:name w:val="email Char"/>
    <w:basedOn w:val="DefaultParagraphFont"/>
    <w:link w:val="email"/>
    <w:rsid w:val="000A0769"/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correspondemailChar">
    <w:name w:val="correspond_email Char"/>
    <w:basedOn w:val="emailChar"/>
    <w:link w:val="correspondemail"/>
    <w:rsid w:val="000A0769"/>
    <w:rPr>
      <w:rFonts w:ascii="Times New Roman" w:eastAsia="Times New Roman" w:hAnsi="Times New Roman" w:cs="Times New Roman"/>
      <w:color w:val="0070C0"/>
      <w:szCs w:val="20"/>
      <w:u w:val="single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820FA"/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A0595"/>
    <w:rPr>
      <w:rFonts w:ascii="Times New Roman" w:eastAsiaTheme="majorEastAsia" w:hAnsi="Times New Roman" w:cstheme="majorBidi"/>
      <w:b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A0595"/>
    <w:rPr>
      <w:rFonts w:ascii="Times New Roman" w:eastAsiaTheme="majorEastAsia" w:hAnsi="Times New Roman" w:cs="Mangal"/>
      <w:b/>
      <w:sz w:val="26"/>
      <w:szCs w:val="23"/>
      <w:u w:val="single"/>
    </w:rPr>
  </w:style>
  <w:style w:type="character" w:customStyle="1" w:styleId="name">
    <w:name w:val="name"/>
    <w:basedOn w:val="DefaultParagraphFont"/>
    <w:uiPriority w:val="1"/>
    <w:qFormat/>
    <w:rsid w:val="001F2417"/>
    <w:rPr>
      <w:rFonts w:ascii="Times New Roman" w:hAnsi="Times New Roman"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Report Author</dc:creator>
  <cp:keywords/>
  <dcterms:created xsi:type="dcterms:W3CDTF">2021-04-26T20:44:18Z</dcterms:created>
  <dcterms:modified xsi:type="dcterms:W3CDTF">2021-04-26T20:44:18Z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April, 2021</vt:lpwstr>
  </property>
  <property fmtid="{D5CDD505-2E9C-101B-9397-08002B2CF9AE}" pid="3" name="header-includes">
    <vt:lpwstr/>
  </property>
  <property fmtid="{D5CDD505-2E9C-101B-9397-08002B2CF9AE}" pid="4" name="linestretch">
    <vt:lpwstr>1</vt:lpwstr>
  </property>
  <property fmtid="{D5CDD505-2E9C-101B-9397-08002B2CF9AE}" pid="5" name="output">
    <vt:lpwstr/>
  </property>
</Properties>
</file>