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6F405" w14:textId="77777777" w:rsidR="00AB7968" w:rsidRDefault="00AB7968">
      <w:pPr>
        <w:spacing w:before="3600"/>
      </w:pPr>
    </w:p>
    <w:p w14:paraId="2C6C5BEE" w14:textId="77777777" w:rsidR="00AB7968" w:rsidRDefault="00EF0D76">
      <w:pPr>
        <w:spacing w:after="200"/>
        <w:jc w:val="center"/>
      </w:pPr>
      <w:r>
        <w:rPr>
          <w:b/>
          <w:bCs/>
          <w:color w:val="1A1A18"/>
          <w:sz w:val="48"/>
          <w:szCs w:val="48"/>
        </w:rPr>
        <w:t>The Agentic Front Office</w:t>
      </w:r>
    </w:p>
    <w:p w14:paraId="540F7388" w14:textId="77777777" w:rsidR="00AB7968" w:rsidRDefault="00EF0D76">
      <w:pPr>
        <w:spacing w:after="400"/>
        <w:jc w:val="center"/>
      </w:pPr>
      <w:r>
        <w:rPr>
          <w:color w:val="534AB7"/>
          <w:sz w:val="36"/>
          <w:szCs w:val="36"/>
        </w:rPr>
        <w:t>Architecture Deep Dive</w:t>
      </w:r>
    </w:p>
    <w:p w14:paraId="6FCFF97A" w14:textId="77777777" w:rsidR="00AB7968" w:rsidRDefault="00EF0D76">
      <w:pPr>
        <w:spacing w:after="100"/>
        <w:jc w:val="center"/>
      </w:pPr>
      <w:r>
        <w:rPr>
          <w:color w:val="666666"/>
          <w:sz w:val="22"/>
          <w:szCs w:val="22"/>
        </w:rPr>
        <w:t>From Commercial Vision to Implementable Architecture</w:t>
      </w:r>
    </w:p>
    <w:p w14:paraId="18A2ABB1" w14:textId="77777777" w:rsidR="00AB7968" w:rsidRDefault="00AB7968">
      <w:pPr>
        <w:spacing w:before="2400"/>
      </w:pPr>
    </w:p>
    <w:p w14:paraId="33A16E35" w14:textId="77777777" w:rsidR="00AB7968" w:rsidRDefault="00EF0D76">
      <w:pPr>
        <w:jc w:val="center"/>
      </w:pPr>
      <w:r>
        <w:rPr>
          <w:color w:val="888888"/>
          <w:sz w:val="20"/>
          <w:szCs w:val="20"/>
        </w:rPr>
        <w:t xml:space="preserve">Prepared by </w:t>
      </w:r>
      <w:proofErr w:type="gramStart"/>
      <w:r>
        <w:rPr>
          <w:color w:val="888888"/>
          <w:sz w:val="20"/>
          <w:szCs w:val="20"/>
        </w:rPr>
        <w:t>PwC  |</w:t>
      </w:r>
      <w:proofErr w:type="gramEnd"/>
      <w:r>
        <w:rPr>
          <w:color w:val="888888"/>
          <w:sz w:val="20"/>
          <w:szCs w:val="20"/>
        </w:rPr>
        <w:t xml:space="preserve">  Customer, Strategy &amp; Experience</w:t>
      </w:r>
    </w:p>
    <w:p w14:paraId="530DB6FA" w14:textId="77777777" w:rsidR="00AB7968" w:rsidRDefault="00AB7968">
      <w:pPr>
        <w:sectPr w:rsidR="00AB7968">
          <w:pgSz w:w="12240" w:h="15840"/>
          <w:pgMar w:top="1440" w:right="1440" w:bottom="1440" w:left="1440" w:header="708" w:footer="708" w:gutter="0"/>
          <w:cols w:space="720"/>
          <w:docGrid w:linePitch="360"/>
        </w:sectPr>
      </w:pPr>
    </w:p>
    <w:p w14:paraId="503178D9" w14:textId="77777777" w:rsidR="00AB7968" w:rsidRDefault="00EF0D76">
      <w:pPr>
        <w:spacing w:after="300"/>
      </w:pPr>
      <w:r>
        <w:rPr>
          <w:b/>
          <w:bCs/>
          <w:color w:val="1A1A18"/>
          <w:sz w:val="32"/>
          <w:szCs w:val="32"/>
        </w:rPr>
        <w:lastRenderedPageBreak/>
        <w:t>Contents</w:t>
      </w:r>
    </w:p>
    <w:sdt>
      <w:sdtPr>
        <w:alias w:val="Table of Contents"/>
        <w:id w:val="-1286496078"/>
      </w:sdtPr>
      <w:sdtEndPr/>
      <w:sdtContent>
        <w:p w14:paraId="14F6097B" w14:textId="77777777" w:rsidR="002038A3" w:rsidRDefault="00EF0D76">
          <w:pPr>
            <w:pStyle w:val="TOC2"/>
            <w:tabs>
              <w:tab w:val="right" w:leader="dot" w:pos="9350"/>
            </w:tabs>
            <w:rPr>
              <w:noProof/>
            </w:rPr>
          </w:pPr>
          <w:r>
            <w:fldChar w:fldCharType="begin"/>
          </w:r>
          <w:r>
            <w:instrText>TOC \h \o "1-3"</w:instrText>
          </w:r>
          <w:r>
            <w:fldChar w:fldCharType="separate"/>
          </w:r>
          <w:hyperlink w:anchor="_Toc229658880" w:history="1">
            <w:r w:rsidR="002038A3" w:rsidRPr="001E55F3">
              <w:rPr>
                <w:rStyle w:val="Hyperlink"/>
                <w:noProof/>
              </w:rPr>
              <w:t>Executive Summary</w:t>
            </w:r>
            <w:r w:rsidR="002038A3">
              <w:rPr>
                <w:noProof/>
              </w:rPr>
              <w:tab/>
            </w:r>
            <w:r w:rsidR="002038A3">
              <w:rPr>
                <w:noProof/>
              </w:rPr>
              <w:fldChar w:fldCharType="begin"/>
            </w:r>
            <w:r w:rsidR="002038A3">
              <w:rPr>
                <w:noProof/>
              </w:rPr>
              <w:instrText xml:space="preserve"> PAGEREF _Toc229658880 \h </w:instrText>
            </w:r>
            <w:r w:rsidR="002038A3">
              <w:rPr>
                <w:noProof/>
              </w:rPr>
            </w:r>
            <w:r w:rsidR="002038A3">
              <w:rPr>
                <w:noProof/>
              </w:rPr>
              <w:fldChar w:fldCharType="separate"/>
            </w:r>
            <w:r w:rsidR="002038A3">
              <w:rPr>
                <w:noProof/>
              </w:rPr>
              <w:t>5</w:t>
            </w:r>
            <w:r w:rsidR="002038A3">
              <w:rPr>
                <w:noProof/>
              </w:rPr>
              <w:fldChar w:fldCharType="end"/>
            </w:r>
          </w:hyperlink>
        </w:p>
        <w:p w14:paraId="3DD675B2" w14:textId="77777777" w:rsidR="002038A3" w:rsidRDefault="002038A3">
          <w:pPr>
            <w:pStyle w:val="TOC1"/>
            <w:tabs>
              <w:tab w:val="right" w:leader="dot" w:pos="9350"/>
            </w:tabs>
            <w:rPr>
              <w:noProof/>
            </w:rPr>
          </w:pPr>
          <w:hyperlink w:anchor="_Toc229658881" w:history="1">
            <w:r w:rsidRPr="001E55F3">
              <w:rPr>
                <w:rStyle w:val="Hyperlink"/>
                <w:noProof/>
              </w:rPr>
              <w:t>Section 1: The Architectural Imperative</w:t>
            </w:r>
            <w:r>
              <w:rPr>
                <w:noProof/>
              </w:rPr>
              <w:tab/>
            </w:r>
            <w:r>
              <w:rPr>
                <w:noProof/>
              </w:rPr>
              <w:fldChar w:fldCharType="begin"/>
            </w:r>
            <w:r>
              <w:rPr>
                <w:noProof/>
              </w:rPr>
              <w:instrText xml:space="preserve"> PAGEREF _Toc229658881 \h </w:instrText>
            </w:r>
            <w:r>
              <w:rPr>
                <w:noProof/>
              </w:rPr>
            </w:r>
            <w:r>
              <w:rPr>
                <w:noProof/>
              </w:rPr>
              <w:fldChar w:fldCharType="separate"/>
            </w:r>
            <w:r>
              <w:rPr>
                <w:noProof/>
              </w:rPr>
              <w:t>7</w:t>
            </w:r>
            <w:r>
              <w:rPr>
                <w:noProof/>
              </w:rPr>
              <w:fldChar w:fldCharType="end"/>
            </w:r>
          </w:hyperlink>
        </w:p>
        <w:p w14:paraId="676E087A" w14:textId="77777777" w:rsidR="002038A3" w:rsidRDefault="002038A3">
          <w:pPr>
            <w:pStyle w:val="TOC2"/>
            <w:tabs>
              <w:tab w:val="right" w:leader="dot" w:pos="9350"/>
            </w:tabs>
            <w:rPr>
              <w:noProof/>
            </w:rPr>
          </w:pPr>
          <w:hyperlink w:anchor="_Toc229658882" w:history="1">
            <w:r w:rsidRPr="001E55F3">
              <w:rPr>
                <w:rStyle w:val="Hyperlink"/>
                <w:noProof/>
              </w:rPr>
              <w:t>Why Architecture Is the Transformation's Center of Gravity</w:t>
            </w:r>
            <w:r>
              <w:rPr>
                <w:noProof/>
              </w:rPr>
              <w:tab/>
            </w:r>
            <w:r>
              <w:rPr>
                <w:noProof/>
              </w:rPr>
              <w:fldChar w:fldCharType="begin"/>
            </w:r>
            <w:r>
              <w:rPr>
                <w:noProof/>
              </w:rPr>
              <w:instrText xml:space="preserve"> PAGEREF _Toc229658882 \h </w:instrText>
            </w:r>
            <w:r>
              <w:rPr>
                <w:noProof/>
              </w:rPr>
            </w:r>
            <w:r>
              <w:rPr>
                <w:noProof/>
              </w:rPr>
              <w:fldChar w:fldCharType="separate"/>
            </w:r>
            <w:r>
              <w:rPr>
                <w:noProof/>
              </w:rPr>
              <w:t>7</w:t>
            </w:r>
            <w:r>
              <w:rPr>
                <w:noProof/>
              </w:rPr>
              <w:fldChar w:fldCharType="end"/>
            </w:r>
          </w:hyperlink>
        </w:p>
        <w:p w14:paraId="03480FDC" w14:textId="77777777" w:rsidR="002038A3" w:rsidRDefault="002038A3">
          <w:pPr>
            <w:pStyle w:val="TOC2"/>
            <w:tabs>
              <w:tab w:val="right" w:leader="dot" w:pos="9350"/>
            </w:tabs>
            <w:rPr>
              <w:noProof/>
            </w:rPr>
          </w:pPr>
          <w:hyperlink w:anchor="_Toc229658883" w:history="1">
            <w:r w:rsidRPr="001E55F3">
              <w:rPr>
                <w:rStyle w:val="Hyperlink"/>
                <w:noProof/>
              </w:rPr>
              <w:t>This Document and the Capability Blueprint</w:t>
            </w:r>
            <w:r>
              <w:rPr>
                <w:noProof/>
              </w:rPr>
              <w:tab/>
            </w:r>
            <w:r>
              <w:rPr>
                <w:noProof/>
              </w:rPr>
              <w:fldChar w:fldCharType="begin"/>
            </w:r>
            <w:r>
              <w:rPr>
                <w:noProof/>
              </w:rPr>
              <w:instrText xml:space="preserve"> PAGEREF _Toc229658883 \h </w:instrText>
            </w:r>
            <w:r>
              <w:rPr>
                <w:noProof/>
              </w:rPr>
            </w:r>
            <w:r>
              <w:rPr>
                <w:noProof/>
              </w:rPr>
              <w:fldChar w:fldCharType="separate"/>
            </w:r>
            <w:r>
              <w:rPr>
                <w:noProof/>
              </w:rPr>
              <w:t>7</w:t>
            </w:r>
            <w:r>
              <w:rPr>
                <w:noProof/>
              </w:rPr>
              <w:fldChar w:fldCharType="end"/>
            </w:r>
          </w:hyperlink>
        </w:p>
        <w:p w14:paraId="7E950EBC" w14:textId="77777777" w:rsidR="002038A3" w:rsidRDefault="002038A3">
          <w:pPr>
            <w:pStyle w:val="TOC2"/>
            <w:tabs>
              <w:tab w:val="right" w:leader="dot" w:pos="9350"/>
            </w:tabs>
            <w:rPr>
              <w:noProof/>
            </w:rPr>
          </w:pPr>
          <w:hyperlink w:anchor="_Toc229658884" w:history="1">
            <w:r w:rsidRPr="001E55F3">
              <w:rPr>
                <w:rStyle w:val="Hyperlink"/>
                <w:noProof/>
              </w:rPr>
              <w:t>Reading This Document</w:t>
            </w:r>
            <w:r>
              <w:rPr>
                <w:noProof/>
              </w:rPr>
              <w:tab/>
            </w:r>
            <w:r>
              <w:rPr>
                <w:noProof/>
              </w:rPr>
              <w:fldChar w:fldCharType="begin"/>
            </w:r>
            <w:r>
              <w:rPr>
                <w:noProof/>
              </w:rPr>
              <w:instrText xml:space="preserve"> PAGEREF _Toc229658884 \h </w:instrText>
            </w:r>
            <w:r>
              <w:rPr>
                <w:noProof/>
              </w:rPr>
            </w:r>
            <w:r>
              <w:rPr>
                <w:noProof/>
              </w:rPr>
              <w:fldChar w:fldCharType="separate"/>
            </w:r>
            <w:r>
              <w:rPr>
                <w:noProof/>
              </w:rPr>
              <w:t>8</w:t>
            </w:r>
            <w:r>
              <w:rPr>
                <w:noProof/>
              </w:rPr>
              <w:fldChar w:fldCharType="end"/>
            </w:r>
          </w:hyperlink>
        </w:p>
        <w:p w14:paraId="37633BC2" w14:textId="77777777" w:rsidR="002038A3" w:rsidRDefault="002038A3">
          <w:pPr>
            <w:pStyle w:val="TOC1"/>
            <w:tabs>
              <w:tab w:val="right" w:leader="dot" w:pos="9350"/>
            </w:tabs>
            <w:rPr>
              <w:noProof/>
            </w:rPr>
          </w:pPr>
          <w:hyperlink w:anchor="_Toc229658885" w:history="1">
            <w:r w:rsidRPr="001E55F3">
              <w:rPr>
                <w:rStyle w:val="Hyperlink"/>
                <w:noProof/>
              </w:rPr>
              <w:t>Section 2: The AFO Reference Architecture</w:t>
            </w:r>
            <w:r>
              <w:rPr>
                <w:noProof/>
              </w:rPr>
              <w:tab/>
            </w:r>
            <w:r>
              <w:rPr>
                <w:noProof/>
              </w:rPr>
              <w:fldChar w:fldCharType="begin"/>
            </w:r>
            <w:r>
              <w:rPr>
                <w:noProof/>
              </w:rPr>
              <w:instrText xml:space="preserve"> PAGEREF _Toc229658885 \h </w:instrText>
            </w:r>
            <w:r>
              <w:rPr>
                <w:noProof/>
              </w:rPr>
            </w:r>
            <w:r>
              <w:rPr>
                <w:noProof/>
              </w:rPr>
              <w:fldChar w:fldCharType="separate"/>
            </w:r>
            <w:r>
              <w:rPr>
                <w:noProof/>
              </w:rPr>
              <w:t>9</w:t>
            </w:r>
            <w:r>
              <w:rPr>
                <w:noProof/>
              </w:rPr>
              <w:fldChar w:fldCharType="end"/>
            </w:r>
          </w:hyperlink>
        </w:p>
        <w:p w14:paraId="74F85CD0" w14:textId="77777777" w:rsidR="002038A3" w:rsidRDefault="002038A3">
          <w:pPr>
            <w:pStyle w:val="TOC2"/>
            <w:tabs>
              <w:tab w:val="right" w:leader="dot" w:pos="9350"/>
            </w:tabs>
            <w:rPr>
              <w:noProof/>
            </w:rPr>
          </w:pPr>
          <w:hyperlink w:anchor="_Toc229658886" w:history="1">
            <w:r w:rsidRPr="001E55F3">
              <w:rPr>
                <w:rStyle w:val="Hyperlink"/>
                <w:noProof/>
              </w:rPr>
              <w:t>The Business Question This Section Answers</w:t>
            </w:r>
            <w:r>
              <w:rPr>
                <w:noProof/>
              </w:rPr>
              <w:tab/>
            </w:r>
            <w:r>
              <w:rPr>
                <w:noProof/>
              </w:rPr>
              <w:fldChar w:fldCharType="begin"/>
            </w:r>
            <w:r>
              <w:rPr>
                <w:noProof/>
              </w:rPr>
              <w:instrText xml:space="preserve"> PAGEREF _Toc229658886 \h </w:instrText>
            </w:r>
            <w:r>
              <w:rPr>
                <w:noProof/>
              </w:rPr>
            </w:r>
            <w:r>
              <w:rPr>
                <w:noProof/>
              </w:rPr>
              <w:fldChar w:fldCharType="separate"/>
            </w:r>
            <w:r>
              <w:rPr>
                <w:noProof/>
              </w:rPr>
              <w:t>9</w:t>
            </w:r>
            <w:r>
              <w:rPr>
                <w:noProof/>
              </w:rPr>
              <w:fldChar w:fldCharType="end"/>
            </w:r>
          </w:hyperlink>
        </w:p>
        <w:p w14:paraId="770D8182" w14:textId="77777777" w:rsidR="002038A3" w:rsidRDefault="002038A3">
          <w:pPr>
            <w:pStyle w:val="TOC2"/>
            <w:tabs>
              <w:tab w:val="right" w:leader="dot" w:pos="9350"/>
            </w:tabs>
            <w:rPr>
              <w:noProof/>
            </w:rPr>
          </w:pPr>
          <w:hyperlink w:anchor="_Toc229658887" w:history="1">
            <w:r w:rsidRPr="001E55F3">
              <w:rPr>
                <w:rStyle w:val="Hyperlink"/>
                <w:noProof/>
              </w:rPr>
              <w:t>A Layered Architecture for the Commercial Engine</w:t>
            </w:r>
            <w:r>
              <w:rPr>
                <w:noProof/>
              </w:rPr>
              <w:tab/>
            </w:r>
            <w:r>
              <w:rPr>
                <w:noProof/>
              </w:rPr>
              <w:fldChar w:fldCharType="begin"/>
            </w:r>
            <w:r>
              <w:rPr>
                <w:noProof/>
              </w:rPr>
              <w:instrText xml:space="preserve"> PAGEREF _Toc229658887 \h </w:instrText>
            </w:r>
            <w:r>
              <w:rPr>
                <w:noProof/>
              </w:rPr>
            </w:r>
            <w:r>
              <w:rPr>
                <w:noProof/>
              </w:rPr>
              <w:fldChar w:fldCharType="separate"/>
            </w:r>
            <w:r>
              <w:rPr>
                <w:noProof/>
              </w:rPr>
              <w:t>9</w:t>
            </w:r>
            <w:r>
              <w:rPr>
                <w:noProof/>
              </w:rPr>
              <w:fldChar w:fldCharType="end"/>
            </w:r>
          </w:hyperlink>
        </w:p>
        <w:p w14:paraId="5C2E5249" w14:textId="77777777" w:rsidR="002038A3" w:rsidRDefault="002038A3">
          <w:pPr>
            <w:pStyle w:val="TOC2"/>
            <w:tabs>
              <w:tab w:val="right" w:leader="dot" w:pos="9350"/>
            </w:tabs>
            <w:rPr>
              <w:noProof/>
            </w:rPr>
          </w:pPr>
          <w:hyperlink w:anchor="_Toc229658888" w:history="1">
            <w:r w:rsidRPr="001E55F3">
              <w:rPr>
                <w:rStyle w:val="Hyperlink"/>
                <w:noProof/>
              </w:rPr>
              <w:t>Layer by Layer: Structure, Role, and Design Principle</w:t>
            </w:r>
            <w:r>
              <w:rPr>
                <w:noProof/>
              </w:rPr>
              <w:tab/>
            </w:r>
            <w:r>
              <w:rPr>
                <w:noProof/>
              </w:rPr>
              <w:fldChar w:fldCharType="begin"/>
            </w:r>
            <w:r>
              <w:rPr>
                <w:noProof/>
              </w:rPr>
              <w:instrText xml:space="preserve"> PAGEREF _Toc229658888 \h </w:instrText>
            </w:r>
            <w:r>
              <w:rPr>
                <w:noProof/>
              </w:rPr>
            </w:r>
            <w:r>
              <w:rPr>
                <w:noProof/>
              </w:rPr>
              <w:fldChar w:fldCharType="separate"/>
            </w:r>
            <w:r>
              <w:rPr>
                <w:noProof/>
              </w:rPr>
              <w:t>10</w:t>
            </w:r>
            <w:r>
              <w:rPr>
                <w:noProof/>
              </w:rPr>
              <w:fldChar w:fldCharType="end"/>
            </w:r>
          </w:hyperlink>
        </w:p>
        <w:p w14:paraId="7817904F" w14:textId="77777777" w:rsidR="002038A3" w:rsidRDefault="002038A3">
          <w:pPr>
            <w:pStyle w:val="TOC3"/>
            <w:tabs>
              <w:tab w:val="right" w:leader="dot" w:pos="9350"/>
            </w:tabs>
            <w:rPr>
              <w:noProof/>
            </w:rPr>
          </w:pPr>
          <w:hyperlink w:anchor="_Toc229658889" w:history="1">
            <w:r w:rsidRPr="001E55F3">
              <w:rPr>
                <w:rStyle w:val="Hyperlink"/>
                <w:noProof/>
              </w:rPr>
              <w:t>Experience Layer</w:t>
            </w:r>
            <w:r>
              <w:rPr>
                <w:noProof/>
              </w:rPr>
              <w:tab/>
            </w:r>
            <w:r>
              <w:rPr>
                <w:noProof/>
              </w:rPr>
              <w:fldChar w:fldCharType="begin"/>
            </w:r>
            <w:r>
              <w:rPr>
                <w:noProof/>
              </w:rPr>
              <w:instrText xml:space="preserve"> PAGEREF _Toc229658889 \h </w:instrText>
            </w:r>
            <w:r>
              <w:rPr>
                <w:noProof/>
              </w:rPr>
            </w:r>
            <w:r>
              <w:rPr>
                <w:noProof/>
              </w:rPr>
              <w:fldChar w:fldCharType="separate"/>
            </w:r>
            <w:r>
              <w:rPr>
                <w:noProof/>
              </w:rPr>
              <w:t>10</w:t>
            </w:r>
            <w:r>
              <w:rPr>
                <w:noProof/>
              </w:rPr>
              <w:fldChar w:fldCharType="end"/>
            </w:r>
          </w:hyperlink>
        </w:p>
        <w:p w14:paraId="3B082614" w14:textId="77777777" w:rsidR="002038A3" w:rsidRDefault="002038A3">
          <w:pPr>
            <w:pStyle w:val="TOC3"/>
            <w:tabs>
              <w:tab w:val="right" w:leader="dot" w:pos="9350"/>
            </w:tabs>
            <w:rPr>
              <w:noProof/>
            </w:rPr>
          </w:pPr>
          <w:hyperlink w:anchor="_Toc229658890" w:history="1">
            <w:r w:rsidRPr="001E55F3">
              <w:rPr>
                <w:rStyle w:val="Hyperlink"/>
                <w:noProof/>
              </w:rPr>
              <w:t>Autonomous Experience Orchestration (AEO)</w:t>
            </w:r>
            <w:r>
              <w:rPr>
                <w:noProof/>
              </w:rPr>
              <w:tab/>
            </w:r>
            <w:r>
              <w:rPr>
                <w:noProof/>
              </w:rPr>
              <w:fldChar w:fldCharType="begin"/>
            </w:r>
            <w:r>
              <w:rPr>
                <w:noProof/>
              </w:rPr>
              <w:instrText xml:space="preserve"> PAGEREF _Toc229658890 \h </w:instrText>
            </w:r>
            <w:r>
              <w:rPr>
                <w:noProof/>
              </w:rPr>
            </w:r>
            <w:r>
              <w:rPr>
                <w:noProof/>
              </w:rPr>
              <w:fldChar w:fldCharType="separate"/>
            </w:r>
            <w:r>
              <w:rPr>
                <w:noProof/>
              </w:rPr>
              <w:t>11</w:t>
            </w:r>
            <w:r>
              <w:rPr>
                <w:noProof/>
              </w:rPr>
              <w:fldChar w:fldCharType="end"/>
            </w:r>
          </w:hyperlink>
        </w:p>
        <w:p w14:paraId="42A99F03" w14:textId="77777777" w:rsidR="002038A3" w:rsidRDefault="002038A3">
          <w:pPr>
            <w:pStyle w:val="TOC3"/>
            <w:tabs>
              <w:tab w:val="right" w:leader="dot" w:pos="9350"/>
            </w:tabs>
            <w:rPr>
              <w:noProof/>
            </w:rPr>
          </w:pPr>
          <w:hyperlink w:anchor="_Toc229658891" w:history="1">
            <w:r w:rsidRPr="001E55F3">
              <w:rPr>
                <w:rStyle w:val="Hyperlink"/>
                <w:noProof/>
              </w:rPr>
              <w:t>Functional Pillars: Marketing, Sales, Commerce, Service, Pricing</w:t>
            </w:r>
            <w:r>
              <w:rPr>
                <w:noProof/>
              </w:rPr>
              <w:tab/>
            </w:r>
            <w:r>
              <w:rPr>
                <w:noProof/>
              </w:rPr>
              <w:fldChar w:fldCharType="begin"/>
            </w:r>
            <w:r>
              <w:rPr>
                <w:noProof/>
              </w:rPr>
              <w:instrText xml:space="preserve"> PAGEREF _Toc229658891 \h </w:instrText>
            </w:r>
            <w:r>
              <w:rPr>
                <w:noProof/>
              </w:rPr>
            </w:r>
            <w:r>
              <w:rPr>
                <w:noProof/>
              </w:rPr>
              <w:fldChar w:fldCharType="separate"/>
            </w:r>
            <w:r>
              <w:rPr>
                <w:noProof/>
              </w:rPr>
              <w:t>11</w:t>
            </w:r>
            <w:r>
              <w:rPr>
                <w:noProof/>
              </w:rPr>
              <w:fldChar w:fldCharType="end"/>
            </w:r>
          </w:hyperlink>
        </w:p>
        <w:p w14:paraId="00461674" w14:textId="77777777" w:rsidR="002038A3" w:rsidRDefault="002038A3">
          <w:pPr>
            <w:pStyle w:val="TOC3"/>
            <w:tabs>
              <w:tab w:val="right" w:leader="dot" w:pos="9350"/>
            </w:tabs>
            <w:rPr>
              <w:noProof/>
            </w:rPr>
          </w:pPr>
          <w:hyperlink w:anchor="_Toc229658892" w:history="1">
            <w:r w:rsidRPr="001E55F3">
              <w:rPr>
                <w:rStyle w:val="Hyperlink"/>
                <w:noProof/>
              </w:rPr>
              <w:t>Intelligent Content Operations (ICO)</w:t>
            </w:r>
            <w:r>
              <w:rPr>
                <w:noProof/>
              </w:rPr>
              <w:tab/>
            </w:r>
            <w:r>
              <w:rPr>
                <w:noProof/>
              </w:rPr>
              <w:fldChar w:fldCharType="begin"/>
            </w:r>
            <w:r>
              <w:rPr>
                <w:noProof/>
              </w:rPr>
              <w:instrText xml:space="preserve"> PAGEREF _Toc229658892 \h </w:instrText>
            </w:r>
            <w:r>
              <w:rPr>
                <w:noProof/>
              </w:rPr>
            </w:r>
            <w:r>
              <w:rPr>
                <w:noProof/>
              </w:rPr>
              <w:fldChar w:fldCharType="separate"/>
            </w:r>
            <w:r>
              <w:rPr>
                <w:noProof/>
              </w:rPr>
              <w:t>12</w:t>
            </w:r>
            <w:r>
              <w:rPr>
                <w:noProof/>
              </w:rPr>
              <w:fldChar w:fldCharType="end"/>
            </w:r>
          </w:hyperlink>
        </w:p>
        <w:p w14:paraId="1BD803E2" w14:textId="77777777" w:rsidR="002038A3" w:rsidRDefault="002038A3">
          <w:pPr>
            <w:pStyle w:val="TOC3"/>
            <w:tabs>
              <w:tab w:val="right" w:leader="dot" w:pos="9350"/>
            </w:tabs>
            <w:rPr>
              <w:noProof/>
            </w:rPr>
          </w:pPr>
          <w:hyperlink w:anchor="_Toc229658893" w:history="1">
            <w:r w:rsidRPr="001E55F3">
              <w:rPr>
                <w:rStyle w:val="Hyperlink"/>
                <w:noProof/>
              </w:rPr>
              <w:t>Commercial Brain</w:t>
            </w:r>
            <w:r>
              <w:rPr>
                <w:noProof/>
              </w:rPr>
              <w:tab/>
            </w:r>
            <w:r>
              <w:rPr>
                <w:noProof/>
              </w:rPr>
              <w:fldChar w:fldCharType="begin"/>
            </w:r>
            <w:r>
              <w:rPr>
                <w:noProof/>
              </w:rPr>
              <w:instrText xml:space="preserve"> PAGEREF _Toc229658893 \h </w:instrText>
            </w:r>
            <w:r>
              <w:rPr>
                <w:noProof/>
              </w:rPr>
            </w:r>
            <w:r>
              <w:rPr>
                <w:noProof/>
              </w:rPr>
              <w:fldChar w:fldCharType="separate"/>
            </w:r>
            <w:r>
              <w:rPr>
                <w:noProof/>
              </w:rPr>
              <w:t>13</w:t>
            </w:r>
            <w:r>
              <w:rPr>
                <w:noProof/>
              </w:rPr>
              <w:fldChar w:fldCharType="end"/>
            </w:r>
          </w:hyperlink>
        </w:p>
        <w:p w14:paraId="4919C13B" w14:textId="77777777" w:rsidR="002038A3" w:rsidRDefault="002038A3">
          <w:pPr>
            <w:pStyle w:val="TOC3"/>
            <w:tabs>
              <w:tab w:val="right" w:leader="dot" w:pos="9350"/>
            </w:tabs>
            <w:rPr>
              <w:noProof/>
            </w:rPr>
          </w:pPr>
          <w:hyperlink w:anchor="_Toc229658894" w:history="1">
            <w:r w:rsidRPr="001E55F3">
              <w:rPr>
                <w:rStyle w:val="Hyperlink"/>
                <w:noProof/>
              </w:rPr>
              <w:t>Enterprise Data Foundation</w:t>
            </w:r>
            <w:r>
              <w:rPr>
                <w:noProof/>
              </w:rPr>
              <w:tab/>
            </w:r>
            <w:r>
              <w:rPr>
                <w:noProof/>
              </w:rPr>
              <w:fldChar w:fldCharType="begin"/>
            </w:r>
            <w:r>
              <w:rPr>
                <w:noProof/>
              </w:rPr>
              <w:instrText xml:space="preserve"> PAGEREF _Toc229658894 \h </w:instrText>
            </w:r>
            <w:r>
              <w:rPr>
                <w:noProof/>
              </w:rPr>
            </w:r>
            <w:r>
              <w:rPr>
                <w:noProof/>
              </w:rPr>
              <w:fldChar w:fldCharType="separate"/>
            </w:r>
            <w:r>
              <w:rPr>
                <w:noProof/>
              </w:rPr>
              <w:t>14</w:t>
            </w:r>
            <w:r>
              <w:rPr>
                <w:noProof/>
              </w:rPr>
              <w:fldChar w:fldCharType="end"/>
            </w:r>
          </w:hyperlink>
        </w:p>
        <w:p w14:paraId="7C16CB46" w14:textId="77777777" w:rsidR="002038A3" w:rsidRDefault="002038A3">
          <w:pPr>
            <w:pStyle w:val="TOC3"/>
            <w:tabs>
              <w:tab w:val="right" w:leader="dot" w:pos="9350"/>
            </w:tabs>
            <w:rPr>
              <w:noProof/>
            </w:rPr>
          </w:pPr>
          <w:hyperlink w:anchor="_Toc229658895" w:history="1">
            <w:r w:rsidRPr="001E55F3">
              <w:rPr>
                <w:rStyle w:val="Hyperlink"/>
                <w:noProof/>
              </w:rPr>
              <w:t>Governance &amp; Trust (Vertical Spine)</w:t>
            </w:r>
            <w:r>
              <w:rPr>
                <w:noProof/>
              </w:rPr>
              <w:tab/>
            </w:r>
            <w:r>
              <w:rPr>
                <w:noProof/>
              </w:rPr>
              <w:fldChar w:fldCharType="begin"/>
            </w:r>
            <w:r>
              <w:rPr>
                <w:noProof/>
              </w:rPr>
              <w:instrText xml:space="preserve"> PAGEREF _Toc229658895 \h </w:instrText>
            </w:r>
            <w:r>
              <w:rPr>
                <w:noProof/>
              </w:rPr>
            </w:r>
            <w:r>
              <w:rPr>
                <w:noProof/>
              </w:rPr>
              <w:fldChar w:fldCharType="separate"/>
            </w:r>
            <w:r>
              <w:rPr>
                <w:noProof/>
              </w:rPr>
              <w:t>14</w:t>
            </w:r>
            <w:r>
              <w:rPr>
                <w:noProof/>
              </w:rPr>
              <w:fldChar w:fldCharType="end"/>
            </w:r>
          </w:hyperlink>
        </w:p>
        <w:p w14:paraId="11812A47" w14:textId="77777777" w:rsidR="002038A3" w:rsidRDefault="002038A3">
          <w:pPr>
            <w:pStyle w:val="TOC2"/>
            <w:tabs>
              <w:tab w:val="right" w:leader="dot" w:pos="9350"/>
            </w:tabs>
            <w:rPr>
              <w:noProof/>
            </w:rPr>
          </w:pPr>
          <w:hyperlink w:anchor="_Toc229658896" w:history="1">
            <w:r w:rsidRPr="001E55F3">
              <w:rPr>
                <w:rStyle w:val="Hyperlink"/>
                <w:noProof/>
              </w:rPr>
              <w:t>Five Design Principles That Govern the Architecture</w:t>
            </w:r>
            <w:r>
              <w:rPr>
                <w:noProof/>
              </w:rPr>
              <w:tab/>
            </w:r>
            <w:r>
              <w:rPr>
                <w:noProof/>
              </w:rPr>
              <w:fldChar w:fldCharType="begin"/>
            </w:r>
            <w:r>
              <w:rPr>
                <w:noProof/>
              </w:rPr>
              <w:instrText xml:space="preserve"> PAGEREF _Toc229658896 \h </w:instrText>
            </w:r>
            <w:r>
              <w:rPr>
                <w:noProof/>
              </w:rPr>
            </w:r>
            <w:r>
              <w:rPr>
                <w:noProof/>
              </w:rPr>
              <w:fldChar w:fldCharType="separate"/>
            </w:r>
            <w:r>
              <w:rPr>
                <w:noProof/>
              </w:rPr>
              <w:t>15</w:t>
            </w:r>
            <w:r>
              <w:rPr>
                <w:noProof/>
              </w:rPr>
              <w:fldChar w:fldCharType="end"/>
            </w:r>
          </w:hyperlink>
        </w:p>
        <w:p w14:paraId="233FA436" w14:textId="77777777" w:rsidR="002038A3" w:rsidRDefault="002038A3">
          <w:pPr>
            <w:pStyle w:val="TOC1"/>
            <w:tabs>
              <w:tab w:val="right" w:leader="dot" w:pos="9350"/>
            </w:tabs>
            <w:rPr>
              <w:noProof/>
            </w:rPr>
          </w:pPr>
          <w:hyperlink w:anchor="_Toc229658897" w:history="1">
            <w:r w:rsidRPr="001E55F3">
              <w:rPr>
                <w:rStyle w:val="Hyperlink"/>
                <w:noProof/>
              </w:rPr>
              <w:t>Section 3: The Commercial Brain, Decomposed</w:t>
            </w:r>
            <w:r>
              <w:rPr>
                <w:noProof/>
              </w:rPr>
              <w:tab/>
            </w:r>
            <w:r>
              <w:rPr>
                <w:noProof/>
              </w:rPr>
              <w:fldChar w:fldCharType="begin"/>
            </w:r>
            <w:r>
              <w:rPr>
                <w:noProof/>
              </w:rPr>
              <w:instrText xml:space="preserve"> PAGEREF _Toc229658897 \h </w:instrText>
            </w:r>
            <w:r>
              <w:rPr>
                <w:noProof/>
              </w:rPr>
            </w:r>
            <w:r>
              <w:rPr>
                <w:noProof/>
              </w:rPr>
              <w:fldChar w:fldCharType="separate"/>
            </w:r>
            <w:r>
              <w:rPr>
                <w:noProof/>
              </w:rPr>
              <w:t>17</w:t>
            </w:r>
            <w:r>
              <w:rPr>
                <w:noProof/>
              </w:rPr>
              <w:fldChar w:fldCharType="end"/>
            </w:r>
          </w:hyperlink>
        </w:p>
        <w:p w14:paraId="5B8B6ADB" w14:textId="77777777" w:rsidR="002038A3" w:rsidRDefault="002038A3">
          <w:pPr>
            <w:pStyle w:val="TOC2"/>
            <w:tabs>
              <w:tab w:val="right" w:leader="dot" w:pos="9350"/>
            </w:tabs>
            <w:rPr>
              <w:noProof/>
            </w:rPr>
          </w:pPr>
          <w:hyperlink w:anchor="_Toc229658898" w:history="1">
            <w:r w:rsidRPr="001E55F3">
              <w:rPr>
                <w:rStyle w:val="Hyperlink"/>
                <w:noProof/>
              </w:rPr>
              <w:t>The Business Question This Section Answers</w:t>
            </w:r>
            <w:r>
              <w:rPr>
                <w:noProof/>
              </w:rPr>
              <w:tab/>
            </w:r>
            <w:r>
              <w:rPr>
                <w:noProof/>
              </w:rPr>
              <w:fldChar w:fldCharType="begin"/>
            </w:r>
            <w:r>
              <w:rPr>
                <w:noProof/>
              </w:rPr>
              <w:instrText xml:space="preserve"> PAGEREF _Toc229658898 \h </w:instrText>
            </w:r>
            <w:r>
              <w:rPr>
                <w:noProof/>
              </w:rPr>
            </w:r>
            <w:r>
              <w:rPr>
                <w:noProof/>
              </w:rPr>
              <w:fldChar w:fldCharType="separate"/>
            </w:r>
            <w:r>
              <w:rPr>
                <w:noProof/>
              </w:rPr>
              <w:t>17</w:t>
            </w:r>
            <w:r>
              <w:rPr>
                <w:noProof/>
              </w:rPr>
              <w:fldChar w:fldCharType="end"/>
            </w:r>
          </w:hyperlink>
        </w:p>
        <w:p w14:paraId="0E8F3917" w14:textId="77777777" w:rsidR="002038A3" w:rsidRDefault="002038A3">
          <w:pPr>
            <w:pStyle w:val="TOC2"/>
            <w:tabs>
              <w:tab w:val="right" w:leader="dot" w:pos="9350"/>
            </w:tabs>
            <w:rPr>
              <w:noProof/>
            </w:rPr>
          </w:pPr>
          <w:hyperlink w:anchor="_Toc229658899" w:history="1">
            <w:r w:rsidRPr="001E55F3">
              <w:rPr>
                <w:rStyle w:val="Hyperlink"/>
                <w:noProof/>
              </w:rPr>
              <w:t>From Concept to Components</w:t>
            </w:r>
            <w:r>
              <w:rPr>
                <w:noProof/>
              </w:rPr>
              <w:tab/>
            </w:r>
            <w:r>
              <w:rPr>
                <w:noProof/>
              </w:rPr>
              <w:fldChar w:fldCharType="begin"/>
            </w:r>
            <w:r>
              <w:rPr>
                <w:noProof/>
              </w:rPr>
              <w:instrText xml:space="preserve"> PAGEREF _Toc229658899 \h </w:instrText>
            </w:r>
            <w:r>
              <w:rPr>
                <w:noProof/>
              </w:rPr>
            </w:r>
            <w:r>
              <w:rPr>
                <w:noProof/>
              </w:rPr>
              <w:fldChar w:fldCharType="separate"/>
            </w:r>
            <w:r>
              <w:rPr>
                <w:noProof/>
              </w:rPr>
              <w:t>17</w:t>
            </w:r>
            <w:r>
              <w:rPr>
                <w:noProof/>
              </w:rPr>
              <w:fldChar w:fldCharType="end"/>
            </w:r>
          </w:hyperlink>
        </w:p>
        <w:p w14:paraId="278DDF8E" w14:textId="77777777" w:rsidR="002038A3" w:rsidRDefault="002038A3">
          <w:pPr>
            <w:pStyle w:val="TOC2"/>
            <w:tabs>
              <w:tab w:val="right" w:leader="dot" w:pos="9350"/>
            </w:tabs>
            <w:rPr>
              <w:noProof/>
            </w:rPr>
          </w:pPr>
          <w:hyperlink w:anchor="_Toc229658900" w:history="1">
            <w:r w:rsidRPr="001E55F3">
              <w:rPr>
                <w:rStyle w:val="Hyperlink"/>
                <w:noProof/>
              </w:rPr>
              <w:t>Component 1: Knowledge Engine</w:t>
            </w:r>
            <w:r>
              <w:rPr>
                <w:noProof/>
              </w:rPr>
              <w:tab/>
            </w:r>
            <w:r>
              <w:rPr>
                <w:noProof/>
              </w:rPr>
              <w:fldChar w:fldCharType="begin"/>
            </w:r>
            <w:r>
              <w:rPr>
                <w:noProof/>
              </w:rPr>
              <w:instrText xml:space="preserve"> PAGEREF _Toc229658900 \h </w:instrText>
            </w:r>
            <w:r>
              <w:rPr>
                <w:noProof/>
              </w:rPr>
            </w:r>
            <w:r>
              <w:rPr>
                <w:noProof/>
              </w:rPr>
              <w:fldChar w:fldCharType="separate"/>
            </w:r>
            <w:r>
              <w:rPr>
                <w:noProof/>
              </w:rPr>
              <w:t>17</w:t>
            </w:r>
            <w:r>
              <w:rPr>
                <w:noProof/>
              </w:rPr>
              <w:fldChar w:fldCharType="end"/>
            </w:r>
          </w:hyperlink>
        </w:p>
        <w:p w14:paraId="08C606E8" w14:textId="77777777" w:rsidR="002038A3" w:rsidRDefault="002038A3">
          <w:pPr>
            <w:pStyle w:val="TOC2"/>
            <w:tabs>
              <w:tab w:val="right" w:leader="dot" w:pos="9350"/>
            </w:tabs>
            <w:rPr>
              <w:noProof/>
            </w:rPr>
          </w:pPr>
          <w:hyperlink w:anchor="_Toc229658901" w:history="1">
            <w:r w:rsidRPr="001E55F3">
              <w:rPr>
                <w:rStyle w:val="Hyperlink"/>
                <w:noProof/>
              </w:rPr>
              <w:t>Component 2: Model Hub</w:t>
            </w:r>
            <w:r>
              <w:rPr>
                <w:noProof/>
              </w:rPr>
              <w:tab/>
            </w:r>
            <w:r>
              <w:rPr>
                <w:noProof/>
              </w:rPr>
              <w:fldChar w:fldCharType="begin"/>
            </w:r>
            <w:r>
              <w:rPr>
                <w:noProof/>
              </w:rPr>
              <w:instrText xml:space="preserve"> PAGEREF _Toc229658901 \h </w:instrText>
            </w:r>
            <w:r>
              <w:rPr>
                <w:noProof/>
              </w:rPr>
            </w:r>
            <w:r>
              <w:rPr>
                <w:noProof/>
              </w:rPr>
              <w:fldChar w:fldCharType="separate"/>
            </w:r>
            <w:r>
              <w:rPr>
                <w:noProof/>
              </w:rPr>
              <w:t>18</w:t>
            </w:r>
            <w:r>
              <w:rPr>
                <w:noProof/>
              </w:rPr>
              <w:fldChar w:fldCharType="end"/>
            </w:r>
          </w:hyperlink>
        </w:p>
        <w:p w14:paraId="3003AE3A" w14:textId="77777777" w:rsidR="002038A3" w:rsidRDefault="002038A3">
          <w:pPr>
            <w:pStyle w:val="TOC2"/>
            <w:tabs>
              <w:tab w:val="right" w:leader="dot" w:pos="9350"/>
            </w:tabs>
            <w:rPr>
              <w:noProof/>
            </w:rPr>
          </w:pPr>
          <w:hyperlink w:anchor="_Toc229658902" w:history="1">
            <w:r w:rsidRPr="001E55F3">
              <w:rPr>
                <w:rStyle w:val="Hyperlink"/>
                <w:noProof/>
              </w:rPr>
              <w:t>Component 3: Agent Network</w:t>
            </w:r>
            <w:r>
              <w:rPr>
                <w:noProof/>
              </w:rPr>
              <w:tab/>
            </w:r>
            <w:r>
              <w:rPr>
                <w:noProof/>
              </w:rPr>
              <w:fldChar w:fldCharType="begin"/>
            </w:r>
            <w:r>
              <w:rPr>
                <w:noProof/>
              </w:rPr>
              <w:instrText xml:space="preserve"> PAGEREF _Toc229658902 \h </w:instrText>
            </w:r>
            <w:r>
              <w:rPr>
                <w:noProof/>
              </w:rPr>
            </w:r>
            <w:r>
              <w:rPr>
                <w:noProof/>
              </w:rPr>
              <w:fldChar w:fldCharType="separate"/>
            </w:r>
            <w:r>
              <w:rPr>
                <w:noProof/>
              </w:rPr>
              <w:t>19</w:t>
            </w:r>
            <w:r>
              <w:rPr>
                <w:noProof/>
              </w:rPr>
              <w:fldChar w:fldCharType="end"/>
            </w:r>
          </w:hyperlink>
        </w:p>
        <w:p w14:paraId="183FA68A" w14:textId="77777777" w:rsidR="002038A3" w:rsidRDefault="002038A3">
          <w:pPr>
            <w:pStyle w:val="TOC2"/>
            <w:tabs>
              <w:tab w:val="right" w:leader="dot" w:pos="9350"/>
            </w:tabs>
            <w:rPr>
              <w:noProof/>
            </w:rPr>
          </w:pPr>
          <w:hyperlink w:anchor="_Toc229658903" w:history="1">
            <w:r w:rsidRPr="001E55F3">
              <w:rPr>
                <w:rStyle w:val="Hyperlink"/>
                <w:noProof/>
              </w:rPr>
              <w:t>Component 4: GenAI Services</w:t>
            </w:r>
            <w:r>
              <w:rPr>
                <w:noProof/>
              </w:rPr>
              <w:tab/>
            </w:r>
            <w:r>
              <w:rPr>
                <w:noProof/>
              </w:rPr>
              <w:fldChar w:fldCharType="begin"/>
            </w:r>
            <w:r>
              <w:rPr>
                <w:noProof/>
              </w:rPr>
              <w:instrText xml:space="preserve"> PAGEREF _Toc229658903 \h </w:instrText>
            </w:r>
            <w:r>
              <w:rPr>
                <w:noProof/>
              </w:rPr>
            </w:r>
            <w:r>
              <w:rPr>
                <w:noProof/>
              </w:rPr>
              <w:fldChar w:fldCharType="separate"/>
            </w:r>
            <w:r>
              <w:rPr>
                <w:noProof/>
              </w:rPr>
              <w:t>20</w:t>
            </w:r>
            <w:r>
              <w:rPr>
                <w:noProof/>
              </w:rPr>
              <w:fldChar w:fldCharType="end"/>
            </w:r>
          </w:hyperlink>
        </w:p>
        <w:p w14:paraId="5CE4A9D6" w14:textId="77777777" w:rsidR="002038A3" w:rsidRDefault="002038A3">
          <w:pPr>
            <w:pStyle w:val="TOC2"/>
            <w:tabs>
              <w:tab w:val="right" w:leader="dot" w:pos="9350"/>
            </w:tabs>
            <w:rPr>
              <w:noProof/>
            </w:rPr>
          </w:pPr>
          <w:hyperlink w:anchor="_Toc229658904" w:history="1">
            <w:r w:rsidRPr="001E55F3">
              <w:rPr>
                <w:rStyle w:val="Hyperlink"/>
                <w:noProof/>
              </w:rPr>
              <w:t>Component 5: Responsible AI</w:t>
            </w:r>
            <w:r>
              <w:rPr>
                <w:noProof/>
              </w:rPr>
              <w:tab/>
            </w:r>
            <w:r>
              <w:rPr>
                <w:noProof/>
              </w:rPr>
              <w:fldChar w:fldCharType="begin"/>
            </w:r>
            <w:r>
              <w:rPr>
                <w:noProof/>
              </w:rPr>
              <w:instrText xml:space="preserve"> PAGEREF _Toc229658904 \h </w:instrText>
            </w:r>
            <w:r>
              <w:rPr>
                <w:noProof/>
              </w:rPr>
            </w:r>
            <w:r>
              <w:rPr>
                <w:noProof/>
              </w:rPr>
              <w:fldChar w:fldCharType="separate"/>
            </w:r>
            <w:r>
              <w:rPr>
                <w:noProof/>
              </w:rPr>
              <w:t>21</w:t>
            </w:r>
            <w:r>
              <w:rPr>
                <w:noProof/>
              </w:rPr>
              <w:fldChar w:fldCharType="end"/>
            </w:r>
          </w:hyperlink>
        </w:p>
        <w:p w14:paraId="4B546F4D" w14:textId="77777777" w:rsidR="002038A3" w:rsidRDefault="002038A3">
          <w:pPr>
            <w:pStyle w:val="TOC2"/>
            <w:tabs>
              <w:tab w:val="right" w:leader="dot" w:pos="9350"/>
            </w:tabs>
            <w:rPr>
              <w:noProof/>
            </w:rPr>
          </w:pPr>
          <w:hyperlink w:anchor="_Toc229658905" w:history="1">
            <w:r w:rsidRPr="001E55F3">
              <w:rPr>
                <w:rStyle w:val="Hyperlink"/>
                <w:noProof/>
              </w:rPr>
              <w:t>Component 6: Operations &amp; Integration</w:t>
            </w:r>
            <w:r>
              <w:rPr>
                <w:noProof/>
              </w:rPr>
              <w:tab/>
            </w:r>
            <w:r>
              <w:rPr>
                <w:noProof/>
              </w:rPr>
              <w:fldChar w:fldCharType="begin"/>
            </w:r>
            <w:r>
              <w:rPr>
                <w:noProof/>
              </w:rPr>
              <w:instrText xml:space="preserve"> PAGEREF _Toc229658905 \h </w:instrText>
            </w:r>
            <w:r>
              <w:rPr>
                <w:noProof/>
              </w:rPr>
            </w:r>
            <w:r>
              <w:rPr>
                <w:noProof/>
              </w:rPr>
              <w:fldChar w:fldCharType="separate"/>
            </w:r>
            <w:r>
              <w:rPr>
                <w:noProof/>
              </w:rPr>
              <w:t>22</w:t>
            </w:r>
            <w:r>
              <w:rPr>
                <w:noProof/>
              </w:rPr>
              <w:fldChar w:fldCharType="end"/>
            </w:r>
          </w:hyperlink>
        </w:p>
        <w:p w14:paraId="013EC0C8" w14:textId="77777777" w:rsidR="002038A3" w:rsidRDefault="002038A3">
          <w:pPr>
            <w:pStyle w:val="TOC2"/>
            <w:tabs>
              <w:tab w:val="right" w:leader="dot" w:pos="9350"/>
            </w:tabs>
            <w:rPr>
              <w:noProof/>
            </w:rPr>
          </w:pPr>
          <w:hyperlink w:anchor="_Toc229658906" w:history="1">
            <w:r w:rsidRPr="001E55F3">
              <w:rPr>
                <w:rStyle w:val="Hyperlink"/>
                <w:noProof/>
              </w:rPr>
              <w:t>How the Six Components Interact</w:t>
            </w:r>
            <w:r>
              <w:rPr>
                <w:noProof/>
              </w:rPr>
              <w:tab/>
            </w:r>
            <w:r>
              <w:rPr>
                <w:noProof/>
              </w:rPr>
              <w:fldChar w:fldCharType="begin"/>
            </w:r>
            <w:r>
              <w:rPr>
                <w:noProof/>
              </w:rPr>
              <w:instrText xml:space="preserve"> PAGEREF _Toc229658906 \h </w:instrText>
            </w:r>
            <w:r>
              <w:rPr>
                <w:noProof/>
              </w:rPr>
            </w:r>
            <w:r>
              <w:rPr>
                <w:noProof/>
              </w:rPr>
              <w:fldChar w:fldCharType="separate"/>
            </w:r>
            <w:r>
              <w:rPr>
                <w:noProof/>
              </w:rPr>
              <w:t>23</w:t>
            </w:r>
            <w:r>
              <w:rPr>
                <w:noProof/>
              </w:rPr>
              <w:fldChar w:fldCharType="end"/>
            </w:r>
          </w:hyperlink>
        </w:p>
        <w:p w14:paraId="5F766A08" w14:textId="77777777" w:rsidR="002038A3" w:rsidRDefault="002038A3">
          <w:pPr>
            <w:pStyle w:val="TOC1"/>
            <w:tabs>
              <w:tab w:val="right" w:leader="dot" w:pos="9350"/>
            </w:tabs>
            <w:rPr>
              <w:noProof/>
            </w:rPr>
          </w:pPr>
          <w:hyperlink w:anchor="_Toc229658907" w:history="1">
            <w:r w:rsidRPr="001E55F3">
              <w:rPr>
                <w:rStyle w:val="Hyperlink"/>
                <w:noProof/>
              </w:rPr>
              <w:t>Section 4: The System of Engagement and the System of Creation</w:t>
            </w:r>
            <w:r>
              <w:rPr>
                <w:noProof/>
              </w:rPr>
              <w:tab/>
            </w:r>
            <w:r>
              <w:rPr>
                <w:noProof/>
              </w:rPr>
              <w:fldChar w:fldCharType="begin"/>
            </w:r>
            <w:r>
              <w:rPr>
                <w:noProof/>
              </w:rPr>
              <w:instrText xml:space="preserve"> PAGEREF _Toc229658907 \h </w:instrText>
            </w:r>
            <w:r>
              <w:rPr>
                <w:noProof/>
              </w:rPr>
            </w:r>
            <w:r>
              <w:rPr>
                <w:noProof/>
              </w:rPr>
              <w:fldChar w:fldCharType="separate"/>
            </w:r>
            <w:r>
              <w:rPr>
                <w:noProof/>
              </w:rPr>
              <w:t>25</w:t>
            </w:r>
            <w:r>
              <w:rPr>
                <w:noProof/>
              </w:rPr>
              <w:fldChar w:fldCharType="end"/>
            </w:r>
          </w:hyperlink>
        </w:p>
        <w:p w14:paraId="5CCEA9A5" w14:textId="77777777" w:rsidR="002038A3" w:rsidRDefault="002038A3">
          <w:pPr>
            <w:pStyle w:val="TOC2"/>
            <w:tabs>
              <w:tab w:val="right" w:leader="dot" w:pos="9350"/>
            </w:tabs>
            <w:rPr>
              <w:noProof/>
            </w:rPr>
          </w:pPr>
          <w:hyperlink w:anchor="_Toc229658908" w:history="1">
            <w:r w:rsidRPr="001E55F3">
              <w:rPr>
                <w:rStyle w:val="Hyperlink"/>
                <w:noProof/>
              </w:rPr>
              <w:t>The Business Question This Section Answers</w:t>
            </w:r>
            <w:r>
              <w:rPr>
                <w:noProof/>
              </w:rPr>
              <w:tab/>
            </w:r>
            <w:r>
              <w:rPr>
                <w:noProof/>
              </w:rPr>
              <w:fldChar w:fldCharType="begin"/>
            </w:r>
            <w:r>
              <w:rPr>
                <w:noProof/>
              </w:rPr>
              <w:instrText xml:space="preserve"> PAGEREF _Toc229658908 \h </w:instrText>
            </w:r>
            <w:r>
              <w:rPr>
                <w:noProof/>
              </w:rPr>
            </w:r>
            <w:r>
              <w:rPr>
                <w:noProof/>
              </w:rPr>
              <w:fldChar w:fldCharType="separate"/>
            </w:r>
            <w:r>
              <w:rPr>
                <w:noProof/>
              </w:rPr>
              <w:t>25</w:t>
            </w:r>
            <w:r>
              <w:rPr>
                <w:noProof/>
              </w:rPr>
              <w:fldChar w:fldCharType="end"/>
            </w:r>
          </w:hyperlink>
        </w:p>
        <w:p w14:paraId="7F4F0417" w14:textId="77777777" w:rsidR="002038A3" w:rsidRDefault="002038A3">
          <w:pPr>
            <w:pStyle w:val="TOC2"/>
            <w:tabs>
              <w:tab w:val="right" w:leader="dot" w:pos="9350"/>
            </w:tabs>
            <w:rPr>
              <w:noProof/>
            </w:rPr>
          </w:pPr>
          <w:hyperlink w:anchor="_Toc229658909" w:history="1">
            <w:r w:rsidRPr="001E55F3">
              <w:rPr>
                <w:rStyle w:val="Hyperlink"/>
                <w:noProof/>
              </w:rPr>
              <w:t>Two Systems, One Commercial Engine</w:t>
            </w:r>
            <w:r>
              <w:rPr>
                <w:noProof/>
              </w:rPr>
              <w:tab/>
            </w:r>
            <w:r>
              <w:rPr>
                <w:noProof/>
              </w:rPr>
              <w:fldChar w:fldCharType="begin"/>
            </w:r>
            <w:r>
              <w:rPr>
                <w:noProof/>
              </w:rPr>
              <w:instrText xml:space="preserve"> PAGEREF _Toc229658909 \h </w:instrText>
            </w:r>
            <w:r>
              <w:rPr>
                <w:noProof/>
              </w:rPr>
            </w:r>
            <w:r>
              <w:rPr>
                <w:noProof/>
              </w:rPr>
              <w:fldChar w:fldCharType="separate"/>
            </w:r>
            <w:r>
              <w:rPr>
                <w:noProof/>
              </w:rPr>
              <w:t>25</w:t>
            </w:r>
            <w:r>
              <w:rPr>
                <w:noProof/>
              </w:rPr>
              <w:fldChar w:fldCharType="end"/>
            </w:r>
          </w:hyperlink>
        </w:p>
        <w:p w14:paraId="155CEECE" w14:textId="77777777" w:rsidR="002038A3" w:rsidRDefault="002038A3">
          <w:pPr>
            <w:pStyle w:val="TOC2"/>
            <w:tabs>
              <w:tab w:val="right" w:leader="dot" w:pos="9350"/>
            </w:tabs>
            <w:rPr>
              <w:noProof/>
            </w:rPr>
          </w:pPr>
          <w:hyperlink w:anchor="_Toc229658910" w:history="1">
            <w:r w:rsidRPr="001E55F3">
              <w:rPr>
                <w:rStyle w:val="Hyperlink"/>
                <w:noProof/>
              </w:rPr>
              <w:t>The System of Engagement: What Exists Today</w:t>
            </w:r>
            <w:r>
              <w:rPr>
                <w:noProof/>
              </w:rPr>
              <w:tab/>
            </w:r>
            <w:r>
              <w:rPr>
                <w:noProof/>
              </w:rPr>
              <w:fldChar w:fldCharType="begin"/>
            </w:r>
            <w:r>
              <w:rPr>
                <w:noProof/>
              </w:rPr>
              <w:instrText xml:space="preserve"> PAGEREF _Toc229658910 \h </w:instrText>
            </w:r>
            <w:r>
              <w:rPr>
                <w:noProof/>
              </w:rPr>
            </w:r>
            <w:r>
              <w:rPr>
                <w:noProof/>
              </w:rPr>
              <w:fldChar w:fldCharType="separate"/>
            </w:r>
            <w:r>
              <w:rPr>
                <w:noProof/>
              </w:rPr>
              <w:t>25</w:t>
            </w:r>
            <w:r>
              <w:rPr>
                <w:noProof/>
              </w:rPr>
              <w:fldChar w:fldCharType="end"/>
            </w:r>
          </w:hyperlink>
        </w:p>
        <w:p w14:paraId="2941FF79" w14:textId="77777777" w:rsidR="002038A3" w:rsidRDefault="002038A3">
          <w:pPr>
            <w:pStyle w:val="TOC2"/>
            <w:tabs>
              <w:tab w:val="right" w:leader="dot" w:pos="9350"/>
            </w:tabs>
            <w:rPr>
              <w:noProof/>
            </w:rPr>
          </w:pPr>
          <w:hyperlink w:anchor="_Toc229658911" w:history="1">
            <w:r w:rsidRPr="001E55F3">
              <w:rPr>
                <w:rStyle w:val="Hyperlink"/>
                <w:noProof/>
              </w:rPr>
              <w:t>The System of Creation: What Is Emerging</w:t>
            </w:r>
            <w:r>
              <w:rPr>
                <w:noProof/>
              </w:rPr>
              <w:tab/>
            </w:r>
            <w:r>
              <w:rPr>
                <w:noProof/>
              </w:rPr>
              <w:fldChar w:fldCharType="begin"/>
            </w:r>
            <w:r>
              <w:rPr>
                <w:noProof/>
              </w:rPr>
              <w:instrText xml:space="preserve"> PAGEREF _Toc229658911 \h </w:instrText>
            </w:r>
            <w:r>
              <w:rPr>
                <w:noProof/>
              </w:rPr>
            </w:r>
            <w:r>
              <w:rPr>
                <w:noProof/>
              </w:rPr>
              <w:fldChar w:fldCharType="separate"/>
            </w:r>
            <w:r>
              <w:rPr>
                <w:noProof/>
              </w:rPr>
              <w:t>26</w:t>
            </w:r>
            <w:r>
              <w:rPr>
                <w:noProof/>
              </w:rPr>
              <w:fldChar w:fldCharType="end"/>
            </w:r>
          </w:hyperlink>
        </w:p>
        <w:p w14:paraId="63F285FE" w14:textId="77777777" w:rsidR="002038A3" w:rsidRDefault="002038A3">
          <w:pPr>
            <w:pStyle w:val="TOC2"/>
            <w:tabs>
              <w:tab w:val="right" w:leader="dot" w:pos="9350"/>
            </w:tabs>
            <w:rPr>
              <w:noProof/>
            </w:rPr>
          </w:pPr>
          <w:hyperlink w:anchor="_Toc229658912" w:history="1">
            <w:r w:rsidRPr="001E55F3">
              <w:rPr>
                <w:rStyle w:val="Hyperlink"/>
                <w:noProof/>
              </w:rPr>
              <w:t>Why Both Systems Are Required</w:t>
            </w:r>
            <w:r>
              <w:rPr>
                <w:noProof/>
              </w:rPr>
              <w:tab/>
            </w:r>
            <w:r>
              <w:rPr>
                <w:noProof/>
              </w:rPr>
              <w:fldChar w:fldCharType="begin"/>
            </w:r>
            <w:r>
              <w:rPr>
                <w:noProof/>
              </w:rPr>
              <w:instrText xml:space="preserve"> PAGEREF _Toc229658912 \h </w:instrText>
            </w:r>
            <w:r>
              <w:rPr>
                <w:noProof/>
              </w:rPr>
            </w:r>
            <w:r>
              <w:rPr>
                <w:noProof/>
              </w:rPr>
              <w:fldChar w:fldCharType="separate"/>
            </w:r>
            <w:r>
              <w:rPr>
                <w:noProof/>
              </w:rPr>
              <w:t>27</w:t>
            </w:r>
            <w:r>
              <w:rPr>
                <w:noProof/>
              </w:rPr>
              <w:fldChar w:fldCharType="end"/>
            </w:r>
          </w:hyperlink>
        </w:p>
        <w:p w14:paraId="6A0B5496" w14:textId="77777777" w:rsidR="002038A3" w:rsidRDefault="002038A3">
          <w:pPr>
            <w:pStyle w:val="TOC2"/>
            <w:tabs>
              <w:tab w:val="right" w:leader="dot" w:pos="9350"/>
            </w:tabs>
            <w:rPr>
              <w:noProof/>
            </w:rPr>
          </w:pPr>
          <w:hyperlink w:anchor="_Toc229658913" w:history="1">
            <w:r w:rsidRPr="001E55F3">
              <w:rPr>
                <w:rStyle w:val="Hyperlink"/>
                <w:noProof/>
              </w:rPr>
              <w:t>How the Two Systems Map to the AFO Architecture</w:t>
            </w:r>
            <w:r>
              <w:rPr>
                <w:noProof/>
              </w:rPr>
              <w:tab/>
            </w:r>
            <w:r>
              <w:rPr>
                <w:noProof/>
              </w:rPr>
              <w:fldChar w:fldCharType="begin"/>
            </w:r>
            <w:r>
              <w:rPr>
                <w:noProof/>
              </w:rPr>
              <w:instrText xml:space="preserve"> PAGEREF _Toc229658913 \h </w:instrText>
            </w:r>
            <w:r>
              <w:rPr>
                <w:noProof/>
              </w:rPr>
            </w:r>
            <w:r>
              <w:rPr>
                <w:noProof/>
              </w:rPr>
              <w:fldChar w:fldCharType="separate"/>
            </w:r>
            <w:r>
              <w:rPr>
                <w:noProof/>
              </w:rPr>
              <w:t>27</w:t>
            </w:r>
            <w:r>
              <w:rPr>
                <w:noProof/>
              </w:rPr>
              <w:fldChar w:fldCharType="end"/>
            </w:r>
          </w:hyperlink>
        </w:p>
        <w:p w14:paraId="4FB8ED3C" w14:textId="77777777" w:rsidR="002038A3" w:rsidRDefault="002038A3">
          <w:pPr>
            <w:pStyle w:val="TOC2"/>
            <w:tabs>
              <w:tab w:val="right" w:leader="dot" w:pos="9350"/>
            </w:tabs>
            <w:rPr>
              <w:noProof/>
            </w:rPr>
          </w:pPr>
          <w:hyperlink w:anchor="_Toc229658914" w:history="1">
            <w:r w:rsidRPr="001E55F3">
              <w:rPr>
                <w:rStyle w:val="Hyperlink"/>
                <w:noProof/>
              </w:rPr>
              <w:t>The Integration Imperative</w:t>
            </w:r>
            <w:r>
              <w:rPr>
                <w:noProof/>
              </w:rPr>
              <w:tab/>
            </w:r>
            <w:r>
              <w:rPr>
                <w:noProof/>
              </w:rPr>
              <w:fldChar w:fldCharType="begin"/>
            </w:r>
            <w:r>
              <w:rPr>
                <w:noProof/>
              </w:rPr>
              <w:instrText xml:space="preserve"> PAGEREF _Toc229658914 \h </w:instrText>
            </w:r>
            <w:r>
              <w:rPr>
                <w:noProof/>
              </w:rPr>
            </w:r>
            <w:r>
              <w:rPr>
                <w:noProof/>
              </w:rPr>
              <w:fldChar w:fldCharType="separate"/>
            </w:r>
            <w:r>
              <w:rPr>
                <w:noProof/>
              </w:rPr>
              <w:t>29</w:t>
            </w:r>
            <w:r>
              <w:rPr>
                <w:noProof/>
              </w:rPr>
              <w:fldChar w:fldCharType="end"/>
            </w:r>
          </w:hyperlink>
        </w:p>
        <w:p w14:paraId="04720279" w14:textId="77777777" w:rsidR="002038A3" w:rsidRDefault="002038A3">
          <w:pPr>
            <w:pStyle w:val="TOC2"/>
            <w:tabs>
              <w:tab w:val="right" w:leader="dot" w:pos="9350"/>
            </w:tabs>
            <w:rPr>
              <w:noProof/>
            </w:rPr>
          </w:pPr>
          <w:hyperlink w:anchor="_Toc229658915" w:history="1">
            <w:r w:rsidRPr="001E55F3">
              <w:rPr>
                <w:rStyle w:val="Hyperlink"/>
                <w:noProof/>
              </w:rPr>
              <w:t>Implications for Enterprise Technology Strategy</w:t>
            </w:r>
            <w:r>
              <w:rPr>
                <w:noProof/>
              </w:rPr>
              <w:tab/>
            </w:r>
            <w:r>
              <w:rPr>
                <w:noProof/>
              </w:rPr>
              <w:fldChar w:fldCharType="begin"/>
            </w:r>
            <w:r>
              <w:rPr>
                <w:noProof/>
              </w:rPr>
              <w:instrText xml:space="preserve"> PAGEREF _Toc229658915 \h </w:instrText>
            </w:r>
            <w:r>
              <w:rPr>
                <w:noProof/>
              </w:rPr>
            </w:r>
            <w:r>
              <w:rPr>
                <w:noProof/>
              </w:rPr>
              <w:fldChar w:fldCharType="separate"/>
            </w:r>
            <w:r>
              <w:rPr>
                <w:noProof/>
              </w:rPr>
              <w:t>30</w:t>
            </w:r>
            <w:r>
              <w:rPr>
                <w:noProof/>
              </w:rPr>
              <w:fldChar w:fldCharType="end"/>
            </w:r>
          </w:hyperlink>
        </w:p>
        <w:p w14:paraId="24D5901C" w14:textId="77777777" w:rsidR="002038A3" w:rsidRDefault="002038A3">
          <w:pPr>
            <w:pStyle w:val="TOC1"/>
            <w:tabs>
              <w:tab w:val="right" w:leader="dot" w:pos="9350"/>
            </w:tabs>
            <w:rPr>
              <w:noProof/>
            </w:rPr>
          </w:pPr>
          <w:hyperlink w:anchor="_Toc229658916" w:history="1">
            <w:r w:rsidRPr="001E55F3">
              <w:rPr>
                <w:rStyle w:val="Hyperlink"/>
                <w:noProof/>
              </w:rPr>
              <w:t>Section 5: The Enterprise Data Architecture</w:t>
            </w:r>
            <w:r>
              <w:rPr>
                <w:noProof/>
              </w:rPr>
              <w:tab/>
            </w:r>
            <w:r>
              <w:rPr>
                <w:noProof/>
              </w:rPr>
              <w:fldChar w:fldCharType="begin"/>
            </w:r>
            <w:r>
              <w:rPr>
                <w:noProof/>
              </w:rPr>
              <w:instrText xml:space="preserve"> PAGEREF _Toc229658916 \h </w:instrText>
            </w:r>
            <w:r>
              <w:rPr>
                <w:noProof/>
              </w:rPr>
            </w:r>
            <w:r>
              <w:rPr>
                <w:noProof/>
              </w:rPr>
              <w:fldChar w:fldCharType="separate"/>
            </w:r>
            <w:r>
              <w:rPr>
                <w:noProof/>
              </w:rPr>
              <w:t>32</w:t>
            </w:r>
            <w:r>
              <w:rPr>
                <w:noProof/>
              </w:rPr>
              <w:fldChar w:fldCharType="end"/>
            </w:r>
          </w:hyperlink>
        </w:p>
        <w:p w14:paraId="300645D5" w14:textId="77777777" w:rsidR="002038A3" w:rsidRDefault="002038A3">
          <w:pPr>
            <w:pStyle w:val="TOC2"/>
            <w:tabs>
              <w:tab w:val="right" w:leader="dot" w:pos="9350"/>
            </w:tabs>
            <w:rPr>
              <w:noProof/>
            </w:rPr>
          </w:pPr>
          <w:hyperlink w:anchor="_Toc229658917" w:history="1">
            <w:r w:rsidRPr="001E55F3">
              <w:rPr>
                <w:rStyle w:val="Hyperlink"/>
                <w:noProof/>
              </w:rPr>
              <w:t>The Business Question This Section Answers</w:t>
            </w:r>
            <w:r>
              <w:rPr>
                <w:noProof/>
              </w:rPr>
              <w:tab/>
            </w:r>
            <w:r>
              <w:rPr>
                <w:noProof/>
              </w:rPr>
              <w:fldChar w:fldCharType="begin"/>
            </w:r>
            <w:r>
              <w:rPr>
                <w:noProof/>
              </w:rPr>
              <w:instrText xml:space="preserve"> PAGEREF _Toc229658917 \h </w:instrText>
            </w:r>
            <w:r>
              <w:rPr>
                <w:noProof/>
              </w:rPr>
            </w:r>
            <w:r>
              <w:rPr>
                <w:noProof/>
              </w:rPr>
              <w:fldChar w:fldCharType="separate"/>
            </w:r>
            <w:r>
              <w:rPr>
                <w:noProof/>
              </w:rPr>
              <w:t>32</w:t>
            </w:r>
            <w:r>
              <w:rPr>
                <w:noProof/>
              </w:rPr>
              <w:fldChar w:fldCharType="end"/>
            </w:r>
          </w:hyperlink>
        </w:p>
        <w:p w14:paraId="7BB1D70A" w14:textId="77777777" w:rsidR="002038A3" w:rsidRDefault="002038A3">
          <w:pPr>
            <w:pStyle w:val="TOC2"/>
            <w:tabs>
              <w:tab w:val="right" w:leader="dot" w:pos="9350"/>
            </w:tabs>
            <w:rPr>
              <w:noProof/>
            </w:rPr>
          </w:pPr>
          <w:hyperlink w:anchor="_Toc229658918" w:history="1">
            <w:r w:rsidRPr="001E55F3">
              <w:rPr>
                <w:rStyle w:val="Hyperlink"/>
                <w:noProof/>
              </w:rPr>
              <w:t>The Data Readiness Paradox</w:t>
            </w:r>
            <w:r>
              <w:rPr>
                <w:noProof/>
              </w:rPr>
              <w:tab/>
            </w:r>
            <w:r>
              <w:rPr>
                <w:noProof/>
              </w:rPr>
              <w:fldChar w:fldCharType="begin"/>
            </w:r>
            <w:r>
              <w:rPr>
                <w:noProof/>
              </w:rPr>
              <w:instrText xml:space="preserve"> PAGEREF _Toc229658918 \h </w:instrText>
            </w:r>
            <w:r>
              <w:rPr>
                <w:noProof/>
              </w:rPr>
            </w:r>
            <w:r>
              <w:rPr>
                <w:noProof/>
              </w:rPr>
              <w:fldChar w:fldCharType="separate"/>
            </w:r>
            <w:r>
              <w:rPr>
                <w:noProof/>
              </w:rPr>
              <w:t>32</w:t>
            </w:r>
            <w:r>
              <w:rPr>
                <w:noProof/>
              </w:rPr>
              <w:fldChar w:fldCharType="end"/>
            </w:r>
          </w:hyperlink>
        </w:p>
        <w:p w14:paraId="70939297" w14:textId="77777777" w:rsidR="002038A3" w:rsidRDefault="002038A3">
          <w:pPr>
            <w:pStyle w:val="TOC2"/>
            <w:tabs>
              <w:tab w:val="right" w:leader="dot" w:pos="9350"/>
            </w:tabs>
            <w:rPr>
              <w:noProof/>
            </w:rPr>
          </w:pPr>
          <w:hyperlink w:anchor="_Toc229658919" w:history="1">
            <w:r w:rsidRPr="001E55F3">
              <w:rPr>
                <w:rStyle w:val="Hyperlink"/>
                <w:noProof/>
              </w:rPr>
              <w:t>Four Categories of Enterprise Data</w:t>
            </w:r>
            <w:r>
              <w:rPr>
                <w:noProof/>
              </w:rPr>
              <w:tab/>
            </w:r>
            <w:r>
              <w:rPr>
                <w:noProof/>
              </w:rPr>
              <w:fldChar w:fldCharType="begin"/>
            </w:r>
            <w:r>
              <w:rPr>
                <w:noProof/>
              </w:rPr>
              <w:instrText xml:space="preserve"> PAGEREF _Toc229658919 \h </w:instrText>
            </w:r>
            <w:r>
              <w:rPr>
                <w:noProof/>
              </w:rPr>
            </w:r>
            <w:r>
              <w:rPr>
                <w:noProof/>
              </w:rPr>
              <w:fldChar w:fldCharType="separate"/>
            </w:r>
            <w:r>
              <w:rPr>
                <w:noProof/>
              </w:rPr>
              <w:t>32</w:t>
            </w:r>
            <w:r>
              <w:rPr>
                <w:noProof/>
              </w:rPr>
              <w:fldChar w:fldCharType="end"/>
            </w:r>
          </w:hyperlink>
        </w:p>
        <w:p w14:paraId="686BA3B6" w14:textId="77777777" w:rsidR="002038A3" w:rsidRDefault="002038A3">
          <w:pPr>
            <w:pStyle w:val="TOC3"/>
            <w:tabs>
              <w:tab w:val="right" w:leader="dot" w:pos="9350"/>
            </w:tabs>
            <w:rPr>
              <w:noProof/>
            </w:rPr>
          </w:pPr>
          <w:hyperlink w:anchor="_Toc229658920" w:history="1">
            <w:r w:rsidRPr="001E55F3">
              <w:rPr>
                <w:rStyle w:val="Hyperlink"/>
                <w:noProof/>
              </w:rPr>
              <w:t>Customer Data</w:t>
            </w:r>
            <w:r>
              <w:rPr>
                <w:noProof/>
              </w:rPr>
              <w:tab/>
            </w:r>
            <w:r>
              <w:rPr>
                <w:noProof/>
              </w:rPr>
              <w:fldChar w:fldCharType="begin"/>
            </w:r>
            <w:r>
              <w:rPr>
                <w:noProof/>
              </w:rPr>
              <w:instrText xml:space="preserve"> PAGEREF _Toc229658920 \h </w:instrText>
            </w:r>
            <w:r>
              <w:rPr>
                <w:noProof/>
              </w:rPr>
            </w:r>
            <w:r>
              <w:rPr>
                <w:noProof/>
              </w:rPr>
              <w:fldChar w:fldCharType="separate"/>
            </w:r>
            <w:r>
              <w:rPr>
                <w:noProof/>
              </w:rPr>
              <w:t>32</w:t>
            </w:r>
            <w:r>
              <w:rPr>
                <w:noProof/>
              </w:rPr>
              <w:fldChar w:fldCharType="end"/>
            </w:r>
          </w:hyperlink>
        </w:p>
        <w:p w14:paraId="04747CE0" w14:textId="77777777" w:rsidR="002038A3" w:rsidRDefault="002038A3">
          <w:pPr>
            <w:pStyle w:val="TOC3"/>
            <w:tabs>
              <w:tab w:val="right" w:leader="dot" w:pos="9350"/>
            </w:tabs>
            <w:rPr>
              <w:noProof/>
            </w:rPr>
          </w:pPr>
          <w:hyperlink w:anchor="_Toc229658921" w:history="1">
            <w:r w:rsidRPr="001E55F3">
              <w:rPr>
                <w:rStyle w:val="Hyperlink"/>
                <w:noProof/>
              </w:rPr>
              <w:t>Brand and Marketing Data</w:t>
            </w:r>
            <w:r>
              <w:rPr>
                <w:noProof/>
              </w:rPr>
              <w:tab/>
            </w:r>
            <w:r>
              <w:rPr>
                <w:noProof/>
              </w:rPr>
              <w:fldChar w:fldCharType="begin"/>
            </w:r>
            <w:r>
              <w:rPr>
                <w:noProof/>
              </w:rPr>
              <w:instrText xml:space="preserve"> PAGEREF _Toc229658921 \h </w:instrText>
            </w:r>
            <w:r>
              <w:rPr>
                <w:noProof/>
              </w:rPr>
            </w:r>
            <w:r>
              <w:rPr>
                <w:noProof/>
              </w:rPr>
              <w:fldChar w:fldCharType="separate"/>
            </w:r>
            <w:r>
              <w:rPr>
                <w:noProof/>
              </w:rPr>
              <w:t>33</w:t>
            </w:r>
            <w:r>
              <w:rPr>
                <w:noProof/>
              </w:rPr>
              <w:fldChar w:fldCharType="end"/>
            </w:r>
          </w:hyperlink>
        </w:p>
        <w:p w14:paraId="03E7453E" w14:textId="77777777" w:rsidR="002038A3" w:rsidRDefault="002038A3">
          <w:pPr>
            <w:pStyle w:val="TOC3"/>
            <w:tabs>
              <w:tab w:val="right" w:leader="dot" w:pos="9350"/>
            </w:tabs>
            <w:rPr>
              <w:noProof/>
            </w:rPr>
          </w:pPr>
          <w:hyperlink w:anchor="_Toc229658922" w:history="1">
            <w:r w:rsidRPr="001E55F3">
              <w:rPr>
                <w:rStyle w:val="Hyperlink"/>
                <w:noProof/>
              </w:rPr>
              <w:t>Market and Product Data</w:t>
            </w:r>
            <w:r>
              <w:rPr>
                <w:noProof/>
              </w:rPr>
              <w:tab/>
            </w:r>
            <w:r>
              <w:rPr>
                <w:noProof/>
              </w:rPr>
              <w:fldChar w:fldCharType="begin"/>
            </w:r>
            <w:r>
              <w:rPr>
                <w:noProof/>
              </w:rPr>
              <w:instrText xml:space="preserve"> PAGEREF _Toc229658922 \h </w:instrText>
            </w:r>
            <w:r>
              <w:rPr>
                <w:noProof/>
              </w:rPr>
            </w:r>
            <w:r>
              <w:rPr>
                <w:noProof/>
              </w:rPr>
              <w:fldChar w:fldCharType="separate"/>
            </w:r>
            <w:r>
              <w:rPr>
                <w:noProof/>
              </w:rPr>
              <w:t>34</w:t>
            </w:r>
            <w:r>
              <w:rPr>
                <w:noProof/>
              </w:rPr>
              <w:fldChar w:fldCharType="end"/>
            </w:r>
          </w:hyperlink>
        </w:p>
        <w:p w14:paraId="5A5800E9" w14:textId="77777777" w:rsidR="002038A3" w:rsidRDefault="002038A3">
          <w:pPr>
            <w:pStyle w:val="TOC3"/>
            <w:tabs>
              <w:tab w:val="right" w:leader="dot" w:pos="9350"/>
            </w:tabs>
            <w:rPr>
              <w:noProof/>
            </w:rPr>
          </w:pPr>
          <w:hyperlink w:anchor="_Toc229658923" w:history="1">
            <w:r w:rsidRPr="001E55F3">
              <w:rPr>
                <w:rStyle w:val="Hyperlink"/>
                <w:noProof/>
              </w:rPr>
              <w:t>Synthetic Data</w:t>
            </w:r>
            <w:r>
              <w:rPr>
                <w:noProof/>
              </w:rPr>
              <w:tab/>
            </w:r>
            <w:r>
              <w:rPr>
                <w:noProof/>
              </w:rPr>
              <w:fldChar w:fldCharType="begin"/>
            </w:r>
            <w:r>
              <w:rPr>
                <w:noProof/>
              </w:rPr>
              <w:instrText xml:space="preserve"> PAGEREF _Toc229658923 \h </w:instrText>
            </w:r>
            <w:r>
              <w:rPr>
                <w:noProof/>
              </w:rPr>
            </w:r>
            <w:r>
              <w:rPr>
                <w:noProof/>
              </w:rPr>
              <w:fldChar w:fldCharType="separate"/>
            </w:r>
            <w:r>
              <w:rPr>
                <w:noProof/>
              </w:rPr>
              <w:t>35</w:t>
            </w:r>
            <w:r>
              <w:rPr>
                <w:noProof/>
              </w:rPr>
              <w:fldChar w:fldCharType="end"/>
            </w:r>
          </w:hyperlink>
        </w:p>
        <w:p w14:paraId="7D27DCFB" w14:textId="77777777" w:rsidR="002038A3" w:rsidRDefault="002038A3">
          <w:pPr>
            <w:pStyle w:val="TOC2"/>
            <w:tabs>
              <w:tab w:val="right" w:leader="dot" w:pos="9350"/>
            </w:tabs>
            <w:rPr>
              <w:noProof/>
            </w:rPr>
          </w:pPr>
          <w:hyperlink w:anchor="_Toc229658924" w:history="1">
            <w:r w:rsidRPr="001E55F3">
              <w:rPr>
                <w:rStyle w:val="Hyperlink"/>
                <w:noProof/>
              </w:rPr>
              <w:t>The Data Readiness Framework: Scoped, Not Comprehensive</w:t>
            </w:r>
            <w:r>
              <w:rPr>
                <w:noProof/>
              </w:rPr>
              <w:tab/>
            </w:r>
            <w:r>
              <w:rPr>
                <w:noProof/>
              </w:rPr>
              <w:fldChar w:fldCharType="begin"/>
            </w:r>
            <w:r>
              <w:rPr>
                <w:noProof/>
              </w:rPr>
              <w:instrText xml:space="preserve"> PAGEREF _Toc229658924 \h </w:instrText>
            </w:r>
            <w:r>
              <w:rPr>
                <w:noProof/>
              </w:rPr>
            </w:r>
            <w:r>
              <w:rPr>
                <w:noProof/>
              </w:rPr>
              <w:fldChar w:fldCharType="separate"/>
            </w:r>
            <w:r>
              <w:rPr>
                <w:noProof/>
              </w:rPr>
              <w:t>35</w:t>
            </w:r>
            <w:r>
              <w:rPr>
                <w:noProof/>
              </w:rPr>
              <w:fldChar w:fldCharType="end"/>
            </w:r>
          </w:hyperlink>
        </w:p>
        <w:p w14:paraId="7D55906D" w14:textId="77777777" w:rsidR="002038A3" w:rsidRDefault="002038A3">
          <w:pPr>
            <w:pStyle w:val="TOC2"/>
            <w:tabs>
              <w:tab w:val="right" w:leader="dot" w:pos="9350"/>
            </w:tabs>
            <w:rPr>
              <w:noProof/>
            </w:rPr>
          </w:pPr>
          <w:hyperlink w:anchor="_Toc229658925" w:history="1">
            <w:r w:rsidRPr="001E55F3">
              <w:rPr>
                <w:rStyle w:val="Hyperlink"/>
                <w:noProof/>
              </w:rPr>
              <w:t>Data Architecture Patterns for the AFO</w:t>
            </w:r>
            <w:r>
              <w:rPr>
                <w:noProof/>
              </w:rPr>
              <w:tab/>
            </w:r>
            <w:r>
              <w:rPr>
                <w:noProof/>
              </w:rPr>
              <w:fldChar w:fldCharType="begin"/>
            </w:r>
            <w:r>
              <w:rPr>
                <w:noProof/>
              </w:rPr>
              <w:instrText xml:space="preserve"> PAGEREF _Toc229658925 \h </w:instrText>
            </w:r>
            <w:r>
              <w:rPr>
                <w:noProof/>
              </w:rPr>
            </w:r>
            <w:r>
              <w:rPr>
                <w:noProof/>
              </w:rPr>
              <w:fldChar w:fldCharType="separate"/>
            </w:r>
            <w:r>
              <w:rPr>
                <w:noProof/>
              </w:rPr>
              <w:t>36</w:t>
            </w:r>
            <w:r>
              <w:rPr>
                <w:noProof/>
              </w:rPr>
              <w:fldChar w:fldCharType="end"/>
            </w:r>
          </w:hyperlink>
        </w:p>
        <w:p w14:paraId="5692A08E" w14:textId="77777777" w:rsidR="002038A3" w:rsidRDefault="002038A3">
          <w:pPr>
            <w:pStyle w:val="TOC1"/>
            <w:tabs>
              <w:tab w:val="right" w:leader="dot" w:pos="9350"/>
            </w:tabs>
            <w:rPr>
              <w:noProof/>
            </w:rPr>
          </w:pPr>
          <w:hyperlink w:anchor="_Toc229658926" w:history="1">
            <w:r w:rsidRPr="001E55F3">
              <w:rPr>
                <w:rStyle w:val="Hyperlink"/>
                <w:noProof/>
              </w:rPr>
              <w:t>Section 6: Unified Orchestration and Agent Interoperability</w:t>
            </w:r>
            <w:r>
              <w:rPr>
                <w:noProof/>
              </w:rPr>
              <w:tab/>
            </w:r>
            <w:r>
              <w:rPr>
                <w:noProof/>
              </w:rPr>
              <w:fldChar w:fldCharType="begin"/>
            </w:r>
            <w:r>
              <w:rPr>
                <w:noProof/>
              </w:rPr>
              <w:instrText xml:space="preserve"> PAGEREF _Toc229658926 \h </w:instrText>
            </w:r>
            <w:r>
              <w:rPr>
                <w:noProof/>
              </w:rPr>
            </w:r>
            <w:r>
              <w:rPr>
                <w:noProof/>
              </w:rPr>
              <w:fldChar w:fldCharType="separate"/>
            </w:r>
            <w:r>
              <w:rPr>
                <w:noProof/>
              </w:rPr>
              <w:t>38</w:t>
            </w:r>
            <w:r>
              <w:rPr>
                <w:noProof/>
              </w:rPr>
              <w:fldChar w:fldCharType="end"/>
            </w:r>
          </w:hyperlink>
        </w:p>
        <w:p w14:paraId="52264445" w14:textId="77777777" w:rsidR="002038A3" w:rsidRDefault="002038A3">
          <w:pPr>
            <w:pStyle w:val="TOC2"/>
            <w:tabs>
              <w:tab w:val="right" w:leader="dot" w:pos="9350"/>
            </w:tabs>
            <w:rPr>
              <w:noProof/>
            </w:rPr>
          </w:pPr>
          <w:hyperlink w:anchor="_Toc229658927" w:history="1">
            <w:r w:rsidRPr="001E55F3">
              <w:rPr>
                <w:rStyle w:val="Hyperlink"/>
                <w:noProof/>
              </w:rPr>
              <w:t>The Business Question This Section Answers</w:t>
            </w:r>
            <w:r>
              <w:rPr>
                <w:noProof/>
              </w:rPr>
              <w:tab/>
            </w:r>
            <w:r>
              <w:rPr>
                <w:noProof/>
              </w:rPr>
              <w:fldChar w:fldCharType="begin"/>
            </w:r>
            <w:r>
              <w:rPr>
                <w:noProof/>
              </w:rPr>
              <w:instrText xml:space="preserve"> PAGEREF _Toc229658927 \h </w:instrText>
            </w:r>
            <w:r>
              <w:rPr>
                <w:noProof/>
              </w:rPr>
            </w:r>
            <w:r>
              <w:rPr>
                <w:noProof/>
              </w:rPr>
              <w:fldChar w:fldCharType="separate"/>
            </w:r>
            <w:r>
              <w:rPr>
                <w:noProof/>
              </w:rPr>
              <w:t>38</w:t>
            </w:r>
            <w:r>
              <w:rPr>
                <w:noProof/>
              </w:rPr>
              <w:fldChar w:fldCharType="end"/>
            </w:r>
          </w:hyperlink>
        </w:p>
        <w:p w14:paraId="2115FF5B" w14:textId="77777777" w:rsidR="002038A3" w:rsidRDefault="002038A3">
          <w:pPr>
            <w:pStyle w:val="TOC2"/>
            <w:tabs>
              <w:tab w:val="right" w:leader="dot" w:pos="9350"/>
            </w:tabs>
            <w:rPr>
              <w:noProof/>
            </w:rPr>
          </w:pPr>
          <w:hyperlink w:anchor="_Toc229658928" w:history="1">
            <w:r w:rsidRPr="001E55F3">
              <w:rPr>
                <w:rStyle w:val="Hyperlink"/>
                <w:noProof/>
              </w:rPr>
              <w:t>The Orchestration Problem</w:t>
            </w:r>
            <w:r>
              <w:rPr>
                <w:noProof/>
              </w:rPr>
              <w:tab/>
            </w:r>
            <w:r>
              <w:rPr>
                <w:noProof/>
              </w:rPr>
              <w:fldChar w:fldCharType="begin"/>
            </w:r>
            <w:r>
              <w:rPr>
                <w:noProof/>
              </w:rPr>
              <w:instrText xml:space="preserve"> PAGEREF _Toc229658928 \h </w:instrText>
            </w:r>
            <w:r>
              <w:rPr>
                <w:noProof/>
              </w:rPr>
            </w:r>
            <w:r>
              <w:rPr>
                <w:noProof/>
              </w:rPr>
              <w:fldChar w:fldCharType="separate"/>
            </w:r>
            <w:r>
              <w:rPr>
                <w:noProof/>
              </w:rPr>
              <w:t>38</w:t>
            </w:r>
            <w:r>
              <w:rPr>
                <w:noProof/>
              </w:rPr>
              <w:fldChar w:fldCharType="end"/>
            </w:r>
          </w:hyperlink>
        </w:p>
        <w:p w14:paraId="63F21C4D" w14:textId="77777777" w:rsidR="002038A3" w:rsidRDefault="002038A3">
          <w:pPr>
            <w:pStyle w:val="TOC2"/>
            <w:tabs>
              <w:tab w:val="right" w:leader="dot" w:pos="9350"/>
            </w:tabs>
            <w:rPr>
              <w:noProof/>
            </w:rPr>
          </w:pPr>
          <w:hyperlink w:anchor="_Toc229658929" w:history="1">
            <w:r w:rsidRPr="001E55F3">
              <w:rPr>
                <w:rStyle w:val="Hyperlink"/>
                <w:noProof/>
              </w:rPr>
              <w:t>Three Orchestration Patterns</w:t>
            </w:r>
            <w:r>
              <w:rPr>
                <w:noProof/>
              </w:rPr>
              <w:tab/>
            </w:r>
            <w:r>
              <w:rPr>
                <w:noProof/>
              </w:rPr>
              <w:fldChar w:fldCharType="begin"/>
            </w:r>
            <w:r>
              <w:rPr>
                <w:noProof/>
              </w:rPr>
              <w:instrText xml:space="preserve"> PAGEREF _Toc229658929 \h </w:instrText>
            </w:r>
            <w:r>
              <w:rPr>
                <w:noProof/>
              </w:rPr>
            </w:r>
            <w:r>
              <w:rPr>
                <w:noProof/>
              </w:rPr>
              <w:fldChar w:fldCharType="separate"/>
            </w:r>
            <w:r>
              <w:rPr>
                <w:noProof/>
              </w:rPr>
              <w:t>38</w:t>
            </w:r>
            <w:r>
              <w:rPr>
                <w:noProof/>
              </w:rPr>
              <w:fldChar w:fldCharType="end"/>
            </w:r>
          </w:hyperlink>
        </w:p>
        <w:p w14:paraId="5A34926F" w14:textId="77777777" w:rsidR="002038A3" w:rsidRDefault="002038A3">
          <w:pPr>
            <w:pStyle w:val="TOC3"/>
            <w:tabs>
              <w:tab w:val="right" w:leader="dot" w:pos="9350"/>
            </w:tabs>
            <w:rPr>
              <w:noProof/>
            </w:rPr>
          </w:pPr>
          <w:hyperlink w:anchor="_Toc229658930" w:history="1">
            <w:r w:rsidRPr="001E55F3">
              <w:rPr>
                <w:rStyle w:val="Hyperlink"/>
                <w:noProof/>
              </w:rPr>
              <w:t>Pattern 1: Intra-Platform Orchestration</w:t>
            </w:r>
            <w:r>
              <w:rPr>
                <w:noProof/>
              </w:rPr>
              <w:tab/>
            </w:r>
            <w:r>
              <w:rPr>
                <w:noProof/>
              </w:rPr>
              <w:fldChar w:fldCharType="begin"/>
            </w:r>
            <w:r>
              <w:rPr>
                <w:noProof/>
              </w:rPr>
              <w:instrText xml:space="preserve"> PAGEREF _Toc229658930 \h </w:instrText>
            </w:r>
            <w:r>
              <w:rPr>
                <w:noProof/>
              </w:rPr>
            </w:r>
            <w:r>
              <w:rPr>
                <w:noProof/>
              </w:rPr>
              <w:fldChar w:fldCharType="separate"/>
            </w:r>
            <w:r>
              <w:rPr>
                <w:noProof/>
              </w:rPr>
              <w:t>39</w:t>
            </w:r>
            <w:r>
              <w:rPr>
                <w:noProof/>
              </w:rPr>
              <w:fldChar w:fldCharType="end"/>
            </w:r>
          </w:hyperlink>
        </w:p>
        <w:p w14:paraId="2DE28BB6" w14:textId="77777777" w:rsidR="002038A3" w:rsidRDefault="002038A3">
          <w:pPr>
            <w:pStyle w:val="TOC3"/>
            <w:tabs>
              <w:tab w:val="right" w:leader="dot" w:pos="9350"/>
            </w:tabs>
            <w:rPr>
              <w:noProof/>
            </w:rPr>
          </w:pPr>
          <w:hyperlink w:anchor="_Toc229658931" w:history="1">
            <w:r w:rsidRPr="001E55F3">
              <w:rPr>
                <w:rStyle w:val="Hyperlink"/>
                <w:noProof/>
              </w:rPr>
              <w:t>Pattern 2: Cross-Platform Agent Orchestration</w:t>
            </w:r>
            <w:r>
              <w:rPr>
                <w:noProof/>
              </w:rPr>
              <w:tab/>
            </w:r>
            <w:r>
              <w:rPr>
                <w:noProof/>
              </w:rPr>
              <w:fldChar w:fldCharType="begin"/>
            </w:r>
            <w:r>
              <w:rPr>
                <w:noProof/>
              </w:rPr>
              <w:instrText xml:space="preserve"> PAGEREF _Toc229658931 \h </w:instrText>
            </w:r>
            <w:r>
              <w:rPr>
                <w:noProof/>
              </w:rPr>
            </w:r>
            <w:r>
              <w:rPr>
                <w:noProof/>
              </w:rPr>
              <w:fldChar w:fldCharType="separate"/>
            </w:r>
            <w:r>
              <w:rPr>
                <w:noProof/>
              </w:rPr>
              <w:t>40</w:t>
            </w:r>
            <w:r>
              <w:rPr>
                <w:noProof/>
              </w:rPr>
              <w:fldChar w:fldCharType="end"/>
            </w:r>
          </w:hyperlink>
        </w:p>
        <w:p w14:paraId="6716815C" w14:textId="77777777" w:rsidR="002038A3" w:rsidRDefault="002038A3">
          <w:pPr>
            <w:pStyle w:val="TOC3"/>
            <w:tabs>
              <w:tab w:val="right" w:leader="dot" w:pos="9350"/>
            </w:tabs>
            <w:rPr>
              <w:noProof/>
            </w:rPr>
          </w:pPr>
          <w:hyperlink w:anchor="_Toc229658932" w:history="1">
            <w:r w:rsidRPr="001E55F3">
              <w:rPr>
                <w:rStyle w:val="Hyperlink"/>
                <w:noProof/>
              </w:rPr>
              <w:t>Pattern 3: Event-Driven Signal Orchestration</w:t>
            </w:r>
            <w:r>
              <w:rPr>
                <w:noProof/>
              </w:rPr>
              <w:tab/>
            </w:r>
            <w:r>
              <w:rPr>
                <w:noProof/>
              </w:rPr>
              <w:fldChar w:fldCharType="begin"/>
            </w:r>
            <w:r>
              <w:rPr>
                <w:noProof/>
              </w:rPr>
              <w:instrText xml:space="preserve"> PAGEREF _Toc229658932 \h </w:instrText>
            </w:r>
            <w:r>
              <w:rPr>
                <w:noProof/>
              </w:rPr>
            </w:r>
            <w:r>
              <w:rPr>
                <w:noProof/>
              </w:rPr>
              <w:fldChar w:fldCharType="separate"/>
            </w:r>
            <w:r>
              <w:rPr>
                <w:noProof/>
              </w:rPr>
              <w:t>41</w:t>
            </w:r>
            <w:r>
              <w:rPr>
                <w:noProof/>
              </w:rPr>
              <w:fldChar w:fldCharType="end"/>
            </w:r>
          </w:hyperlink>
        </w:p>
        <w:p w14:paraId="656D81C2" w14:textId="77777777" w:rsidR="002038A3" w:rsidRDefault="002038A3">
          <w:pPr>
            <w:pStyle w:val="TOC2"/>
            <w:tabs>
              <w:tab w:val="right" w:leader="dot" w:pos="9350"/>
            </w:tabs>
            <w:rPr>
              <w:noProof/>
            </w:rPr>
          </w:pPr>
          <w:hyperlink w:anchor="_Toc229658933" w:history="1">
            <w:r w:rsidRPr="001E55F3">
              <w:rPr>
                <w:rStyle w:val="Hyperlink"/>
                <w:noProof/>
              </w:rPr>
              <w:t>Session Continuity and Context Management</w:t>
            </w:r>
            <w:r>
              <w:rPr>
                <w:noProof/>
              </w:rPr>
              <w:tab/>
            </w:r>
            <w:r>
              <w:rPr>
                <w:noProof/>
              </w:rPr>
              <w:fldChar w:fldCharType="begin"/>
            </w:r>
            <w:r>
              <w:rPr>
                <w:noProof/>
              </w:rPr>
              <w:instrText xml:space="preserve"> PAGEREF _Toc229658933 \h </w:instrText>
            </w:r>
            <w:r>
              <w:rPr>
                <w:noProof/>
              </w:rPr>
            </w:r>
            <w:r>
              <w:rPr>
                <w:noProof/>
              </w:rPr>
              <w:fldChar w:fldCharType="separate"/>
            </w:r>
            <w:r>
              <w:rPr>
                <w:noProof/>
              </w:rPr>
              <w:t>41</w:t>
            </w:r>
            <w:r>
              <w:rPr>
                <w:noProof/>
              </w:rPr>
              <w:fldChar w:fldCharType="end"/>
            </w:r>
          </w:hyperlink>
        </w:p>
        <w:p w14:paraId="3517D96D" w14:textId="77777777" w:rsidR="002038A3" w:rsidRDefault="002038A3">
          <w:pPr>
            <w:pStyle w:val="TOC2"/>
            <w:tabs>
              <w:tab w:val="right" w:leader="dot" w:pos="9350"/>
            </w:tabs>
            <w:rPr>
              <w:noProof/>
            </w:rPr>
          </w:pPr>
          <w:hyperlink w:anchor="_Toc229658934" w:history="1">
            <w:r w:rsidRPr="001E55F3">
              <w:rPr>
                <w:rStyle w:val="Hyperlink"/>
                <w:noProof/>
              </w:rPr>
              <w:t>Governance in a Multi-Platform Orchestration Model</w:t>
            </w:r>
            <w:r>
              <w:rPr>
                <w:noProof/>
              </w:rPr>
              <w:tab/>
            </w:r>
            <w:r>
              <w:rPr>
                <w:noProof/>
              </w:rPr>
              <w:fldChar w:fldCharType="begin"/>
            </w:r>
            <w:r>
              <w:rPr>
                <w:noProof/>
              </w:rPr>
              <w:instrText xml:space="preserve"> PAGEREF _Toc229658934 \h </w:instrText>
            </w:r>
            <w:r>
              <w:rPr>
                <w:noProof/>
              </w:rPr>
            </w:r>
            <w:r>
              <w:rPr>
                <w:noProof/>
              </w:rPr>
              <w:fldChar w:fldCharType="separate"/>
            </w:r>
            <w:r>
              <w:rPr>
                <w:noProof/>
              </w:rPr>
              <w:t>42</w:t>
            </w:r>
            <w:r>
              <w:rPr>
                <w:noProof/>
              </w:rPr>
              <w:fldChar w:fldCharType="end"/>
            </w:r>
          </w:hyperlink>
        </w:p>
        <w:p w14:paraId="6EFCFE4A" w14:textId="77777777" w:rsidR="002038A3" w:rsidRDefault="002038A3">
          <w:pPr>
            <w:pStyle w:val="TOC1"/>
            <w:tabs>
              <w:tab w:val="right" w:leader="dot" w:pos="9350"/>
            </w:tabs>
            <w:rPr>
              <w:noProof/>
            </w:rPr>
          </w:pPr>
          <w:hyperlink w:anchor="_Toc229658935" w:history="1">
            <w:r w:rsidRPr="001E55F3">
              <w:rPr>
                <w:rStyle w:val="Hyperlink"/>
                <w:noProof/>
              </w:rPr>
              <w:t>Section 7: Platform Architecture Principles</w:t>
            </w:r>
            <w:r>
              <w:rPr>
                <w:noProof/>
              </w:rPr>
              <w:tab/>
            </w:r>
            <w:r>
              <w:rPr>
                <w:noProof/>
              </w:rPr>
              <w:fldChar w:fldCharType="begin"/>
            </w:r>
            <w:r>
              <w:rPr>
                <w:noProof/>
              </w:rPr>
              <w:instrText xml:space="preserve"> PAGEREF _Toc229658935 \h </w:instrText>
            </w:r>
            <w:r>
              <w:rPr>
                <w:noProof/>
              </w:rPr>
            </w:r>
            <w:r>
              <w:rPr>
                <w:noProof/>
              </w:rPr>
              <w:fldChar w:fldCharType="separate"/>
            </w:r>
            <w:r>
              <w:rPr>
                <w:noProof/>
              </w:rPr>
              <w:t>43</w:t>
            </w:r>
            <w:r>
              <w:rPr>
                <w:noProof/>
              </w:rPr>
              <w:fldChar w:fldCharType="end"/>
            </w:r>
          </w:hyperlink>
        </w:p>
        <w:p w14:paraId="7AB458F6" w14:textId="77777777" w:rsidR="002038A3" w:rsidRDefault="002038A3">
          <w:pPr>
            <w:pStyle w:val="TOC2"/>
            <w:tabs>
              <w:tab w:val="right" w:leader="dot" w:pos="9350"/>
            </w:tabs>
            <w:rPr>
              <w:noProof/>
            </w:rPr>
          </w:pPr>
          <w:hyperlink w:anchor="_Toc229658936" w:history="1">
            <w:r w:rsidRPr="001E55F3">
              <w:rPr>
                <w:rStyle w:val="Hyperlink"/>
                <w:noProof/>
              </w:rPr>
              <w:t>The Business Question This Section Answers</w:t>
            </w:r>
            <w:r>
              <w:rPr>
                <w:noProof/>
              </w:rPr>
              <w:tab/>
            </w:r>
            <w:r>
              <w:rPr>
                <w:noProof/>
              </w:rPr>
              <w:fldChar w:fldCharType="begin"/>
            </w:r>
            <w:r>
              <w:rPr>
                <w:noProof/>
              </w:rPr>
              <w:instrText xml:space="preserve"> PAGEREF _Toc229658936 \h </w:instrText>
            </w:r>
            <w:r>
              <w:rPr>
                <w:noProof/>
              </w:rPr>
            </w:r>
            <w:r>
              <w:rPr>
                <w:noProof/>
              </w:rPr>
              <w:fldChar w:fldCharType="separate"/>
            </w:r>
            <w:r>
              <w:rPr>
                <w:noProof/>
              </w:rPr>
              <w:t>43</w:t>
            </w:r>
            <w:r>
              <w:rPr>
                <w:noProof/>
              </w:rPr>
              <w:fldChar w:fldCharType="end"/>
            </w:r>
          </w:hyperlink>
        </w:p>
        <w:p w14:paraId="73C5CDC6" w14:textId="77777777" w:rsidR="002038A3" w:rsidRDefault="002038A3">
          <w:pPr>
            <w:pStyle w:val="TOC2"/>
            <w:tabs>
              <w:tab w:val="right" w:leader="dot" w:pos="9350"/>
            </w:tabs>
            <w:rPr>
              <w:noProof/>
            </w:rPr>
          </w:pPr>
          <w:hyperlink w:anchor="_Toc229658937" w:history="1">
            <w:r w:rsidRPr="001E55F3">
              <w:rPr>
                <w:rStyle w:val="Hyperlink"/>
                <w:noProof/>
              </w:rPr>
              <w:t>From Platform Selection to Ecosystem Composition</w:t>
            </w:r>
            <w:r>
              <w:rPr>
                <w:noProof/>
              </w:rPr>
              <w:tab/>
            </w:r>
            <w:r>
              <w:rPr>
                <w:noProof/>
              </w:rPr>
              <w:fldChar w:fldCharType="begin"/>
            </w:r>
            <w:r>
              <w:rPr>
                <w:noProof/>
              </w:rPr>
              <w:instrText xml:space="preserve"> PAGEREF _Toc229658937 \h </w:instrText>
            </w:r>
            <w:r>
              <w:rPr>
                <w:noProof/>
              </w:rPr>
            </w:r>
            <w:r>
              <w:rPr>
                <w:noProof/>
              </w:rPr>
              <w:fldChar w:fldCharType="separate"/>
            </w:r>
            <w:r>
              <w:rPr>
                <w:noProof/>
              </w:rPr>
              <w:t>43</w:t>
            </w:r>
            <w:r>
              <w:rPr>
                <w:noProof/>
              </w:rPr>
              <w:fldChar w:fldCharType="end"/>
            </w:r>
          </w:hyperlink>
        </w:p>
        <w:p w14:paraId="0674213D" w14:textId="77777777" w:rsidR="002038A3" w:rsidRDefault="002038A3">
          <w:pPr>
            <w:pStyle w:val="TOC2"/>
            <w:tabs>
              <w:tab w:val="right" w:leader="dot" w:pos="9350"/>
            </w:tabs>
            <w:rPr>
              <w:noProof/>
            </w:rPr>
          </w:pPr>
          <w:hyperlink w:anchor="_Toc229658938" w:history="1">
            <w:r w:rsidRPr="001E55F3">
              <w:rPr>
                <w:rStyle w:val="Hyperlink"/>
                <w:noProof/>
              </w:rPr>
              <w:t>Six Principles for Platform Ecosystem Composition</w:t>
            </w:r>
            <w:r>
              <w:rPr>
                <w:noProof/>
              </w:rPr>
              <w:tab/>
            </w:r>
            <w:r>
              <w:rPr>
                <w:noProof/>
              </w:rPr>
              <w:fldChar w:fldCharType="begin"/>
            </w:r>
            <w:r>
              <w:rPr>
                <w:noProof/>
              </w:rPr>
              <w:instrText xml:space="preserve"> PAGEREF _Toc229658938 \h </w:instrText>
            </w:r>
            <w:r>
              <w:rPr>
                <w:noProof/>
              </w:rPr>
            </w:r>
            <w:r>
              <w:rPr>
                <w:noProof/>
              </w:rPr>
              <w:fldChar w:fldCharType="separate"/>
            </w:r>
            <w:r>
              <w:rPr>
                <w:noProof/>
              </w:rPr>
              <w:t>43</w:t>
            </w:r>
            <w:r>
              <w:rPr>
                <w:noProof/>
              </w:rPr>
              <w:fldChar w:fldCharType="end"/>
            </w:r>
          </w:hyperlink>
        </w:p>
        <w:p w14:paraId="302BE1D3" w14:textId="77777777" w:rsidR="002038A3" w:rsidRDefault="002038A3">
          <w:pPr>
            <w:pStyle w:val="TOC3"/>
            <w:tabs>
              <w:tab w:val="right" w:leader="dot" w:pos="9350"/>
            </w:tabs>
            <w:rPr>
              <w:noProof/>
            </w:rPr>
          </w:pPr>
          <w:hyperlink w:anchor="_Toc229658939" w:history="1">
            <w:r w:rsidRPr="001E55F3">
              <w:rPr>
                <w:rStyle w:val="Hyperlink"/>
                <w:noProof/>
              </w:rPr>
              <w:t>Principle 1: Evaluate Integration Posture, Not Just Capability</w:t>
            </w:r>
            <w:r>
              <w:rPr>
                <w:noProof/>
              </w:rPr>
              <w:tab/>
            </w:r>
            <w:r>
              <w:rPr>
                <w:noProof/>
              </w:rPr>
              <w:fldChar w:fldCharType="begin"/>
            </w:r>
            <w:r>
              <w:rPr>
                <w:noProof/>
              </w:rPr>
              <w:instrText xml:space="preserve"> PAGEREF _Toc229658939 \h </w:instrText>
            </w:r>
            <w:r>
              <w:rPr>
                <w:noProof/>
              </w:rPr>
            </w:r>
            <w:r>
              <w:rPr>
                <w:noProof/>
              </w:rPr>
              <w:fldChar w:fldCharType="separate"/>
            </w:r>
            <w:r>
              <w:rPr>
                <w:noProof/>
              </w:rPr>
              <w:t>43</w:t>
            </w:r>
            <w:r>
              <w:rPr>
                <w:noProof/>
              </w:rPr>
              <w:fldChar w:fldCharType="end"/>
            </w:r>
          </w:hyperlink>
        </w:p>
        <w:p w14:paraId="1E832C21" w14:textId="77777777" w:rsidR="002038A3" w:rsidRDefault="002038A3">
          <w:pPr>
            <w:pStyle w:val="TOC3"/>
            <w:tabs>
              <w:tab w:val="right" w:leader="dot" w:pos="9350"/>
            </w:tabs>
            <w:rPr>
              <w:noProof/>
            </w:rPr>
          </w:pPr>
          <w:hyperlink w:anchor="_Toc229658940" w:history="1">
            <w:r w:rsidRPr="001E55F3">
              <w:rPr>
                <w:rStyle w:val="Hyperlink"/>
                <w:noProof/>
              </w:rPr>
              <w:t>Principle 2: Match Platforms to Architectural Layers, Not to Functions</w:t>
            </w:r>
            <w:r>
              <w:rPr>
                <w:noProof/>
              </w:rPr>
              <w:tab/>
            </w:r>
            <w:r>
              <w:rPr>
                <w:noProof/>
              </w:rPr>
              <w:fldChar w:fldCharType="begin"/>
            </w:r>
            <w:r>
              <w:rPr>
                <w:noProof/>
              </w:rPr>
              <w:instrText xml:space="preserve"> PAGEREF _Toc229658940 \h </w:instrText>
            </w:r>
            <w:r>
              <w:rPr>
                <w:noProof/>
              </w:rPr>
            </w:r>
            <w:r>
              <w:rPr>
                <w:noProof/>
              </w:rPr>
              <w:fldChar w:fldCharType="separate"/>
            </w:r>
            <w:r>
              <w:rPr>
                <w:noProof/>
              </w:rPr>
              <w:t>43</w:t>
            </w:r>
            <w:r>
              <w:rPr>
                <w:noProof/>
              </w:rPr>
              <w:fldChar w:fldCharType="end"/>
            </w:r>
          </w:hyperlink>
        </w:p>
        <w:p w14:paraId="2940A49D" w14:textId="77777777" w:rsidR="002038A3" w:rsidRDefault="002038A3">
          <w:pPr>
            <w:pStyle w:val="TOC3"/>
            <w:tabs>
              <w:tab w:val="right" w:leader="dot" w:pos="9350"/>
            </w:tabs>
            <w:rPr>
              <w:noProof/>
            </w:rPr>
          </w:pPr>
          <w:hyperlink w:anchor="_Toc229658941" w:history="1">
            <w:r w:rsidRPr="001E55F3">
              <w:rPr>
                <w:rStyle w:val="Hyperlink"/>
                <w:noProof/>
              </w:rPr>
              <w:t>Principle 3: Maintain a Vendor-Neutral Intelligence Layer</w:t>
            </w:r>
            <w:r>
              <w:rPr>
                <w:noProof/>
              </w:rPr>
              <w:tab/>
            </w:r>
            <w:r>
              <w:rPr>
                <w:noProof/>
              </w:rPr>
              <w:fldChar w:fldCharType="begin"/>
            </w:r>
            <w:r>
              <w:rPr>
                <w:noProof/>
              </w:rPr>
              <w:instrText xml:space="preserve"> PAGEREF _Toc229658941 \h </w:instrText>
            </w:r>
            <w:r>
              <w:rPr>
                <w:noProof/>
              </w:rPr>
            </w:r>
            <w:r>
              <w:rPr>
                <w:noProof/>
              </w:rPr>
              <w:fldChar w:fldCharType="separate"/>
            </w:r>
            <w:r>
              <w:rPr>
                <w:noProof/>
              </w:rPr>
              <w:t>44</w:t>
            </w:r>
            <w:r>
              <w:rPr>
                <w:noProof/>
              </w:rPr>
              <w:fldChar w:fldCharType="end"/>
            </w:r>
          </w:hyperlink>
        </w:p>
        <w:p w14:paraId="2FF7DE79" w14:textId="77777777" w:rsidR="002038A3" w:rsidRDefault="002038A3">
          <w:pPr>
            <w:pStyle w:val="TOC3"/>
            <w:tabs>
              <w:tab w:val="right" w:leader="dot" w:pos="9350"/>
            </w:tabs>
            <w:rPr>
              <w:noProof/>
            </w:rPr>
          </w:pPr>
          <w:hyperlink w:anchor="_Toc229658942" w:history="1">
            <w:r w:rsidRPr="001E55F3">
              <w:rPr>
                <w:rStyle w:val="Hyperlink"/>
                <w:noProof/>
              </w:rPr>
              <w:t>Principle 4: Invest in the Integration Layer as a First-Class Architectural Component</w:t>
            </w:r>
            <w:r>
              <w:rPr>
                <w:noProof/>
              </w:rPr>
              <w:tab/>
            </w:r>
            <w:r>
              <w:rPr>
                <w:noProof/>
              </w:rPr>
              <w:fldChar w:fldCharType="begin"/>
            </w:r>
            <w:r>
              <w:rPr>
                <w:noProof/>
              </w:rPr>
              <w:instrText xml:space="preserve"> PAGEREF _Toc229658942 \h </w:instrText>
            </w:r>
            <w:r>
              <w:rPr>
                <w:noProof/>
              </w:rPr>
            </w:r>
            <w:r>
              <w:rPr>
                <w:noProof/>
              </w:rPr>
              <w:fldChar w:fldCharType="separate"/>
            </w:r>
            <w:r>
              <w:rPr>
                <w:noProof/>
              </w:rPr>
              <w:t>44</w:t>
            </w:r>
            <w:r>
              <w:rPr>
                <w:noProof/>
              </w:rPr>
              <w:fldChar w:fldCharType="end"/>
            </w:r>
          </w:hyperlink>
        </w:p>
        <w:p w14:paraId="531E8DB7" w14:textId="77777777" w:rsidR="002038A3" w:rsidRDefault="002038A3">
          <w:pPr>
            <w:pStyle w:val="TOC3"/>
            <w:tabs>
              <w:tab w:val="right" w:leader="dot" w:pos="9350"/>
            </w:tabs>
            <w:rPr>
              <w:noProof/>
            </w:rPr>
          </w:pPr>
          <w:hyperlink w:anchor="_Toc229658943" w:history="1">
            <w:r w:rsidRPr="001E55F3">
              <w:rPr>
                <w:rStyle w:val="Hyperlink"/>
                <w:noProof/>
              </w:rPr>
              <w:t>Principle 5: Design for Protocol Evolution</w:t>
            </w:r>
            <w:r>
              <w:rPr>
                <w:noProof/>
              </w:rPr>
              <w:tab/>
            </w:r>
            <w:r>
              <w:rPr>
                <w:noProof/>
              </w:rPr>
              <w:fldChar w:fldCharType="begin"/>
            </w:r>
            <w:r>
              <w:rPr>
                <w:noProof/>
              </w:rPr>
              <w:instrText xml:space="preserve"> PAGEREF _Toc229658943 \h </w:instrText>
            </w:r>
            <w:r>
              <w:rPr>
                <w:noProof/>
              </w:rPr>
            </w:r>
            <w:r>
              <w:rPr>
                <w:noProof/>
              </w:rPr>
              <w:fldChar w:fldCharType="separate"/>
            </w:r>
            <w:r>
              <w:rPr>
                <w:noProof/>
              </w:rPr>
              <w:t>44</w:t>
            </w:r>
            <w:r>
              <w:rPr>
                <w:noProof/>
              </w:rPr>
              <w:fldChar w:fldCharType="end"/>
            </w:r>
          </w:hyperlink>
        </w:p>
        <w:p w14:paraId="562F8371" w14:textId="77777777" w:rsidR="002038A3" w:rsidRDefault="002038A3">
          <w:pPr>
            <w:pStyle w:val="TOC3"/>
            <w:tabs>
              <w:tab w:val="right" w:leader="dot" w:pos="9350"/>
            </w:tabs>
            <w:rPr>
              <w:noProof/>
            </w:rPr>
          </w:pPr>
          <w:hyperlink w:anchor="_Toc229658944" w:history="1">
            <w:r w:rsidRPr="001E55F3">
              <w:rPr>
                <w:rStyle w:val="Hyperlink"/>
                <w:noProof/>
              </w:rPr>
              <w:t>Principle 6: Evaluate Vendors on Agentic Roadmap Credibility</w:t>
            </w:r>
            <w:r>
              <w:rPr>
                <w:noProof/>
              </w:rPr>
              <w:tab/>
            </w:r>
            <w:r>
              <w:rPr>
                <w:noProof/>
              </w:rPr>
              <w:fldChar w:fldCharType="begin"/>
            </w:r>
            <w:r>
              <w:rPr>
                <w:noProof/>
              </w:rPr>
              <w:instrText xml:space="preserve"> PAGEREF _Toc229658944 \h </w:instrText>
            </w:r>
            <w:r>
              <w:rPr>
                <w:noProof/>
              </w:rPr>
            </w:r>
            <w:r>
              <w:rPr>
                <w:noProof/>
              </w:rPr>
              <w:fldChar w:fldCharType="separate"/>
            </w:r>
            <w:r>
              <w:rPr>
                <w:noProof/>
              </w:rPr>
              <w:t>44</w:t>
            </w:r>
            <w:r>
              <w:rPr>
                <w:noProof/>
              </w:rPr>
              <w:fldChar w:fldCharType="end"/>
            </w:r>
          </w:hyperlink>
        </w:p>
        <w:p w14:paraId="77D25758" w14:textId="77777777" w:rsidR="002038A3" w:rsidRDefault="002038A3">
          <w:pPr>
            <w:pStyle w:val="TOC1"/>
            <w:tabs>
              <w:tab w:val="right" w:leader="dot" w:pos="9350"/>
            </w:tabs>
            <w:rPr>
              <w:noProof/>
            </w:rPr>
          </w:pPr>
          <w:hyperlink w:anchor="_Toc229658945" w:history="1">
            <w:r w:rsidRPr="001E55F3">
              <w:rPr>
                <w:rStyle w:val="Hyperlink"/>
                <w:noProof/>
              </w:rPr>
              <w:t>Section 7.5: Production Architecture Considerations</w:t>
            </w:r>
            <w:r>
              <w:rPr>
                <w:noProof/>
              </w:rPr>
              <w:tab/>
            </w:r>
            <w:r>
              <w:rPr>
                <w:noProof/>
              </w:rPr>
              <w:fldChar w:fldCharType="begin"/>
            </w:r>
            <w:r>
              <w:rPr>
                <w:noProof/>
              </w:rPr>
              <w:instrText xml:space="preserve"> PAGEREF _Toc229658945 \h </w:instrText>
            </w:r>
            <w:r>
              <w:rPr>
                <w:noProof/>
              </w:rPr>
            </w:r>
            <w:r>
              <w:rPr>
                <w:noProof/>
              </w:rPr>
              <w:fldChar w:fldCharType="separate"/>
            </w:r>
            <w:r>
              <w:rPr>
                <w:noProof/>
              </w:rPr>
              <w:t>46</w:t>
            </w:r>
            <w:r>
              <w:rPr>
                <w:noProof/>
              </w:rPr>
              <w:fldChar w:fldCharType="end"/>
            </w:r>
          </w:hyperlink>
        </w:p>
        <w:p w14:paraId="5B6DCE3E" w14:textId="77777777" w:rsidR="002038A3" w:rsidRDefault="002038A3">
          <w:pPr>
            <w:pStyle w:val="TOC2"/>
            <w:tabs>
              <w:tab w:val="right" w:leader="dot" w:pos="9350"/>
            </w:tabs>
            <w:rPr>
              <w:noProof/>
            </w:rPr>
          </w:pPr>
          <w:hyperlink w:anchor="_Toc229658946" w:history="1">
            <w:r w:rsidRPr="001E55F3">
              <w:rPr>
                <w:rStyle w:val="Hyperlink"/>
                <w:noProof/>
              </w:rPr>
              <w:t>Resilience and Failure Management</w:t>
            </w:r>
            <w:r>
              <w:rPr>
                <w:noProof/>
              </w:rPr>
              <w:tab/>
            </w:r>
            <w:r>
              <w:rPr>
                <w:noProof/>
              </w:rPr>
              <w:fldChar w:fldCharType="begin"/>
            </w:r>
            <w:r>
              <w:rPr>
                <w:noProof/>
              </w:rPr>
              <w:instrText xml:space="preserve"> PAGEREF _Toc229658946 \h </w:instrText>
            </w:r>
            <w:r>
              <w:rPr>
                <w:noProof/>
              </w:rPr>
            </w:r>
            <w:r>
              <w:rPr>
                <w:noProof/>
              </w:rPr>
              <w:fldChar w:fldCharType="separate"/>
            </w:r>
            <w:r>
              <w:rPr>
                <w:noProof/>
              </w:rPr>
              <w:t>46</w:t>
            </w:r>
            <w:r>
              <w:rPr>
                <w:noProof/>
              </w:rPr>
              <w:fldChar w:fldCharType="end"/>
            </w:r>
          </w:hyperlink>
        </w:p>
        <w:p w14:paraId="1E8E035B" w14:textId="77777777" w:rsidR="002038A3" w:rsidRDefault="002038A3">
          <w:pPr>
            <w:pStyle w:val="TOC2"/>
            <w:tabs>
              <w:tab w:val="right" w:leader="dot" w:pos="9350"/>
            </w:tabs>
            <w:rPr>
              <w:noProof/>
            </w:rPr>
          </w:pPr>
          <w:hyperlink w:anchor="_Toc229658947" w:history="1">
            <w:r w:rsidRPr="001E55F3">
              <w:rPr>
                <w:rStyle w:val="Hyperlink"/>
                <w:noProof/>
              </w:rPr>
              <w:t>Latency and Performance</w:t>
            </w:r>
            <w:r>
              <w:rPr>
                <w:noProof/>
              </w:rPr>
              <w:tab/>
            </w:r>
            <w:r>
              <w:rPr>
                <w:noProof/>
              </w:rPr>
              <w:fldChar w:fldCharType="begin"/>
            </w:r>
            <w:r>
              <w:rPr>
                <w:noProof/>
              </w:rPr>
              <w:instrText xml:space="preserve"> PAGEREF _Toc229658947 \h </w:instrText>
            </w:r>
            <w:r>
              <w:rPr>
                <w:noProof/>
              </w:rPr>
            </w:r>
            <w:r>
              <w:rPr>
                <w:noProof/>
              </w:rPr>
              <w:fldChar w:fldCharType="separate"/>
            </w:r>
            <w:r>
              <w:rPr>
                <w:noProof/>
              </w:rPr>
              <w:t>46</w:t>
            </w:r>
            <w:r>
              <w:rPr>
                <w:noProof/>
              </w:rPr>
              <w:fldChar w:fldCharType="end"/>
            </w:r>
          </w:hyperlink>
        </w:p>
        <w:p w14:paraId="492383F0" w14:textId="77777777" w:rsidR="002038A3" w:rsidRDefault="002038A3">
          <w:pPr>
            <w:pStyle w:val="TOC2"/>
            <w:tabs>
              <w:tab w:val="right" w:leader="dot" w:pos="9350"/>
            </w:tabs>
            <w:rPr>
              <w:noProof/>
            </w:rPr>
          </w:pPr>
          <w:hyperlink w:anchor="_Toc229658948" w:history="1">
            <w:r w:rsidRPr="001E55F3">
              <w:rPr>
                <w:rStyle w:val="Hyperlink"/>
                <w:noProof/>
              </w:rPr>
              <w:t>Agent Testing and Validation</w:t>
            </w:r>
            <w:r>
              <w:rPr>
                <w:noProof/>
              </w:rPr>
              <w:tab/>
            </w:r>
            <w:r>
              <w:rPr>
                <w:noProof/>
              </w:rPr>
              <w:fldChar w:fldCharType="begin"/>
            </w:r>
            <w:r>
              <w:rPr>
                <w:noProof/>
              </w:rPr>
              <w:instrText xml:space="preserve"> PAGEREF _Toc229658948 \h </w:instrText>
            </w:r>
            <w:r>
              <w:rPr>
                <w:noProof/>
              </w:rPr>
            </w:r>
            <w:r>
              <w:rPr>
                <w:noProof/>
              </w:rPr>
              <w:fldChar w:fldCharType="separate"/>
            </w:r>
            <w:r>
              <w:rPr>
                <w:noProof/>
              </w:rPr>
              <w:t>46</w:t>
            </w:r>
            <w:r>
              <w:rPr>
                <w:noProof/>
              </w:rPr>
              <w:fldChar w:fldCharType="end"/>
            </w:r>
          </w:hyperlink>
        </w:p>
        <w:p w14:paraId="72896BC5" w14:textId="77777777" w:rsidR="002038A3" w:rsidRDefault="002038A3">
          <w:pPr>
            <w:pStyle w:val="TOC2"/>
            <w:tabs>
              <w:tab w:val="right" w:leader="dot" w:pos="9350"/>
            </w:tabs>
            <w:rPr>
              <w:noProof/>
            </w:rPr>
          </w:pPr>
          <w:hyperlink w:anchor="_Toc229658949" w:history="1">
            <w:r w:rsidRPr="001E55F3">
              <w:rPr>
                <w:rStyle w:val="Hyperlink"/>
                <w:noProof/>
              </w:rPr>
              <w:t>Security for Agent-to-Agent Communication</w:t>
            </w:r>
            <w:r>
              <w:rPr>
                <w:noProof/>
              </w:rPr>
              <w:tab/>
            </w:r>
            <w:r>
              <w:rPr>
                <w:noProof/>
              </w:rPr>
              <w:fldChar w:fldCharType="begin"/>
            </w:r>
            <w:r>
              <w:rPr>
                <w:noProof/>
              </w:rPr>
              <w:instrText xml:space="preserve"> PAGEREF _Toc229658949 \h </w:instrText>
            </w:r>
            <w:r>
              <w:rPr>
                <w:noProof/>
              </w:rPr>
            </w:r>
            <w:r>
              <w:rPr>
                <w:noProof/>
              </w:rPr>
              <w:fldChar w:fldCharType="separate"/>
            </w:r>
            <w:r>
              <w:rPr>
                <w:noProof/>
              </w:rPr>
              <w:t>46</w:t>
            </w:r>
            <w:r>
              <w:rPr>
                <w:noProof/>
              </w:rPr>
              <w:fldChar w:fldCharType="end"/>
            </w:r>
          </w:hyperlink>
        </w:p>
        <w:p w14:paraId="1CF85FC0" w14:textId="77777777" w:rsidR="002038A3" w:rsidRDefault="002038A3">
          <w:pPr>
            <w:pStyle w:val="TOC2"/>
            <w:tabs>
              <w:tab w:val="right" w:leader="dot" w:pos="9350"/>
            </w:tabs>
            <w:rPr>
              <w:noProof/>
            </w:rPr>
          </w:pPr>
          <w:hyperlink w:anchor="_Toc229658950" w:history="1">
            <w:r w:rsidRPr="001E55F3">
              <w:rPr>
                <w:rStyle w:val="Hyperlink"/>
                <w:noProof/>
              </w:rPr>
              <w:t>Data Sovereignty and Residency</w:t>
            </w:r>
            <w:r>
              <w:rPr>
                <w:noProof/>
              </w:rPr>
              <w:tab/>
            </w:r>
            <w:r>
              <w:rPr>
                <w:noProof/>
              </w:rPr>
              <w:fldChar w:fldCharType="begin"/>
            </w:r>
            <w:r>
              <w:rPr>
                <w:noProof/>
              </w:rPr>
              <w:instrText xml:space="preserve"> PAGEREF _Toc229658950 \h </w:instrText>
            </w:r>
            <w:r>
              <w:rPr>
                <w:noProof/>
              </w:rPr>
            </w:r>
            <w:r>
              <w:rPr>
                <w:noProof/>
              </w:rPr>
              <w:fldChar w:fldCharType="separate"/>
            </w:r>
            <w:r>
              <w:rPr>
                <w:noProof/>
              </w:rPr>
              <w:t>47</w:t>
            </w:r>
            <w:r>
              <w:rPr>
                <w:noProof/>
              </w:rPr>
              <w:fldChar w:fldCharType="end"/>
            </w:r>
          </w:hyperlink>
        </w:p>
        <w:p w14:paraId="7F7E13E6" w14:textId="77777777" w:rsidR="002038A3" w:rsidRDefault="002038A3">
          <w:pPr>
            <w:pStyle w:val="TOC1"/>
            <w:tabs>
              <w:tab w:val="right" w:leader="dot" w:pos="9350"/>
            </w:tabs>
            <w:rPr>
              <w:noProof/>
            </w:rPr>
          </w:pPr>
          <w:hyperlink w:anchor="_Toc229658951" w:history="1">
            <w:r w:rsidRPr="001E55F3">
              <w:rPr>
                <w:rStyle w:val="Hyperlink"/>
                <w:noProof/>
              </w:rPr>
              <w:t>Section 8: Architecture Maturity Model</w:t>
            </w:r>
            <w:r>
              <w:rPr>
                <w:noProof/>
              </w:rPr>
              <w:tab/>
            </w:r>
            <w:r>
              <w:rPr>
                <w:noProof/>
              </w:rPr>
              <w:fldChar w:fldCharType="begin"/>
            </w:r>
            <w:r>
              <w:rPr>
                <w:noProof/>
              </w:rPr>
              <w:instrText xml:space="preserve"> PAGEREF _Toc229658951 \h </w:instrText>
            </w:r>
            <w:r>
              <w:rPr>
                <w:noProof/>
              </w:rPr>
            </w:r>
            <w:r>
              <w:rPr>
                <w:noProof/>
              </w:rPr>
              <w:fldChar w:fldCharType="separate"/>
            </w:r>
            <w:r>
              <w:rPr>
                <w:noProof/>
              </w:rPr>
              <w:t>48</w:t>
            </w:r>
            <w:r>
              <w:rPr>
                <w:noProof/>
              </w:rPr>
              <w:fldChar w:fldCharType="end"/>
            </w:r>
          </w:hyperlink>
        </w:p>
        <w:p w14:paraId="22CE65E1" w14:textId="77777777" w:rsidR="002038A3" w:rsidRDefault="002038A3">
          <w:pPr>
            <w:pStyle w:val="TOC2"/>
            <w:tabs>
              <w:tab w:val="right" w:leader="dot" w:pos="9350"/>
            </w:tabs>
            <w:rPr>
              <w:noProof/>
            </w:rPr>
          </w:pPr>
          <w:hyperlink w:anchor="_Toc229658952" w:history="1">
            <w:r w:rsidRPr="001E55F3">
              <w:rPr>
                <w:rStyle w:val="Hyperlink"/>
                <w:noProof/>
              </w:rPr>
              <w:t>The Business Question This Section Answers</w:t>
            </w:r>
            <w:r>
              <w:rPr>
                <w:noProof/>
              </w:rPr>
              <w:tab/>
            </w:r>
            <w:r>
              <w:rPr>
                <w:noProof/>
              </w:rPr>
              <w:fldChar w:fldCharType="begin"/>
            </w:r>
            <w:r>
              <w:rPr>
                <w:noProof/>
              </w:rPr>
              <w:instrText xml:space="preserve"> PAGEREF _Toc229658952 \h </w:instrText>
            </w:r>
            <w:r>
              <w:rPr>
                <w:noProof/>
              </w:rPr>
            </w:r>
            <w:r>
              <w:rPr>
                <w:noProof/>
              </w:rPr>
              <w:fldChar w:fldCharType="separate"/>
            </w:r>
            <w:r>
              <w:rPr>
                <w:noProof/>
              </w:rPr>
              <w:t>48</w:t>
            </w:r>
            <w:r>
              <w:rPr>
                <w:noProof/>
              </w:rPr>
              <w:fldChar w:fldCharType="end"/>
            </w:r>
          </w:hyperlink>
        </w:p>
        <w:p w14:paraId="63271DDC" w14:textId="77777777" w:rsidR="002038A3" w:rsidRDefault="002038A3">
          <w:pPr>
            <w:pStyle w:val="TOC2"/>
            <w:tabs>
              <w:tab w:val="right" w:leader="dot" w:pos="9350"/>
            </w:tabs>
            <w:rPr>
              <w:noProof/>
            </w:rPr>
          </w:pPr>
          <w:hyperlink w:anchor="_Toc229658953" w:history="1">
            <w:r w:rsidRPr="001E55F3">
              <w:rPr>
                <w:rStyle w:val="Hyperlink"/>
                <w:noProof/>
              </w:rPr>
              <w:t>Four Stages of Agentic Maturity</w:t>
            </w:r>
            <w:r>
              <w:rPr>
                <w:noProof/>
              </w:rPr>
              <w:tab/>
            </w:r>
            <w:r>
              <w:rPr>
                <w:noProof/>
              </w:rPr>
              <w:fldChar w:fldCharType="begin"/>
            </w:r>
            <w:r>
              <w:rPr>
                <w:noProof/>
              </w:rPr>
              <w:instrText xml:space="preserve"> PAGEREF _Toc229658953 \h </w:instrText>
            </w:r>
            <w:r>
              <w:rPr>
                <w:noProof/>
              </w:rPr>
            </w:r>
            <w:r>
              <w:rPr>
                <w:noProof/>
              </w:rPr>
              <w:fldChar w:fldCharType="separate"/>
            </w:r>
            <w:r>
              <w:rPr>
                <w:noProof/>
              </w:rPr>
              <w:t>48</w:t>
            </w:r>
            <w:r>
              <w:rPr>
                <w:noProof/>
              </w:rPr>
              <w:fldChar w:fldCharType="end"/>
            </w:r>
          </w:hyperlink>
        </w:p>
        <w:p w14:paraId="6EB178CE" w14:textId="77777777" w:rsidR="002038A3" w:rsidRDefault="002038A3">
          <w:pPr>
            <w:pStyle w:val="TOC3"/>
            <w:tabs>
              <w:tab w:val="right" w:leader="dot" w:pos="9350"/>
            </w:tabs>
            <w:rPr>
              <w:noProof/>
            </w:rPr>
          </w:pPr>
          <w:hyperlink w:anchor="_Toc229658954" w:history="1">
            <w:r w:rsidRPr="001E55F3">
              <w:rPr>
                <w:rStyle w:val="Hyperlink"/>
                <w:noProof/>
              </w:rPr>
              <w:t>Stage 1: Distributed Use-Case Deployment</w:t>
            </w:r>
            <w:r>
              <w:rPr>
                <w:noProof/>
              </w:rPr>
              <w:tab/>
            </w:r>
            <w:r>
              <w:rPr>
                <w:noProof/>
              </w:rPr>
              <w:fldChar w:fldCharType="begin"/>
            </w:r>
            <w:r>
              <w:rPr>
                <w:noProof/>
              </w:rPr>
              <w:instrText xml:space="preserve"> PAGEREF _Toc229658954 \h </w:instrText>
            </w:r>
            <w:r>
              <w:rPr>
                <w:noProof/>
              </w:rPr>
            </w:r>
            <w:r>
              <w:rPr>
                <w:noProof/>
              </w:rPr>
              <w:fldChar w:fldCharType="separate"/>
            </w:r>
            <w:r>
              <w:rPr>
                <w:noProof/>
              </w:rPr>
              <w:t>48</w:t>
            </w:r>
            <w:r>
              <w:rPr>
                <w:noProof/>
              </w:rPr>
              <w:fldChar w:fldCharType="end"/>
            </w:r>
          </w:hyperlink>
        </w:p>
        <w:p w14:paraId="297468A7" w14:textId="77777777" w:rsidR="002038A3" w:rsidRDefault="002038A3">
          <w:pPr>
            <w:pStyle w:val="TOC3"/>
            <w:tabs>
              <w:tab w:val="right" w:leader="dot" w:pos="9350"/>
            </w:tabs>
            <w:rPr>
              <w:noProof/>
            </w:rPr>
          </w:pPr>
          <w:hyperlink w:anchor="_Toc229658955" w:history="1">
            <w:r w:rsidRPr="001E55F3">
              <w:rPr>
                <w:rStyle w:val="Hyperlink"/>
                <w:noProof/>
              </w:rPr>
              <w:t>Stage 2: Verticalized Functional Sub-Ecosystems</w:t>
            </w:r>
            <w:r>
              <w:rPr>
                <w:noProof/>
              </w:rPr>
              <w:tab/>
            </w:r>
            <w:r>
              <w:rPr>
                <w:noProof/>
              </w:rPr>
              <w:fldChar w:fldCharType="begin"/>
            </w:r>
            <w:r>
              <w:rPr>
                <w:noProof/>
              </w:rPr>
              <w:instrText xml:space="preserve"> PAGEREF _Toc229658955 \h </w:instrText>
            </w:r>
            <w:r>
              <w:rPr>
                <w:noProof/>
              </w:rPr>
            </w:r>
            <w:r>
              <w:rPr>
                <w:noProof/>
              </w:rPr>
              <w:fldChar w:fldCharType="separate"/>
            </w:r>
            <w:r>
              <w:rPr>
                <w:noProof/>
              </w:rPr>
              <w:t>49</w:t>
            </w:r>
            <w:r>
              <w:rPr>
                <w:noProof/>
              </w:rPr>
              <w:fldChar w:fldCharType="end"/>
            </w:r>
          </w:hyperlink>
        </w:p>
        <w:p w14:paraId="71DFA535" w14:textId="77777777" w:rsidR="002038A3" w:rsidRDefault="002038A3">
          <w:pPr>
            <w:pStyle w:val="TOC3"/>
            <w:tabs>
              <w:tab w:val="right" w:leader="dot" w:pos="9350"/>
            </w:tabs>
            <w:rPr>
              <w:noProof/>
            </w:rPr>
          </w:pPr>
          <w:hyperlink w:anchor="_Toc229658956" w:history="1">
            <w:r w:rsidRPr="001E55F3">
              <w:rPr>
                <w:rStyle w:val="Hyperlink"/>
                <w:noProof/>
              </w:rPr>
              <w:t>Stage 3: Unified Cross-Functional Front-Office Orchestration</w:t>
            </w:r>
            <w:r>
              <w:rPr>
                <w:noProof/>
              </w:rPr>
              <w:tab/>
            </w:r>
            <w:r>
              <w:rPr>
                <w:noProof/>
              </w:rPr>
              <w:fldChar w:fldCharType="begin"/>
            </w:r>
            <w:r>
              <w:rPr>
                <w:noProof/>
              </w:rPr>
              <w:instrText xml:space="preserve"> PAGEREF _Toc229658956 \h </w:instrText>
            </w:r>
            <w:r>
              <w:rPr>
                <w:noProof/>
              </w:rPr>
            </w:r>
            <w:r>
              <w:rPr>
                <w:noProof/>
              </w:rPr>
              <w:fldChar w:fldCharType="separate"/>
            </w:r>
            <w:r>
              <w:rPr>
                <w:noProof/>
              </w:rPr>
              <w:t>50</w:t>
            </w:r>
            <w:r>
              <w:rPr>
                <w:noProof/>
              </w:rPr>
              <w:fldChar w:fldCharType="end"/>
            </w:r>
          </w:hyperlink>
        </w:p>
        <w:p w14:paraId="2BD1DA97" w14:textId="77777777" w:rsidR="002038A3" w:rsidRDefault="002038A3">
          <w:pPr>
            <w:pStyle w:val="TOC3"/>
            <w:tabs>
              <w:tab w:val="right" w:leader="dot" w:pos="9350"/>
            </w:tabs>
            <w:rPr>
              <w:noProof/>
            </w:rPr>
          </w:pPr>
          <w:hyperlink w:anchor="_Toc229658957" w:history="1">
            <w:r w:rsidRPr="001E55F3">
              <w:rPr>
                <w:rStyle w:val="Hyperlink"/>
                <w:noProof/>
              </w:rPr>
              <w:t>Stage 4: Full Cross-Enterprise Business Reinvention</w:t>
            </w:r>
            <w:r>
              <w:rPr>
                <w:noProof/>
              </w:rPr>
              <w:tab/>
            </w:r>
            <w:r>
              <w:rPr>
                <w:noProof/>
              </w:rPr>
              <w:fldChar w:fldCharType="begin"/>
            </w:r>
            <w:r>
              <w:rPr>
                <w:noProof/>
              </w:rPr>
              <w:instrText xml:space="preserve"> PAGEREF _Toc229658957 \h </w:instrText>
            </w:r>
            <w:r>
              <w:rPr>
                <w:noProof/>
              </w:rPr>
            </w:r>
            <w:r>
              <w:rPr>
                <w:noProof/>
              </w:rPr>
              <w:fldChar w:fldCharType="separate"/>
            </w:r>
            <w:r>
              <w:rPr>
                <w:noProof/>
              </w:rPr>
              <w:t>50</w:t>
            </w:r>
            <w:r>
              <w:rPr>
                <w:noProof/>
              </w:rPr>
              <w:fldChar w:fldCharType="end"/>
            </w:r>
          </w:hyperlink>
        </w:p>
        <w:p w14:paraId="2CBBA1C2" w14:textId="77777777" w:rsidR="002038A3" w:rsidRDefault="002038A3">
          <w:pPr>
            <w:pStyle w:val="TOC2"/>
            <w:tabs>
              <w:tab w:val="right" w:leader="dot" w:pos="9350"/>
            </w:tabs>
            <w:rPr>
              <w:noProof/>
            </w:rPr>
          </w:pPr>
          <w:hyperlink w:anchor="_Toc229658958" w:history="1">
            <w:r w:rsidRPr="001E55F3">
              <w:rPr>
                <w:rStyle w:val="Hyperlink"/>
                <w:noProof/>
              </w:rPr>
              <w:t>Using the Maturity Model</w:t>
            </w:r>
            <w:r>
              <w:rPr>
                <w:noProof/>
              </w:rPr>
              <w:tab/>
            </w:r>
            <w:r>
              <w:rPr>
                <w:noProof/>
              </w:rPr>
              <w:fldChar w:fldCharType="begin"/>
            </w:r>
            <w:r>
              <w:rPr>
                <w:noProof/>
              </w:rPr>
              <w:instrText xml:space="preserve"> PAGEREF _Toc229658958 \h </w:instrText>
            </w:r>
            <w:r>
              <w:rPr>
                <w:noProof/>
              </w:rPr>
            </w:r>
            <w:r>
              <w:rPr>
                <w:noProof/>
              </w:rPr>
              <w:fldChar w:fldCharType="separate"/>
            </w:r>
            <w:r>
              <w:rPr>
                <w:noProof/>
              </w:rPr>
              <w:t>51</w:t>
            </w:r>
            <w:r>
              <w:rPr>
                <w:noProof/>
              </w:rPr>
              <w:fldChar w:fldCharType="end"/>
            </w:r>
          </w:hyperlink>
        </w:p>
        <w:p w14:paraId="35394D38" w14:textId="77777777" w:rsidR="002038A3" w:rsidRDefault="002038A3">
          <w:pPr>
            <w:pStyle w:val="TOC2"/>
            <w:tabs>
              <w:tab w:val="right" w:leader="dot" w:pos="9350"/>
            </w:tabs>
            <w:rPr>
              <w:noProof/>
            </w:rPr>
          </w:pPr>
          <w:hyperlink w:anchor="_Toc229658959" w:history="1">
            <w:r w:rsidRPr="001E55F3">
              <w:rPr>
                <w:rStyle w:val="Hyperlink"/>
                <w:noProof/>
              </w:rPr>
              <w:t>The Path Forward</w:t>
            </w:r>
            <w:r>
              <w:rPr>
                <w:noProof/>
              </w:rPr>
              <w:tab/>
            </w:r>
            <w:r>
              <w:rPr>
                <w:noProof/>
              </w:rPr>
              <w:fldChar w:fldCharType="begin"/>
            </w:r>
            <w:r>
              <w:rPr>
                <w:noProof/>
              </w:rPr>
              <w:instrText xml:space="preserve"> PAGEREF _Toc229658959 \h </w:instrText>
            </w:r>
            <w:r>
              <w:rPr>
                <w:noProof/>
              </w:rPr>
            </w:r>
            <w:r>
              <w:rPr>
                <w:noProof/>
              </w:rPr>
              <w:fldChar w:fldCharType="separate"/>
            </w:r>
            <w:r>
              <w:rPr>
                <w:noProof/>
              </w:rPr>
              <w:t>51</w:t>
            </w:r>
            <w:r>
              <w:rPr>
                <w:noProof/>
              </w:rPr>
              <w:fldChar w:fldCharType="end"/>
            </w:r>
          </w:hyperlink>
        </w:p>
        <w:p w14:paraId="72542A98" w14:textId="77777777" w:rsidR="00AB7968" w:rsidRDefault="00EF0D76">
          <w:r>
            <w:fldChar w:fldCharType="end"/>
          </w:r>
        </w:p>
      </w:sdtContent>
    </w:sdt>
    <w:p w14:paraId="21F2ED7A" w14:textId="77777777" w:rsidR="00AB7968" w:rsidRDefault="00AB7968">
      <w:pPr>
        <w:sectPr w:rsidR="00AB7968">
          <w:pgSz w:w="12240" w:h="15840"/>
          <w:pgMar w:top="1440" w:right="1440" w:bottom="1440" w:left="1440" w:header="708" w:footer="708" w:gutter="0"/>
          <w:cols w:space="720"/>
          <w:docGrid w:linePitch="360"/>
        </w:sectPr>
      </w:pPr>
    </w:p>
    <w:p w14:paraId="7F8D1624" w14:textId="77777777" w:rsidR="00AB7968" w:rsidRDefault="00EF0D76">
      <w:pPr>
        <w:pStyle w:val="Heading2"/>
      </w:pPr>
      <w:bookmarkStart w:id="0" w:name="_Toc229658880"/>
      <w:r>
        <w:lastRenderedPageBreak/>
        <w:t>Executive Summary</w:t>
      </w:r>
      <w:bookmarkEnd w:id="0"/>
    </w:p>
    <w:p w14:paraId="62976574" w14:textId="77777777" w:rsidR="00AB7968" w:rsidRDefault="00EF0D76">
      <w:pPr>
        <w:spacing w:before="60" w:after="100" w:line="300" w:lineRule="auto"/>
      </w:pPr>
      <w:r>
        <w:t>The front office is undergoing a structural shift. Human employees, AI agents, and customer-facing AI systems are converging into an integrated commercial engine that spans marketing, sales, commerce, service, and pricing. Organizations that treat this convergence as a technology upgrade (deploying chatbots, copilots, and content generators into existing workflows) will capture incremental efficiency. Organizations that redesign the commercial architecture itself will build compounding competitive advantage</w:t>
      </w:r>
      <w:r>
        <w:t>.</w:t>
      </w:r>
    </w:p>
    <w:p w14:paraId="651BEF13" w14:textId="77777777" w:rsidR="00AB7968" w:rsidRDefault="00EF0D76">
      <w:pPr>
        <w:spacing w:before="60" w:after="100" w:line="300" w:lineRule="auto"/>
      </w:pPr>
      <w:r>
        <w:t>This document presents a seven-layer reference architecture for the Agentic Front Office (AFO): the structural blueprint for how the commercial engine should be designed, governed, and evolved. It addresses three questions that determine whether an AI-enabled front office delivers its intended value: where intelligence lives in the enterprise (the Commercial Brain), how agents orchestrate across platforms and functions (the Orchestration Layer), and where humans and agents share the work (the Governance spi</w:t>
      </w:r>
      <w:r>
        <w:t>ne).</w:t>
      </w:r>
    </w:p>
    <w:p w14:paraId="7BAFA73B" w14:textId="77777777" w:rsidR="00AB7968" w:rsidRDefault="00EF0D76">
      <w:pPr>
        <w:spacing w:before="60" w:after="100" w:line="300" w:lineRule="auto"/>
      </w:pPr>
      <w:r>
        <w:t>The architecture is platform-neutral by design. It has been assessed against leading experience, infrastructure, and AI platforms, and no single vendor covers more than 41% of the required capabilities at production strength. The value is in the composition, not the platform. The companion AFO Capability Blueprint provides the detailed capability-level mapping for platform assessment, maturity diagnostics, and implementation scoping.</w:t>
      </w:r>
    </w:p>
    <w:p w14:paraId="1CAF81E4" w14:textId="77777777" w:rsidR="00AB7968" w:rsidRDefault="00EF0D76">
      <w:pPr>
        <w:spacing w:before="60" w:after="100" w:line="300" w:lineRule="auto"/>
      </w:pPr>
      <w:r>
        <w:t>Key architectural insights:</w:t>
      </w:r>
    </w:p>
    <w:p w14:paraId="1416BA42" w14:textId="77777777" w:rsidR="00AB7968" w:rsidRDefault="00EF0D76">
      <w:pPr>
        <w:spacing w:before="60" w:after="100" w:line="300" w:lineRule="auto"/>
      </w:pPr>
      <w:r>
        <w:rPr>
          <w:b/>
          <w:bCs/>
          <w:color w:val="1A1A18"/>
        </w:rPr>
        <w:t>The Commercial Brain is the durable moat.</w:t>
      </w:r>
      <w:r>
        <w:t xml:space="preserve"> A six-component intelligence layer (Knowledge Engine, Model Hub, Agent Network, GenAI Services, Responsible AI, Operations &amp; Integration) transforms proprietary enterprise data into contextualized reasoning that every agent and every human can act on. Organizations that build this layer own their competitive advantage. Organizations that rely on vendor-embedded AI rent it.</w:t>
      </w:r>
    </w:p>
    <w:p w14:paraId="46F432D1" w14:textId="77777777" w:rsidR="00AB7968" w:rsidRDefault="00EF0D76">
      <w:pPr>
        <w:spacing w:before="60" w:after="100" w:line="300" w:lineRule="auto"/>
      </w:pPr>
      <w:r>
        <w:rPr>
          <w:b/>
          <w:bCs/>
          <w:color w:val="1A1A18"/>
        </w:rPr>
        <w:t xml:space="preserve">Content operations </w:t>
      </w:r>
      <w:proofErr w:type="gramStart"/>
      <w:r>
        <w:rPr>
          <w:b/>
          <w:bCs/>
          <w:color w:val="1A1A18"/>
        </w:rPr>
        <w:t>is</w:t>
      </w:r>
      <w:proofErr w:type="gramEnd"/>
      <w:r>
        <w:rPr>
          <w:b/>
          <w:bCs/>
          <w:color w:val="1A1A18"/>
        </w:rPr>
        <w:t xml:space="preserve"> commercial infrastructure.</w:t>
      </w:r>
      <w:r>
        <w:t xml:space="preserve"> Intelligent Content Operations (ICO) is positioned as a dedicated architectural layer, not a marketing function, because every agent across every pillar depends on governed, personalized, compliant content at scale. ICO is also the fastest path to measurable value in the first wave of deployment.</w:t>
      </w:r>
    </w:p>
    <w:p w14:paraId="214E68A6" w14:textId="77777777" w:rsidR="00AB7968" w:rsidRDefault="00EF0D76">
      <w:pPr>
        <w:spacing w:before="60" w:after="100" w:line="300" w:lineRule="auto"/>
      </w:pPr>
      <w:r>
        <w:rPr>
          <w:b/>
          <w:bCs/>
          <w:color w:val="1A1A18"/>
        </w:rPr>
        <w:t>Orchestration is where the value compounds.</w:t>
      </w:r>
      <w:r>
        <w:t xml:space="preserve"> The architecture defines three orchestration patterns (intra-platform, cross-platform, and event-driven) that coordinate agents across platform boundaries. Cross-functional orchestration, where a service signal triggers a pricing decision that activates a marketing journey, typically represents 40-60% of total transformation value.</w:t>
      </w:r>
    </w:p>
    <w:p w14:paraId="58117149" w14:textId="77777777" w:rsidR="00AB7968" w:rsidRDefault="00EF0D76">
      <w:pPr>
        <w:spacing w:before="60" w:after="100" w:line="300" w:lineRule="auto"/>
      </w:pPr>
      <w:r>
        <w:rPr>
          <w:b/>
          <w:bCs/>
          <w:color w:val="1A1A18"/>
        </w:rPr>
        <w:t>Governance is a spine, not a layer.</w:t>
      </w:r>
      <w:r>
        <w:t xml:space="preserve"> Governance &amp; Trust runs vertically across the entire architecture rather than sitting beneath it, reflecting the reality that every agent action at every layer requires governance appropriate to its context, risk profile, and regulatory environment.</w:t>
      </w:r>
    </w:p>
    <w:p w14:paraId="3033D436" w14:textId="77777777" w:rsidR="00AB7968" w:rsidRDefault="00EF0D76">
      <w:pPr>
        <w:spacing w:before="60" w:after="100" w:line="300" w:lineRule="auto"/>
      </w:pPr>
      <w:r>
        <w:t>The document concludes with a four-stage maturity model (Distributed, Functional, Unified, Autonomous) that provides the progression roadmap from today's fragmented AI deployments to the integrated commercial engine the architecture describes.</w:t>
      </w:r>
    </w:p>
    <w:p w14:paraId="4F60FB86" w14:textId="77777777" w:rsidR="00AB7968" w:rsidRDefault="00EF0D76">
      <w:r>
        <w:lastRenderedPageBreak/>
        <w:br w:type="page"/>
      </w:r>
    </w:p>
    <w:p w14:paraId="569E30B3" w14:textId="77777777" w:rsidR="00AB7968" w:rsidRDefault="00EF0D76">
      <w:pPr>
        <w:pStyle w:val="Heading1"/>
      </w:pPr>
      <w:bookmarkStart w:id="1" w:name="_Toc229658881"/>
      <w:r>
        <w:lastRenderedPageBreak/>
        <w:t>Section 1: The Architectural Imperative</w:t>
      </w:r>
      <w:bookmarkEnd w:id="1"/>
    </w:p>
    <w:p w14:paraId="0DBF27E2" w14:textId="77777777" w:rsidR="00AB7968" w:rsidRDefault="00EF0D76">
      <w:pPr>
        <w:pStyle w:val="Heading2"/>
      </w:pPr>
      <w:bookmarkStart w:id="2" w:name="_Toc229658882"/>
      <w:r>
        <w:t>Why Architecture Is the Transformation's Center of Gravity</w:t>
      </w:r>
      <w:bookmarkEnd w:id="2"/>
    </w:p>
    <w:p w14:paraId="7969CF4E" w14:textId="77777777" w:rsidR="00AB7968" w:rsidRDefault="00EF0D76">
      <w:pPr>
        <w:spacing w:before="60" w:after="100" w:line="300" w:lineRule="auto"/>
      </w:pPr>
      <w:r>
        <w:t>Most commercial AI programs fail not because of the technology, but because organizations deploy AI tools inside an operating model designed for a market that no longer exists. The remedy is a redesign of the commercial architecture itself.</w:t>
      </w:r>
    </w:p>
    <w:p w14:paraId="6B42EB1B" w14:textId="77777777" w:rsidR="00AB7968" w:rsidRDefault="00EF0D76">
      <w:pPr>
        <w:spacing w:before="60" w:after="100" w:line="300" w:lineRule="auto"/>
      </w:pPr>
      <w:r>
        <w:t>This document provides that redesign. It translates the Agentic Front Office vision into architectural specificity: the level of detail required to move from "we believe this is the right direction" to "here is how we build it."</w:t>
      </w:r>
    </w:p>
    <w:p w14:paraId="014249BF" w14:textId="77777777" w:rsidR="00AB7968" w:rsidRDefault="00EF0D76">
      <w:pPr>
        <w:spacing w:before="60" w:after="100" w:line="300" w:lineRule="auto"/>
      </w:pPr>
      <w:r>
        <w:t>The distinction matters because architecture is where ambition meets reality. An organization can align its leadership, secure its budget, and select its platforms, and still fail if the architectural blueprint doesn't answer three questions with precision:</w:t>
      </w:r>
    </w:p>
    <w:p w14:paraId="6713DD41" w14:textId="77777777" w:rsidR="00AB7968" w:rsidRDefault="00EF0D76">
      <w:pPr>
        <w:spacing w:before="60" w:after="100" w:line="300" w:lineRule="auto"/>
      </w:pPr>
      <w:r>
        <w:rPr>
          <w:b/>
          <w:bCs/>
          <w:color w:val="1A1A18"/>
        </w:rPr>
        <w:t>Where does intelligence live?</w:t>
      </w:r>
      <w:r>
        <w:t xml:space="preserve"> Not which vendor's AI, but where in the enterprise does proprietary commercial knowledge get captured, structured, enriched, and made available to every agent and every human across every function? Organizations that cannot answer this question build point solutions. Organizations that can answer it build compounding advantage.</w:t>
      </w:r>
    </w:p>
    <w:p w14:paraId="001C01A7" w14:textId="77777777" w:rsidR="00AB7968" w:rsidRDefault="00EF0D76">
      <w:pPr>
        <w:spacing w:before="60" w:after="100" w:line="300" w:lineRule="auto"/>
      </w:pPr>
      <w:r>
        <w:rPr>
          <w:b/>
          <w:bCs/>
          <w:color w:val="1A1A18"/>
        </w:rPr>
        <w:t>How does orchestration work across platforms and functions?</w:t>
      </w:r>
      <w:r>
        <w:t xml:space="preserve"> The typical enterprise front office runs on three to five major platforms (a CRM for sales and service, a marketing automation and experience platform, a commerce engine, a content management system, a data platform) plus dozens of specialized tools. Agentic capabilities must coordinate across all of them. The architectural question isn't which platform to choose. It's how to build an orchestration layer that enables agents to trigger actions, share context, and hand off work across platforms without forci</w:t>
      </w:r>
      <w:r>
        <w:t>ng everything into a single vendor stack.</w:t>
      </w:r>
    </w:p>
    <w:p w14:paraId="4D7805FC" w14:textId="77777777" w:rsidR="00AB7968" w:rsidRDefault="00EF0D76">
      <w:pPr>
        <w:spacing w:before="60" w:after="100" w:line="300" w:lineRule="auto"/>
      </w:pPr>
      <w:r>
        <w:rPr>
          <w:b/>
          <w:bCs/>
          <w:color w:val="1A1A18"/>
        </w:rPr>
        <w:t>Where do humans and agents share the work?</w:t>
      </w:r>
      <w:r>
        <w:t xml:space="preserve"> Not in theory ("humans for judgment, agents for execution"), but structurally: at which points in each workflow does the system require human approval? Where does it escalate? Where does it operate autonomously? And how does the boundary between human and agent shift as the system earns trust through demonstrated performance?</w:t>
      </w:r>
    </w:p>
    <w:p w14:paraId="108A75BC" w14:textId="77777777" w:rsidR="00AB7968" w:rsidRDefault="00EF0D76">
      <w:pPr>
        <w:spacing w:before="60" w:after="100" w:line="300" w:lineRule="auto"/>
      </w:pPr>
      <w:r>
        <w:t>The Architecture Deep Dive answers these questions across seven dimensions: the reference architecture that defines the structural layers, the Commercial Brain that powers intelligence, the relationship between legacy platforms and the new agentic infrastructure, the data architecture that feeds the system, the orchestration patterns that connect agents across platforms, the platform architecture principles that guide technology decisions, and the maturity model that defines the progression from today's sta</w:t>
      </w:r>
      <w:r>
        <w:t>te to the target architecture.</w:t>
      </w:r>
    </w:p>
    <w:p w14:paraId="2AD35F5A" w14:textId="77777777" w:rsidR="00AB7968" w:rsidRDefault="00EF0D76">
      <w:pPr>
        <w:pStyle w:val="Heading2"/>
      </w:pPr>
      <w:bookmarkStart w:id="3" w:name="_Toc229658883"/>
      <w:r>
        <w:t>This Document and the Capability Blueprint</w:t>
      </w:r>
      <w:bookmarkEnd w:id="3"/>
    </w:p>
    <w:p w14:paraId="09FDC010" w14:textId="77777777" w:rsidR="00AB7968" w:rsidRDefault="00EF0D76">
      <w:pPr>
        <w:spacing w:before="60" w:after="100" w:line="300" w:lineRule="auto"/>
      </w:pPr>
      <w:r>
        <w:t>This document defines the architecture. The companion AFO Capability Blueprint translates that architecture into 123 assessable capabilities, each with maturity indicators (Stage 1 through Stage 4) and platform coverage mapping across Adobe, Salesforce, AWS, Google, and Microsoft.</w:t>
      </w:r>
    </w:p>
    <w:p w14:paraId="66BDDA69" w14:textId="77777777" w:rsidR="00AB7968" w:rsidRDefault="00EF0D76">
      <w:pPr>
        <w:spacing w:before="60" w:after="100" w:line="300" w:lineRule="auto"/>
      </w:pPr>
      <w:r>
        <w:lastRenderedPageBreak/>
        <w:t xml:space="preserve">The Architecture Deep Dive answers "how should the commercial engine be structured?" The Capability Blueprint </w:t>
      </w:r>
      <w:proofErr w:type="gramStart"/>
      <w:r>
        <w:t>answers</w:t>
      </w:r>
      <w:proofErr w:type="gramEnd"/>
      <w:r>
        <w:t xml:space="preserve"> "what specific capabilities do we need, where are we today, and which platforms cover what?" Together, they support platform assessments, capability gap analyses, maturity diagnostics, and the technical due diligence that precedes program commitment.</w:t>
      </w:r>
    </w:p>
    <w:p w14:paraId="1C70DB9E" w14:textId="77777777" w:rsidR="00AB7968" w:rsidRDefault="00EF0D76">
      <w:pPr>
        <w:pStyle w:val="Heading2"/>
      </w:pPr>
      <w:bookmarkStart w:id="4" w:name="_Toc229658884"/>
      <w:r>
        <w:t>Reading This Document</w:t>
      </w:r>
      <w:bookmarkEnd w:id="4"/>
    </w:p>
    <w:p w14:paraId="30A5FE56" w14:textId="77777777" w:rsidR="00AB7968" w:rsidRDefault="00EF0D76">
      <w:pPr>
        <w:spacing w:before="60" w:after="100" w:line="300" w:lineRule="auto"/>
      </w:pPr>
      <w:r>
        <w:t>This document is written for technology leaders responsible for designing and governing the enterprise's commercial technology architecture: CIOs, CTOs, SVPs of Commercial IT, and heads of enterprise architecture. It assumes familiarity with modern enterprise platforms (CRM, marketing automation, commerce, CDP, cloud infrastructure) and with the emerging landscape of AI agents, foundation models, and orchestration protocols.</w:t>
      </w:r>
    </w:p>
    <w:p w14:paraId="6B1AFD16" w14:textId="77777777" w:rsidR="00AB7968" w:rsidRDefault="00EF0D76">
      <w:pPr>
        <w:spacing w:before="60" w:after="100" w:line="300" w:lineRule="auto"/>
      </w:pPr>
      <w:r>
        <w:t>However, it is structured to remain accessible to commercially minded executives (COOs, CFOs, CROs) who need to understand the architectural decisions without implementing them. Each section opens with the business question the architecture answers before addressing the technical design.</w:t>
      </w:r>
    </w:p>
    <w:p w14:paraId="056C18A7" w14:textId="77777777" w:rsidR="00AB7968" w:rsidRDefault="00EF0D76">
      <w:pPr>
        <w:spacing w:before="60" w:after="100" w:line="300" w:lineRule="auto"/>
      </w:pPr>
      <w:r>
        <w:t>The architecture is platform-neutral by design. The companion Capability Blueprint maps platform coverage for each of the 123 capabilities, enabling platform-specific assessment conversations without the architecture itself favoring any vendor.</w:t>
      </w:r>
    </w:p>
    <w:p w14:paraId="1EFA621D" w14:textId="77777777" w:rsidR="00AB7968" w:rsidRDefault="00EF0D76">
      <w:r>
        <w:br w:type="page"/>
      </w:r>
    </w:p>
    <w:p w14:paraId="0692A2CB" w14:textId="77777777" w:rsidR="00AB7968" w:rsidRDefault="00EF0D76">
      <w:pPr>
        <w:pStyle w:val="Heading1"/>
      </w:pPr>
      <w:bookmarkStart w:id="5" w:name="_Toc229658885"/>
      <w:r>
        <w:lastRenderedPageBreak/>
        <w:t>Section 2: The AFO Reference Architecture</w:t>
      </w:r>
      <w:bookmarkEnd w:id="5"/>
    </w:p>
    <w:p w14:paraId="427BF853" w14:textId="77777777" w:rsidR="00AB7968" w:rsidRDefault="00EF0D76">
      <w:pPr>
        <w:pStyle w:val="Heading2"/>
      </w:pPr>
      <w:bookmarkStart w:id="6" w:name="_Toc229658886"/>
      <w:r>
        <w:t>The Business Question This Section Answers</w:t>
      </w:r>
      <w:bookmarkEnd w:id="6"/>
    </w:p>
    <w:p w14:paraId="28F252EF" w14:textId="77777777" w:rsidR="00AB7968" w:rsidRDefault="00EF0D76">
      <w:pPr>
        <w:spacing w:before="60" w:after="100" w:line="300" w:lineRule="auto"/>
      </w:pPr>
      <w:r>
        <w:t>How should the commercial technology architecture be structured so that agentic capabilities compound value across functions rather than optimizing within silos?</w:t>
      </w:r>
    </w:p>
    <w:p w14:paraId="736458F0" w14:textId="77777777" w:rsidR="00AB7968" w:rsidRDefault="00EF0D76">
      <w:pPr>
        <w:pStyle w:val="Heading2"/>
      </w:pPr>
      <w:bookmarkStart w:id="7" w:name="_Toc229658887"/>
      <w:r>
        <w:t>A Layered Architecture for the Commercial Engine</w:t>
      </w:r>
      <w:bookmarkEnd w:id="7"/>
    </w:p>
    <w:p w14:paraId="6BB4DF47" w14:textId="77777777" w:rsidR="00AB7968" w:rsidRDefault="00EF0D76">
      <w:pPr>
        <w:spacing w:before="60" w:after="100" w:line="300" w:lineRule="auto"/>
      </w:pPr>
      <w:r>
        <w:t>The AFO reference architecture organizes the commercial technology stack into six distinct layers, two cross-functional horizontal capabilities, and a vertical governance spine. Each layer has a defined role, a clear relationship to the layers above and below it, and a governing design principle.</w:t>
      </w:r>
    </w:p>
    <w:p w14:paraId="14E69CCF" w14:textId="77777777" w:rsidR="00AB7968" w:rsidRDefault="00EF0D76">
      <w:pPr>
        <w:spacing w:before="60" w:after="100" w:line="300" w:lineRule="auto"/>
      </w:pPr>
      <w:r>
        <w:t>The architecture is read top-down as a value flow and bottom-up as an intelligence flow:</w:t>
      </w:r>
    </w:p>
    <w:p w14:paraId="6E1A67F8" w14:textId="77777777" w:rsidR="00AB7968" w:rsidRDefault="00EF0D76">
      <w:pPr>
        <w:spacing w:before="60" w:after="100" w:line="300" w:lineRule="auto"/>
      </w:pPr>
      <w:r>
        <w:rPr>
          <w:b/>
          <w:bCs/>
          <w:color w:val="1A1A18"/>
        </w:rPr>
        <w:t>Value flows downward.</w:t>
      </w:r>
      <w:r>
        <w:t xml:space="preserve"> A customer interacts at the Experience Layer. That signal is interpreted by the orchestration layer (AEO), which activates the appropriate combination of functional capabilities across Marketing, Sales, Commerce, Service, and Pricing. Those functions execute using content produced by ICO, which draws on intelligence from the Commercial Brain, which reasons against the Enterprise Data Foundation.</w:t>
      </w:r>
    </w:p>
    <w:p w14:paraId="06138CD5" w14:textId="77777777" w:rsidR="00AB7968" w:rsidRDefault="00EF0D76">
      <w:pPr>
        <w:spacing w:before="60" w:after="100" w:line="300" w:lineRule="auto"/>
      </w:pPr>
      <w:r>
        <w:rPr>
          <w:b/>
          <w:bCs/>
          <w:color w:val="1A1A18"/>
        </w:rPr>
        <w:t>Intelligence flows upward.</w:t>
      </w:r>
      <w:r>
        <w:t xml:space="preserve"> Every interaction generates structured signal that enriches the data foundation. Richer data sharpens the Commercial Brain's reasoning. Sharper reasoning improves content production and functional execution. Better execution enables more precise orchestration. More precise orchestration delivers a better experience. The system compounds with every interaction.</w:t>
      </w:r>
    </w:p>
    <w:p w14:paraId="370E84E5" w14:textId="77777777" w:rsidR="00AB7968" w:rsidRDefault="00EF0D76">
      <w:pPr>
        <w:spacing w:before="60" w:after="100" w:line="300" w:lineRule="auto"/>
      </w:pPr>
      <w:r>
        <w:t>This bidirectional flow is what distinguishes the AFO from conventional front-office architectures, which treat data as an input and experience as an output with a one-directional pipeline between them. The AFO is a closed loop. Every customer interaction makes the next one more intelligent.</w:t>
      </w:r>
    </w:p>
    <w:p w14:paraId="430D23E7" w14:textId="77777777" w:rsidR="00AB7968" w:rsidRDefault="00EF0D76">
      <w:pPr>
        <w:spacing w:before="200" w:after="200"/>
        <w:jc w:val="center"/>
      </w:pPr>
      <w:r>
        <w:rPr>
          <w:noProof/>
        </w:rPr>
        <w:lastRenderedPageBreak/>
        <w:drawing>
          <wp:inline distT="0" distB="0" distL="0" distR="0" wp14:anchorId="7E59D0B7" wp14:editId="56A8FFD4">
            <wp:extent cx="5905500" cy="442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429125"/>
                    </a:xfrm>
                    <a:prstGeom prst="rect">
                      <a:avLst/>
                    </a:prstGeom>
                  </pic:spPr>
                </pic:pic>
              </a:graphicData>
            </a:graphic>
          </wp:inline>
        </w:drawing>
      </w:r>
    </w:p>
    <w:p w14:paraId="6A271F2B" w14:textId="77777777" w:rsidR="00AB7968" w:rsidRDefault="00EF0D76">
      <w:pPr>
        <w:pStyle w:val="Heading2"/>
      </w:pPr>
      <w:bookmarkStart w:id="8" w:name="_Toc229658888"/>
      <w:r>
        <w:t>Layer by Layer: Structure, Role, and Design Principle</w:t>
      </w:r>
      <w:bookmarkEnd w:id="8"/>
    </w:p>
    <w:p w14:paraId="79E3B50C" w14:textId="77777777" w:rsidR="00AB7968" w:rsidRDefault="00EF0D76">
      <w:pPr>
        <w:pStyle w:val="Heading3"/>
      </w:pPr>
      <w:bookmarkStart w:id="9" w:name="_Toc229658889"/>
      <w:r>
        <w:t>Experience Layer</w:t>
      </w:r>
      <w:bookmarkEnd w:id="9"/>
    </w:p>
    <w:p w14:paraId="2FA573F0" w14:textId="77777777" w:rsidR="00AB7968" w:rsidRDefault="00EF0D76">
      <w:pPr>
        <w:spacing w:before="60" w:after="100" w:line="300" w:lineRule="auto"/>
      </w:pPr>
      <w:r>
        <w:rPr>
          <w:b/>
          <w:bCs/>
          <w:color w:val="1A1A18"/>
        </w:rPr>
        <w:t>Role:</w:t>
      </w:r>
      <w:r>
        <w:t xml:space="preserve"> The surface where customers, employees, and AI agents interact with the commercial engine.</w:t>
      </w:r>
    </w:p>
    <w:p w14:paraId="795D8B49" w14:textId="77777777" w:rsidR="00AB7968" w:rsidRDefault="00EF0D76">
      <w:pPr>
        <w:spacing w:before="60" w:after="100" w:line="300" w:lineRule="auto"/>
      </w:pPr>
      <w:r>
        <w:rPr>
          <w:b/>
          <w:bCs/>
          <w:color w:val="1A1A18"/>
        </w:rPr>
        <w:t>What it contains:</w:t>
      </w:r>
      <w:r>
        <w:t xml:space="preserve"> Three categories of interface, each with fundamentally different design requirements. Customer channels (web, mobile, chat, voice, social) are designed for human engagement. Employee workspaces (seller consoles, service desks, marketing dashboards) are designed for human-agent collaboration. Agent-to-agent interfaces (API commerce endpoints, MCP servers, A2A protocols) are designed for machine-to-machine interaction where no human is present on either side.</w:t>
      </w:r>
    </w:p>
    <w:p w14:paraId="14B56C34" w14:textId="77777777" w:rsidR="00AB7968" w:rsidRDefault="00EF0D76">
      <w:pPr>
        <w:spacing w:before="60" w:after="100" w:line="300" w:lineRule="auto"/>
      </w:pPr>
      <w:r>
        <w:rPr>
          <w:b/>
          <w:bCs/>
          <w:color w:val="1A1A18"/>
        </w:rPr>
        <w:t>Design principle: Channel-agnostic by design.</w:t>
      </w:r>
      <w:r>
        <w:t xml:space="preserve"> The experience logic is separated from the channel-specific tooling so that the same commercial intelligence can serve a human buyer browsing a website, a seller working a deal in their CRM, or an AI procurement agent submitting a structured purchase request via API. The intelligence is singular. The interfaces are plural.</w:t>
      </w:r>
    </w:p>
    <w:p w14:paraId="0F04C3F6" w14:textId="77777777" w:rsidR="00AB7968" w:rsidRDefault="00EF0D76">
      <w:pPr>
        <w:spacing w:before="60" w:after="100" w:line="300" w:lineRule="auto"/>
      </w:pPr>
      <w:r>
        <w:rPr>
          <w:b/>
          <w:bCs/>
          <w:color w:val="1A1A18"/>
        </w:rPr>
        <w:t>Why it matters:</w:t>
      </w:r>
      <w:r>
        <w:t xml:space="preserve"> The organizations that build their experience layer to serve only human buyers are building for a market that is already shrinking. Adobe Digital Insights reports that 39% of consumers have used AI for online shopping, with AI-sourced traffic to retail sites growing 393% year-over-year in Q1 2026. B2B procurement agents are already submitting RFQs programmatically. The </w:t>
      </w:r>
      <w:r>
        <w:lastRenderedPageBreak/>
        <w:t>experience layer must be designed for three audiences from Day 1, not retrofitted for the second and third after the first is built.</w:t>
      </w:r>
    </w:p>
    <w:p w14:paraId="44DE6944" w14:textId="77777777" w:rsidR="00AB7968" w:rsidRDefault="00EF0D76">
      <w:pPr>
        <w:spacing w:before="60" w:after="100" w:line="300" w:lineRule="auto"/>
      </w:pPr>
      <w:r>
        <w:rPr>
          <w:b/>
          <w:bCs/>
          <w:color w:val="1A1A18"/>
        </w:rPr>
        <w:t>Platform context:</w:t>
      </w:r>
      <w:r>
        <w:t xml:space="preserve"> The experience layer spans multiple platform categories. Customer-facing digital experiences are delivered through content management and digital experience platforms. Employee workspaces are primarily delivered through CRM and service management platforms. Agent-to-agent interfaces require API management infrastructure and compatibility with emerging agent communication protocols. The design imperative is that experience logic remains decoupled from any single platform so that intelligence flows consisten</w:t>
      </w:r>
      <w:r>
        <w:t>tly regardless of which system renders the interaction.</w:t>
      </w:r>
    </w:p>
    <w:p w14:paraId="237938AF" w14:textId="77777777" w:rsidR="00AB7968" w:rsidRDefault="00EF0D76">
      <w:pPr>
        <w:pStyle w:val="Heading3"/>
      </w:pPr>
      <w:bookmarkStart w:id="10" w:name="_Toc229658890"/>
      <w:r>
        <w:t>Autonomous Experience Orchestration (AEO)</w:t>
      </w:r>
      <w:bookmarkEnd w:id="10"/>
    </w:p>
    <w:p w14:paraId="7C806963" w14:textId="77777777" w:rsidR="00AB7968" w:rsidRDefault="00EF0D76">
      <w:pPr>
        <w:spacing w:before="60" w:after="100" w:line="300" w:lineRule="auto"/>
      </w:pPr>
      <w:r>
        <w:rPr>
          <w:b/>
          <w:bCs/>
          <w:color w:val="1A1A18"/>
        </w:rPr>
        <w:t>Role:</w:t>
      </w:r>
      <w:r>
        <w:t xml:space="preserve"> The real-time orchestration layer that determines how the commercial engine responds to every signal, composing experiences from functional capabilities across Marketing, Sales, Commerce, Service, and Pricing simultaneously.</w:t>
      </w:r>
    </w:p>
    <w:p w14:paraId="6557F6AB" w14:textId="77777777" w:rsidR="00AB7968" w:rsidRDefault="00EF0D76">
      <w:pPr>
        <w:spacing w:before="60" w:after="100" w:line="300" w:lineRule="auto"/>
      </w:pPr>
      <w:r>
        <w:rPr>
          <w:b/>
          <w:bCs/>
          <w:color w:val="1A1A18"/>
        </w:rPr>
        <w:t>What it contains:</w:t>
      </w:r>
      <w:r>
        <w:t xml:space="preserve"> Journey orchestration that operates continuously rather than in campaign cycles. Cross-channel personalization that adapts in real time to behavioral signals rather than static segments. Signal-driven activation that triggers the right combination of functional responses based on intent, context, and commercial value. Experience composition that assembles responses from multiple functions into a single coherent interaction the customer never sees the seams of.</w:t>
      </w:r>
    </w:p>
    <w:p w14:paraId="7A9EFA20" w14:textId="77777777" w:rsidR="00AB7968" w:rsidRDefault="00EF0D76">
      <w:pPr>
        <w:spacing w:before="60" w:after="100" w:line="300" w:lineRule="auto"/>
      </w:pPr>
      <w:r>
        <w:rPr>
          <w:b/>
          <w:bCs/>
          <w:color w:val="1A1A18"/>
        </w:rPr>
        <w:t>Design principle: Orchestrate across functions, not within them.</w:t>
      </w:r>
      <w:r>
        <w:t xml:space="preserve"> AEO sits between the Experience Layer and the Functional Pillars because the customer does not experience "Marketing" or "Sales" or "Service" as separate interactions. They experience a single commercial relationship. AEO is the architectural layer that makes that relationship coherent by routing signals to the right functions, coordinating their responses, and composing the result into a unified experience.</w:t>
      </w:r>
    </w:p>
    <w:p w14:paraId="3FEE8F11" w14:textId="77777777" w:rsidR="00AB7968" w:rsidRDefault="00EF0D76">
      <w:pPr>
        <w:spacing w:before="60" w:after="100" w:line="300" w:lineRule="auto"/>
      </w:pPr>
      <w:r>
        <w:rPr>
          <w:b/>
          <w:bCs/>
          <w:color w:val="1A1A18"/>
        </w:rPr>
        <w:t>Why it matters:</w:t>
      </w:r>
      <w:r>
        <w:t xml:space="preserve"> AEO is the layer that transforms the front office from five departments that happen to share customers into one commercial engine that happens to have specialized capabilities. Without it, agentic capabilities within each function accelerate the silos. A marketing agent generates leads faster than sales can process them. A service agent deflects inquiries that contained cross-sell signals no one captures. The functions get </w:t>
      </w:r>
      <w:proofErr w:type="gramStart"/>
      <w:r>
        <w:t>faster</w:t>
      </w:r>
      <w:proofErr w:type="gramEnd"/>
      <w:r>
        <w:t xml:space="preserve"> but the customer experience gets worse at the handoffs. AEO is what closes th</w:t>
      </w:r>
      <w:r>
        <w:t>e seams.</w:t>
      </w:r>
    </w:p>
    <w:p w14:paraId="3DF3592A" w14:textId="77777777" w:rsidR="00AB7968" w:rsidRDefault="00EF0D76">
      <w:pPr>
        <w:spacing w:before="60" w:after="100" w:line="300" w:lineRule="auto"/>
      </w:pPr>
      <w:r>
        <w:rPr>
          <w:b/>
          <w:bCs/>
          <w:color w:val="1A1A18"/>
        </w:rPr>
        <w:t>Platform context:</w:t>
      </w:r>
      <w:r>
        <w:t xml:space="preserve"> AEO is where experience platforms with real-time decisioning, journey orchestration, and customer data activation capabilities serve as the architectural backbone. The orchestration layer requires a platform that can ingest signals from any function, apply decisioning logic against the Commercial Brain, and activate responses across channels and systems in real time.</w:t>
      </w:r>
    </w:p>
    <w:p w14:paraId="3BB07FDE" w14:textId="77777777" w:rsidR="00AB7968" w:rsidRDefault="00EF0D76">
      <w:pPr>
        <w:pStyle w:val="Heading3"/>
      </w:pPr>
      <w:bookmarkStart w:id="11" w:name="_Toc229658891"/>
      <w:r>
        <w:t>Functional Pillars: Marketing, Sales, Commerce, Service, Pricing</w:t>
      </w:r>
      <w:bookmarkEnd w:id="11"/>
    </w:p>
    <w:p w14:paraId="7D2638CB" w14:textId="77777777" w:rsidR="00AB7968" w:rsidRDefault="00EF0D76">
      <w:pPr>
        <w:spacing w:before="60" w:after="100" w:line="300" w:lineRule="auto"/>
      </w:pPr>
      <w:r>
        <w:rPr>
          <w:b/>
          <w:bCs/>
          <w:color w:val="1A1A18"/>
        </w:rPr>
        <w:t>Role:</w:t>
      </w:r>
      <w:r>
        <w:t xml:space="preserve"> The five domains of specialized commercial capability where human expertise and agentic execution combine to create customer value.</w:t>
      </w:r>
    </w:p>
    <w:p w14:paraId="3E5DB916" w14:textId="77777777" w:rsidR="00AB7968" w:rsidRDefault="00EF0D76">
      <w:pPr>
        <w:spacing w:before="60" w:after="100" w:line="300" w:lineRule="auto"/>
      </w:pPr>
      <w:r>
        <w:rPr>
          <w:b/>
          <w:bCs/>
          <w:color w:val="1A1A18"/>
        </w:rPr>
        <w:lastRenderedPageBreak/>
        <w:t>What they contain:</w:t>
      </w:r>
      <w:r>
        <w:t xml:space="preserve"> Each pillar houses the domain-specific agents, workflows, business logic, and human roles that define how that function operates. Marketing owns demand generation, brand management, campaign execution, and Generative Engine Optimization. Sales owns pipeline management, deal architecture, forecasting, and relationship strategy. Commerce owns catalog management, transaction processing, and agent-to-agent commerce readiness. Service owns intent resolution, signal capture, knowledge management, and proactive r</w:t>
      </w:r>
      <w:r>
        <w:t>etention. Pricing owns price setting, discount governance (netting), and revenue assurance (getting).</w:t>
      </w:r>
    </w:p>
    <w:p w14:paraId="2C9245B4" w14:textId="77777777" w:rsidR="00AB7968" w:rsidRDefault="00EF0D76">
      <w:pPr>
        <w:spacing w:before="60" w:after="100" w:line="300" w:lineRule="auto"/>
      </w:pPr>
      <w:r>
        <w:rPr>
          <w:b/>
          <w:bCs/>
          <w:color w:val="1A1A18"/>
        </w:rPr>
        <w:t>Design principle: Specialized execution, shared outcomes.</w:t>
      </w:r>
      <w:r>
        <w:t xml:space="preserve"> Each pillar maintains deep domain expertise and function-specific tooling, but all five are governed by shared outcome metrics defined at the enterprise level. Revenue growth, margin protection, and customer lifetime value are not marketing metrics or sales metrics. They are commercial engine metrics that every function is jointly accountable for.</w:t>
      </w:r>
    </w:p>
    <w:p w14:paraId="0288D386" w14:textId="77777777" w:rsidR="00AB7968" w:rsidRDefault="00EF0D76">
      <w:pPr>
        <w:spacing w:before="60" w:after="100" w:line="300" w:lineRule="auto"/>
      </w:pPr>
      <w:r>
        <w:rPr>
          <w:b/>
          <w:bCs/>
          <w:color w:val="1A1A18"/>
        </w:rPr>
        <w:t>Why it matters:</w:t>
      </w:r>
      <w:r>
        <w:t xml:space="preserve"> The functional pillars are where existing platform investments live and where organizational expertise resides. The architecture does not ask organizations to abandon their CRM, their marketing automation platform, or their commerce engine. It asks them to connect these systems through the orchestration and intelligence layers so that functional excellence translates into commercial engine performance. The pillars are the "what." AEO and ICO are the "how."</w:t>
      </w:r>
    </w:p>
    <w:p w14:paraId="562779F2" w14:textId="77777777" w:rsidR="00AB7968" w:rsidRDefault="00EF0D76">
      <w:pPr>
        <w:spacing w:before="60" w:after="100" w:line="300" w:lineRule="auto"/>
      </w:pPr>
      <w:r>
        <w:rPr>
          <w:b/>
          <w:bCs/>
          <w:color w:val="1A1A18"/>
        </w:rPr>
        <w:t>Platform context:</w:t>
      </w:r>
      <w:r>
        <w:t xml:space="preserve"> Each pillar maps to established platform categories where most enterprises have existing investments. Sales and Service are typically anchored by CRM and customer engagement platforms. Marketing is anchored by marketing automation, campaign management, and experience platforms. Commerce is anchored by digital commerce engines and product information management systems. Pricing may be served by CPQ tools, revenue management platforms, or custom-built logic. The architecture does not require replacing these </w:t>
      </w:r>
      <w:r>
        <w:t>platforms. It requires connecting them through AEO and ICO so that functional execution is coordinated by the commercial engine rather than isolated within each platform's native boundaries.</w:t>
      </w:r>
    </w:p>
    <w:p w14:paraId="437E1095" w14:textId="77777777" w:rsidR="00AB7968" w:rsidRDefault="00EF0D76">
      <w:pPr>
        <w:pStyle w:val="Heading3"/>
      </w:pPr>
      <w:bookmarkStart w:id="12" w:name="_Toc229658892"/>
      <w:r>
        <w:t>Intelligent Content Operations (ICO)</w:t>
      </w:r>
      <w:bookmarkEnd w:id="12"/>
    </w:p>
    <w:p w14:paraId="564F028A" w14:textId="77777777" w:rsidR="00AB7968" w:rsidRDefault="00EF0D76">
      <w:pPr>
        <w:spacing w:before="60" w:after="100" w:line="300" w:lineRule="auto"/>
      </w:pPr>
      <w:r>
        <w:rPr>
          <w:b/>
          <w:bCs/>
          <w:color w:val="1A1A18"/>
        </w:rPr>
        <w:t>Role:</w:t>
      </w:r>
      <w:r>
        <w:t xml:space="preserve"> The content production infrastructure that transforms intelligence from the Commercial Brain into usable content assets and distributes them to every function in the commercial engine.</w:t>
      </w:r>
    </w:p>
    <w:p w14:paraId="30213CE1" w14:textId="77777777" w:rsidR="00AB7968" w:rsidRDefault="00EF0D76">
      <w:pPr>
        <w:spacing w:before="60" w:after="100" w:line="300" w:lineRule="auto"/>
      </w:pPr>
      <w:r>
        <w:rPr>
          <w:b/>
          <w:bCs/>
          <w:color w:val="1A1A18"/>
        </w:rPr>
        <w:t>What it contains:</w:t>
      </w:r>
      <w:r>
        <w:t xml:space="preserve"> The content supply chain from brief to production to distribution to retirement. Creative production capabilities that generate, adapt, localize, and version content at scale. Brand governance systems that ensure every piece of content, whether produced by a human or an agent, adheres to brand standards, regulatory requirements, and compliance rules. Asset management that makes the right content available to the right function at the right moment.</w:t>
      </w:r>
    </w:p>
    <w:p w14:paraId="062947ED" w14:textId="77777777" w:rsidR="00AB7968" w:rsidRDefault="00EF0D76">
      <w:pPr>
        <w:spacing w:before="60" w:after="100" w:line="300" w:lineRule="auto"/>
      </w:pPr>
      <w:r>
        <w:rPr>
          <w:b/>
          <w:bCs/>
          <w:color w:val="1A1A18"/>
        </w:rPr>
        <w:t>Design principle: Content is commercial infrastructure, not a marketing deliverable.</w:t>
      </w:r>
      <w:r>
        <w:t xml:space="preserve"> Every function in the commercial engine consumes content. Sales consumes proposals, battle cards, and enablement materials. Commerce consumes product descriptions, catalog content, and GEO-optimized listings. Service consumes knowledge base articles, resolution guides, and proactive outreach materials. Pricing consumes promotional collateral and quote documents. Marketing produces and governs much of this content, but the consumption is cross-functional. ICO is the production infrastructure for the entire </w:t>
      </w:r>
      <w:r>
        <w:t>commercial engine.</w:t>
      </w:r>
    </w:p>
    <w:p w14:paraId="78B90DCF" w14:textId="77777777" w:rsidR="00AB7968" w:rsidRDefault="00EF0D76">
      <w:pPr>
        <w:spacing w:before="60" w:after="100" w:line="300" w:lineRule="auto"/>
      </w:pPr>
      <w:r>
        <w:rPr>
          <w:b/>
          <w:bCs/>
          <w:color w:val="1A1A18"/>
        </w:rPr>
        <w:lastRenderedPageBreak/>
        <w:t>Why it matters:</w:t>
      </w:r>
      <w:r>
        <w:t xml:space="preserve"> Content operations </w:t>
      </w:r>
      <w:proofErr w:type="gramStart"/>
      <w:r>
        <w:t>is</w:t>
      </w:r>
      <w:proofErr w:type="gramEnd"/>
      <w:r>
        <w:t xml:space="preserve"> the most tangible, fastest-to-value capability in the agentic front office. Adobe reports that generative AI reduces content production time by up to 60%, and organizations deploying AI content workflows report productivity improvements of 40% or more (Stanford AI Index 2025). Marketing teams using AI-powered content operations consistently report significant conversion lifts when content is personalized, versioned, and optimized at scale. ICO delivers measurable value in the first wa</w:t>
      </w:r>
      <w:r>
        <w:t>ve of deployment while simultaneously building the content infrastructure that every subsequent capability depends on.</w:t>
      </w:r>
    </w:p>
    <w:p w14:paraId="6E53BFAC" w14:textId="77777777" w:rsidR="00AB7968" w:rsidRDefault="00EF0D76">
      <w:pPr>
        <w:spacing w:before="60" w:after="100" w:line="300" w:lineRule="auto"/>
      </w:pPr>
      <w:r>
        <w:rPr>
          <w:b/>
          <w:bCs/>
          <w:color w:val="1A1A18"/>
        </w:rPr>
        <w:t>Platform context:</w:t>
      </w:r>
      <w:r>
        <w:t xml:space="preserve"> ICO is where content management, digital asset management, creative production tools, and workflow management platforms converge. The content operations layer requires platforms that can manage the full lifecycle from creative brief through production, approval, localization, distribution, and performance measurement, with AI-powered generation and adaptation capabilities embedded throughout.</w:t>
      </w:r>
    </w:p>
    <w:p w14:paraId="1DED24E5" w14:textId="77777777" w:rsidR="00AB7968" w:rsidRDefault="00EF0D76">
      <w:pPr>
        <w:pStyle w:val="Heading3"/>
      </w:pPr>
      <w:bookmarkStart w:id="13" w:name="_Toc229658893"/>
      <w:r>
        <w:t>Commercial Brain</w:t>
      </w:r>
      <w:bookmarkEnd w:id="13"/>
    </w:p>
    <w:p w14:paraId="2DAD1EF6" w14:textId="77777777" w:rsidR="00AB7968" w:rsidRDefault="00EF0D76">
      <w:pPr>
        <w:spacing w:before="60" w:after="100" w:line="300" w:lineRule="auto"/>
      </w:pPr>
      <w:r>
        <w:rPr>
          <w:b/>
          <w:bCs/>
          <w:color w:val="1A1A18"/>
        </w:rPr>
        <w:t>Role:</w:t>
      </w:r>
      <w:r>
        <w:t xml:space="preserve"> The persistent, self-enriching intelligence layer built on proprietary data that every agent and every human in the commercial engine reasons against.</w:t>
      </w:r>
    </w:p>
    <w:p w14:paraId="65899EED" w14:textId="77777777" w:rsidR="00AB7968" w:rsidRDefault="00EF0D76">
      <w:pPr>
        <w:spacing w:before="60" w:after="100" w:line="300" w:lineRule="auto"/>
      </w:pPr>
      <w:r>
        <w:rPr>
          <w:b/>
          <w:bCs/>
          <w:color w:val="1A1A18"/>
        </w:rPr>
        <w:t>What it contains:</w:t>
      </w:r>
      <w:r>
        <w:t xml:space="preserve"> Six integrated components, each addressed in detail in Section 3: the Knowledge Engine (customer graphs, semantic knowledge, brand context, pricing logic), the Model Hub (multi-model routing, fine-tuning, evaluation), the Agent Network (agent lifecycle management, registry, composition, the carousel of specialized agents), GenAI Services (prompt intelligence, session continuity, multimodal generation, RAG), Responsible AI (bias testing, ethical guardrails, explainability, audit infrastructure), and Operati</w:t>
      </w:r>
      <w:r>
        <w:t>ons &amp; Integration (</w:t>
      </w:r>
      <w:proofErr w:type="spellStart"/>
      <w:r>
        <w:t>MLOps</w:t>
      </w:r>
      <w:proofErr w:type="spellEnd"/>
      <w:r>
        <w:t xml:space="preserve">, </w:t>
      </w:r>
      <w:proofErr w:type="spellStart"/>
      <w:r>
        <w:t>LLMOps</w:t>
      </w:r>
      <w:proofErr w:type="spellEnd"/>
      <w:r>
        <w:t>, cost governance, protocol management).</w:t>
      </w:r>
    </w:p>
    <w:p w14:paraId="6BA2E8F3" w14:textId="77777777" w:rsidR="00AB7968" w:rsidRDefault="00EF0D76">
      <w:pPr>
        <w:spacing w:before="60" w:after="100" w:line="300" w:lineRule="auto"/>
      </w:pPr>
      <w:r>
        <w:rPr>
          <w:b/>
          <w:bCs/>
          <w:color w:val="1A1A18"/>
        </w:rPr>
        <w:t>Design principle: Your proprietary context is your durable moat.</w:t>
      </w:r>
      <w:r>
        <w:t xml:space="preserve"> Foundation models are commoditizing rapidly. Within 18 months, every organization will have access to capable AI. The differentiator will not be which model you use. It will be what proprietary intelligence your </w:t>
      </w:r>
      <w:proofErr w:type="gramStart"/>
      <w:r>
        <w:t>agents</w:t>
      </w:r>
      <w:proofErr w:type="gramEnd"/>
      <w:r>
        <w:t xml:space="preserve"> reason against. Customer identity, pricing logic, brand knowledge, and behavioral signals, unified, machine-readable, and API-accessible, is the only asset that cannot be replicated by a competitor using the same models.</w:t>
      </w:r>
    </w:p>
    <w:p w14:paraId="63CF9FF8" w14:textId="77777777" w:rsidR="00AB7968" w:rsidRDefault="00EF0D76">
      <w:pPr>
        <w:spacing w:before="60" w:after="100" w:line="300" w:lineRule="auto"/>
      </w:pPr>
      <w:r>
        <w:rPr>
          <w:b/>
          <w:bCs/>
          <w:color w:val="1A1A18"/>
        </w:rPr>
        <w:t>Why it matters:</w:t>
      </w:r>
      <w:r>
        <w:t xml:space="preserve"> The Commercial Brain is the architectural component that creates compounding advantage. Every interaction across every function </w:t>
      </w:r>
      <w:proofErr w:type="gramStart"/>
      <w:r>
        <w:t>feeds</w:t>
      </w:r>
      <w:proofErr w:type="gramEnd"/>
      <w:r>
        <w:t xml:space="preserve"> structured learning back into the intelligence layer. Unlike static data assets, this intelligence appreciates in value with every customer interaction. Organizations that build their Commercial Brain first will compound their advantage with every interaction, creating intelligence assets that are inherently difficult for latecomers to replicate.</w:t>
      </w:r>
    </w:p>
    <w:p w14:paraId="2F38EA4D" w14:textId="77777777" w:rsidR="00AB7968" w:rsidRDefault="00EF0D76">
      <w:pPr>
        <w:spacing w:before="60" w:after="100" w:line="300" w:lineRule="auto"/>
      </w:pPr>
      <w:r>
        <w:rPr>
          <w:b/>
          <w:bCs/>
          <w:color w:val="1A1A18"/>
        </w:rPr>
        <w:t>Platform context:</w:t>
      </w:r>
      <w:r>
        <w:t xml:space="preserve"> The Commercial Brain is not a single platform purchase. It is an architectural pattern assembled from multiple technology categories: knowledge graphs and vector stores for the Knowledge Engine, model orchestration and routing frameworks for the Model Hub, agent development and lifecycle platforms for the Agent Network, inference and retrieval infrastructure for GenAI Services, and AI governance tooling for Responsible AI. Some of these capabilities are offered by </w:t>
      </w:r>
      <w:proofErr w:type="spellStart"/>
      <w:r>
        <w:t>hyperscalers</w:t>
      </w:r>
      <w:proofErr w:type="spellEnd"/>
      <w:r>
        <w:t xml:space="preserve"> and AI infrastructure provide</w:t>
      </w:r>
      <w:r>
        <w:t xml:space="preserve">rs. Others are offered by enterprise application vendors extending their platforms into the intelligence layer. The architectural principle is that the </w:t>
      </w:r>
      <w:r>
        <w:lastRenderedPageBreak/>
        <w:t>Commercial Brain remains composable and vendor-neutral at the integration layer, even when individual components are sourced from specific providers.</w:t>
      </w:r>
    </w:p>
    <w:p w14:paraId="35815375" w14:textId="77777777" w:rsidR="00AB7968" w:rsidRDefault="00EF0D76">
      <w:pPr>
        <w:pStyle w:val="Heading3"/>
      </w:pPr>
      <w:bookmarkStart w:id="14" w:name="_Toc229658894"/>
      <w:r>
        <w:t>Enterprise Data Foundation</w:t>
      </w:r>
      <w:bookmarkEnd w:id="14"/>
    </w:p>
    <w:p w14:paraId="3D6B6DEB" w14:textId="77777777" w:rsidR="00AB7968" w:rsidRDefault="00EF0D76">
      <w:pPr>
        <w:spacing w:before="60" w:after="100" w:line="300" w:lineRule="auto"/>
      </w:pPr>
      <w:r>
        <w:rPr>
          <w:b/>
          <w:bCs/>
          <w:color w:val="1A1A18"/>
        </w:rPr>
        <w:t>Role:</w:t>
      </w:r>
      <w:r>
        <w:t xml:space="preserve"> The structured, governed data substrate that the Commercial Brain reasons against and that every layer in the architecture draws from.</w:t>
      </w:r>
    </w:p>
    <w:p w14:paraId="5D64B5F9" w14:textId="77777777" w:rsidR="00AB7968" w:rsidRDefault="00EF0D76">
      <w:pPr>
        <w:spacing w:before="60" w:after="100" w:line="300" w:lineRule="auto"/>
      </w:pPr>
      <w:r>
        <w:rPr>
          <w:b/>
          <w:bCs/>
          <w:color w:val="1A1A18"/>
        </w:rPr>
        <w:t>What it contains:</w:t>
      </w:r>
      <w:r>
        <w:t xml:space="preserve"> Four categories of enterprise data, each addressed in detail in Section 5. Customer Data encompasses identity, behavioral signals, transaction history, interaction logs, and preference data. Brand &amp; Marketing Data encompasses brand guidelines, creative assets, campaign strategy, compliance rules, and performance metrics. Market &amp; Product Data encompasses product catalogs, pricing structures, competitive intelligence, regulatory requirements, and inventory data. Synthetic Data encompasses simulated customer</w:t>
      </w:r>
      <w:r>
        <w:t xml:space="preserve"> journeys, synthetic personas, test scenarios, and training data used to develop and validate agentic systems before production deployment.</w:t>
      </w:r>
    </w:p>
    <w:p w14:paraId="7BA5F6FB" w14:textId="77777777" w:rsidR="00AB7968" w:rsidRDefault="00EF0D76">
      <w:pPr>
        <w:spacing w:before="60" w:after="100" w:line="300" w:lineRule="auto"/>
      </w:pPr>
      <w:r>
        <w:rPr>
          <w:b/>
          <w:bCs/>
          <w:color w:val="1A1A18"/>
        </w:rPr>
        <w:t>Design principle: Scope data readiness to the micro-journey, not the enterprise.</w:t>
      </w:r>
      <w:r>
        <w:t xml:space="preserve"> The most common reason commercial AI programs stall is not technology selection or organizational resistance. It is data readiness pursued as a comprehensive prerequisite rather than a scoped enabler. The AFO architecture does not require a unified enterprise data lake before the first agent reaches production. It requires the minimum viable data foundation for each micro-journey, progressively enriched as subsequent deployments expand the data surface. Data readiness becomes a continuous activity funded b</w:t>
      </w:r>
      <w:r>
        <w:t>y transformation returns, not a blocking prerequisite funded by capital request.</w:t>
      </w:r>
    </w:p>
    <w:p w14:paraId="2901001C" w14:textId="77777777" w:rsidR="00AB7968" w:rsidRDefault="00EF0D76">
      <w:pPr>
        <w:spacing w:before="60" w:after="100" w:line="300" w:lineRule="auto"/>
      </w:pPr>
      <w:r>
        <w:rPr>
          <w:b/>
          <w:bCs/>
          <w:color w:val="1A1A18"/>
        </w:rPr>
        <w:t>Why it matters:</w:t>
      </w:r>
      <w:r>
        <w:t xml:space="preserve"> The data foundation determines the ceiling of every capability above it in the architecture. An orchestration layer cannot compose personalized experiences if customer identity is fragmented. A content operations layer cannot produce relevant content if brand and product data is not machine-readable. A Commercial Brain cannot generate proprietary intelligence if behavioral signals are not captured and structured. The data foundation is not the most visible layer in the architecture, but it is the one that </w:t>
      </w:r>
      <w:r>
        <w:t>most frequently determines whether the architecture delivers its potential or plateaus at task-level automation.</w:t>
      </w:r>
    </w:p>
    <w:p w14:paraId="266DEE7E" w14:textId="77777777" w:rsidR="00AB7968" w:rsidRDefault="00EF0D76">
      <w:pPr>
        <w:spacing w:before="60" w:after="100" w:line="300" w:lineRule="auto"/>
      </w:pPr>
      <w:r>
        <w:rPr>
          <w:b/>
          <w:bCs/>
          <w:color w:val="1A1A18"/>
        </w:rPr>
        <w:t>Platform context:</w:t>
      </w:r>
      <w:r>
        <w:t xml:space="preserve"> The data foundation draws on customer data platforms, enterprise data warehouses and </w:t>
      </w:r>
      <w:proofErr w:type="spellStart"/>
      <w:r>
        <w:t>lakehouses</w:t>
      </w:r>
      <w:proofErr w:type="spellEnd"/>
      <w:r>
        <w:t xml:space="preserve">, master data management systems, and analytics infrastructure. Most enterprises already have significant investment in these categories. The architectural requirement is not to replace them but to ensure that data is unified, machine-readable, and API-accessible so that the Commercial Brain and the layers above it can reason against it in real time. Data integration, syndication, and governance capabilities are </w:t>
      </w:r>
      <w:r>
        <w:t>the connective tissue that determines whether existing data investments translate into agentic intelligence or remain locked in systems of record.</w:t>
      </w:r>
    </w:p>
    <w:p w14:paraId="626313B7" w14:textId="77777777" w:rsidR="00AB7968" w:rsidRDefault="00EF0D76">
      <w:pPr>
        <w:pStyle w:val="Heading3"/>
      </w:pPr>
      <w:bookmarkStart w:id="15" w:name="_Toc229658895"/>
      <w:r>
        <w:t>Governance &amp; Trust (Vertical Spine)</w:t>
      </w:r>
      <w:bookmarkEnd w:id="15"/>
    </w:p>
    <w:p w14:paraId="0DF83950" w14:textId="77777777" w:rsidR="00AB7968" w:rsidRDefault="00EF0D76">
      <w:pPr>
        <w:spacing w:before="60" w:after="100" w:line="300" w:lineRule="auto"/>
      </w:pPr>
      <w:r>
        <w:rPr>
          <w:b/>
          <w:bCs/>
          <w:color w:val="1A1A18"/>
        </w:rPr>
        <w:t>Role:</w:t>
      </w:r>
      <w:r>
        <w:t xml:space="preserve"> The trust architecture that spans every layer from the Experience Layer through the Enterprise Data Foundation, embedding governance into every decision, every agent action, and every content production process.</w:t>
      </w:r>
    </w:p>
    <w:p w14:paraId="06BB5FC6" w14:textId="77777777" w:rsidR="00AB7968" w:rsidRDefault="00EF0D76">
      <w:pPr>
        <w:spacing w:before="60" w:after="100" w:line="300" w:lineRule="auto"/>
      </w:pPr>
      <w:r>
        <w:rPr>
          <w:b/>
          <w:bCs/>
          <w:color w:val="1A1A18"/>
        </w:rPr>
        <w:lastRenderedPageBreak/>
        <w:t>What it contains:</w:t>
      </w:r>
      <w:r>
        <w:t xml:space="preserve"> Human-in-the-loop thresholds that define where agents operate autonomously and where human approval is required. Decision logging and explainability infrastructure that creates an auditable record of every agent decision. Model risk management that monitors agent performance, detects drift, and triggers intervention. Cost governance that tracks inference spend against value generated. Regulatory compliance frameworks that ensure every agent action adheres to industry-specific requirements (HIPAA in healthc</w:t>
      </w:r>
      <w:r>
        <w:t>are, SR 11-7 in financial services, CMS in payer, state DOI in insurance).</w:t>
      </w:r>
    </w:p>
    <w:p w14:paraId="5D55DAC3" w14:textId="77777777" w:rsidR="00AB7968" w:rsidRDefault="00EF0D76">
      <w:pPr>
        <w:spacing w:before="60" w:after="100" w:line="300" w:lineRule="auto"/>
      </w:pPr>
      <w:r>
        <w:rPr>
          <w:b/>
          <w:bCs/>
          <w:color w:val="1A1A18"/>
        </w:rPr>
        <w:t>Design principle: Trust is architectural, not aspirational.</w:t>
      </w:r>
      <w:r>
        <w:t xml:space="preserve"> Governance is not a layer that sits at the bottom of the stack or a workstream that begins after agents are deployed. It is a vertical discipline that runs through every architectural decision. Autonomy tiers are defined before the first agent reaches production. Decision logging is implemented alongside agent deployment, not after it. Escalation protocols are designed concurrently with the workflows they govern. Organizations that embed governance at design time can scale agent autonomy progressively as t</w:t>
      </w:r>
      <w:r>
        <w:t>rust is earned. Organizations that bolt governance on after deployment create risk at scale.</w:t>
      </w:r>
    </w:p>
    <w:p w14:paraId="41B64EA5" w14:textId="77777777" w:rsidR="00AB7968" w:rsidRDefault="00EF0D76">
      <w:pPr>
        <w:spacing w:before="60" w:after="100" w:line="300" w:lineRule="auto"/>
      </w:pPr>
      <w:r>
        <w:rPr>
          <w:b/>
          <w:bCs/>
          <w:color w:val="1A1A18"/>
        </w:rPr>
        <w:t>Why it matters:</w:t>
      </w:r>
      <w:r>
        <w:t xml:space="preserve"> Governance repositioned as a vertical spine rather than a horizontal layer reflects a fundamental insight: trust is not a foundation you build and then stack capabilities on top of. Trust is a property of every interaction between every agent and every human at every layer of the architecture. An agent making a pricing decision in the Functional Pillars layer, a content agent generating customer-facing copy in the ICO layer, and an orchestration agent routing a high-value customer to a human seller in the </w:t>
      </w:r>
      <w:r>
        <w:t>AEO layer all require governance appropriate to their context, their risk profile, and their regulatory environment. A single governance layer cannot accommodate this variation. A governance spine that adapts to each layer's requirements can.</w:t>
      </w:r>
    </w:p>
    <w:p w14:paraId="09F3E7B0" w14:textId="77777777" w:rsidR="00AB7968" w:rsidRDefault="00EF0D76">
      <w:pPr>
        <w:spacing w:before="60" w:after="100" w:line="300" w:lineRule="auto"/>
      </w:pPr>
      <w:r>
        <w:rPr>
          <w:b/>
          <w:bCs/>
          <w:color w:val="1A1A18"/>
        </w:rPr>
        <w:t>Platform context:</w:t>
      </w:r>
      <w:r>
        <w:t xml:space="preserve"> Governance capabilities are distributed across the stack rather than concentrated in a single platform. AI governance and responsible AI tooling provides the model risk management and bias monitoring layer. Platform-native audit and compliance features within CRM, marketing, and commerce systems provide function-specific governance. Identity and access management infrastructure governs who and what can act within the architecture. The vertical nature of governance means that no single vendor's governance t</w:t>
      </w:r>
      <w:r>
        <w:t>ooling is sufficient. The architecture requires a governance framework that coordinates across platforms, with enterprise-level policies enforced consistently regardless of which system an agent operates within.</w:t>
      </w:r>
    </w:p>
    <w:p w14:paraId="6D0BF2F2" w14:textId="77777777" w:rsidR="00AB7968" w:rsidRDefault="00EF0D76">
      <w:pPr>
        <w:pStyle w:val="Heading2"/>
      </w:pPr>
      <w:bookmarkStart w:id="16" w:name="_Toc229658896"/>
      <w:r>
        <w:t>Five Design Principles That Govern the Architecture</w:t>
      </w:r>
      <w:bookmarkEnd w:id="16"/>
    </w:p>
    <w:p w14:paraId="7E742DF7" w14:textId="77777777" w:rsidR="00AB7968" w:rsidRDefault="00EF0D76">
      <w:pPr>
        <w:spacing w:before="60" w:after="100" w:line="300" w:lineRule="auto"/>
      </w:pPr>
      <w:r>
        <w:t>The reference architecture is governed by five principles. These are not aspirational statements. They are architectural constraints that shape every implementation decision.</w:t>
      </w:r>
    </w:p>
    <w:p w14:paraId="4A1446E7" w14:textId="77777777" w:rsidR="00AB7968" w:rsidRDefault="00EF0D76">
      <w:pPr>
        <w:spacing w:before="60" w:after="100" w:line="300" w:lineRule="auto"/>
      </w:pPr>
      <w:r>
        <w:rPr>
          <w:b/>
          <w:bCs/>
          <w:color w:val="1A1A18"/>
        </w:rPr>
        <w:t>1. Orchestrate, don't consolidate.</w:t>
      </w:r>
      <w:r>
        <w:t xml:space="preserve"> Connect the existing platform stack through an orchestration layer. Do not force everything into a single vendor. The organization's platform investments are assets. The orchestration layer coordinates them. Vendor lock-in is a risk the architecture is explicitly designed to mitigate.</w:t>
      </w:r>
    </w:p>
    <w:p w14:paraId="06F0F499" w14:textId="77777777" w:rsidR="00AB7968" w:rsidRDefault="00EF0D76">
      <w:pPr>
        <w:spacing w:before="60" w:after="100" w:line="300" w:lineRule="auto"/>
      </w:pPr>
      <w:r>
        <w:rPr>
          <w:b/>
          <w:bCs/>
          <w:color w:val="1A1A18"/>
        </w:rPr>
        <w:t>2. Multi-model is the new multi-cloud.</w:t>
      </w:r>
      <w:r>
        <w:t xml:space="preserve"> No single foundation model is best for every task. High-reasoning models for complex negotiation and strategic analysis. Fast, low-cost models for classification and workflow triggers. Domain-tuned models for pricing, regulatory interpretation, and </w:t>
      </w:r>
      <w:r>
        <w:lastRenderedPageBreak/>
        <w:t>vertical-specific tasks. The Model Hub within the Commercial Brain abstracts this complexity and routes each task to the appropriate model based on complexity, latency, cost, and risk profile.</w:t>
      </w:r>
    </w:p>
    <w:p w14:paraId="64E43B8A" w14:textId="77777777" w:rsidR="00AB7968" w:rsidRDefault="00EF0D76">
      <w:pPr>
        <w:spacing w:before="60" w:after="100" w:line="300" w:lineRule="auto"/>
      </w:pPr>
      <w:r>
        <w:rPr>
          <w:b/>
          <w:bCs/>
          <w:color w:val="1A1A18"/>
        </w:rPr>
        <w:t>3. Your proprietary context is your durable moat.</w:t>
      </w:r>
      <w:r>
        <w:t xml:space="preserve"> The Commercial Brain's value compounds because the proprietary knowledge it contains cannot be replicated by a competitor using the same foundation models. Every layer in the architecture is designed to enrich this proprietary context with every interaction.</w:t>
      </w:r>
    </w:p>
    <w:p w14:paraId="22CD128C" w14:textId="77777777" w:rsidR="00AB7968" w:rsidRDefault="00EF0D76">
      <w:pPr>
        <w:spacing w:before="60" w:after="100" w:line="300" w:lineRule="auto"/>
      </w:pPr>
      <w:r>
        <w:rPr>
          <w:b/>
          <w:bCs/>
          <w:color w:val="1A1A18"/>
        </w:rPr>
        <w:t>4. Trust is architectural, not aspirational.</w:t>
      </w:r>
      <w:r>
        <w:t xml:space="preserve"> Governance embedded at design time enables scale. Governance bolted on later creates risk. Every agent deployment includes autonomy tiers, decision logging, escalation protocols, and cost governance as production readiness requirements.</w:t>
      </w:r>
    </w:p>
    <w:p w14:paraId="304D508A" w14:textId="77777777" w:rsidR="00AB7968" w:rsidRDefault="00EF0D76">
      <w:pPr>
        <w:spacing w:before="60" w:after="100" w:line="300" w:lineRule="auto"/>
      </w:pPr>
      <w:r>
        <w:rPr>
          <w:b/>
          <w:bCs/>
          <w:color w:val="1A1A18"/>
        </w:rPr>
        <w:t>5. Start with the micro-journey, scale with the engine.</w:t>
      </w:r>
      <w:r>
        <w:t xml:space="preserve"> Every capability in this architecture can be deployed incrementally, one micro-journey at a time. The architecture enables incremental deployment while ensuring that each micro-journey contributes to the broader commercial engine rather than creating another point solution.</w:t>
      </w:r>
    </w:p>
    <w:p w14:paraId="21178325" w14:textId="77777777" w:rsidR="00AB7968" w:rsidRDefault="00EF0D76">
      <w:r>
        <w:br w:type="page"/>
      </w:r>
    </w:p>
    <w:p w14:paraId="1E0EE115" w14:textId="77777777" w:rsidR="00AB7968" w:rsidRDefault="00EF0D76">
      <w:pPr>
        <w:pStyle w:val="Heading1"/>
      </w:pPr>
      <w:bookmarkStart w:id="17" w:name="_Toc229658897"/>
      <w:r>
        <w:lastRenderedPageBreak/>
        <w:t>Section 3: The Commercial Brain, Decomposed</w:t>
      </w:r>
      <w:bookmarkEnd w:id="17"/>
    </w:p>
    <w:p w14:paraId="3BDDB6C6" w14:textId="77777777" w:rsidR="00AB7968" w:rsidRDefault="00EF0D76">
      <w:pPr>
        <w:pStyle w:val="Heading2"/>
      </w:pPr>
      <w:bookmarkStart w:id="18" w:name="_Toc229658898"/>
      <w:r>
        <w:t>The Business Question This Section Answers</w:t>
      </w:r>
      <w:bookmarkEnd w:id="18"/>
    </w:p>
    <w:p w14:paraId="43B9A318" w14:textId="77777777" w:rsidR="00AB7968" w:rsidRDefault="00EF0D76">
      <w:pPr>
        <w:spacing w:before="60" w:after="100" w:line="300" w:lineRule="auto"/>
      </w:pPr>
      <w:r>
        <w:t>What specifically needs to be built, bought, or assembled to create the intelligence layer that every agent and every human in the commercial engine reasons against?</w:t>
      </w:r>
    </w:p>
    <w:p w14:paraId="43B2AF67" w14:textId="77777777" w:rsidR="00AB7968" w:rsidRDefault="00EF0D76">
      <w:pPr>
        <w:pStyle w:val="Heading2"/>
      </w:pPr>
      <w:bookmarkStart w:id="19" w:name="_Toc229658899"/>
      <w:r>
        <w:t>From Concept to Components</w:t>
      </w:r>
      <w:bookmarkEnd w:id="19"/>
    </w:p>
    <w:p w14:paraId="38FFDA89" w14:textId="77777777" w:rsidR="00AB7968" w:rsidRDefault="00EF0D76">
      <w:pPr>
        <w:spacing w:before="60" w:after="100" w:line="300" w:lineRule="auto"/>
      </w:pPr>
      <w:r>
        <w:t>The Commercial Brain is a persistent, self-enriching intelligence layer built on proprietary data. That framing is strategically essential and architecturally insufficient on its own. A CTO asked to build "a self-enriching intelligence layer" needs to know what the components are, what each one does, how they interact, and where the build-versus-buy decisions sit.</w:t>
      </w:r>
    </w:p>
    <w:p w14:paraId="4A6F849F" w14:textId="77777777" w:rsidR="00AB7968" w:rsidRDefault="00EF0D76">
      <w:pPr>
        <w:spacing w:before="60" w:after="100" w:line="300" w:lineRule="auto"/>
      </w:pPr>
      <w:r>
        <w:t>The Commercial Brain is not a single technology, a single platform, or a single vendor purchase. It is an architectural pattern composed of six integrated components. Each component addresses a distinct capability requirement. Together, they create the intelligence infrastructure that transforms the commercial engine from a collection of automated workflows into a learning system that compounds advantage with every interaction.</w:t>
      </w:r>
    </w:p>
    <w:p w14:paraId="333FB336" w14:textId="77777777" w:rsidR="00AB7968" w:rsidRDefault="00EF0D76">
      <w:pPr>
        <w:spacing w:before="60" w:after="100" w:line="300" w:lineRule="auto"/>
      </w:pPr>
      <w:r>
        <w:t>The six components are: the Knowledge Engine, the Model Hub, the Agent Network, GenAI Services, Responsible AI, and Operations &amp; Integration. What follows is the architectural specification for each.</w:t>
      </w:r>
    </w:p>
    <w:p w14:paraId="2DCAE43A" w14:textId="77777777" w:rsidR="00AB7968" w:rsidRDefault="00EF0D76">
      <w:pPr>
        <w:pStyle w:val="Heading2"/>
      </w:pPr>
      <w:bookmarkStart w:id="20" w:name="_Toc229658900"/>
      <w:r>
        <w:t>Component 1: Knowledge Engine</w:t>
      </w:r>
      <w:bookmarkEnd w:id="20"/>
    </w:p>
    <w:p w14:paraId="5BA25518" w14:textId="77777777" w:rsidR="00AB7968" w:rsidRDefault="00EF0D76">
      <w:pPr>
        <w:spacing w:before="60" w:after="100" w:line="300" w:lineRule="auto"/>
      </w:pPr>
      <w:r>
        <w:rPr>
          <w:b/>
          <w:bCs/>
          <w:color w:val="1A1A18"/>
        </w:rPr>
        <w:t>The design question it answers:</w:t>
      </w:r>
      <w:r>
        <w:t xml:space="preserve"> Where does the commercial engine's proprietary knowledge live, and how do agents access it </w:t>
      </w:r>
      <w:proofErr w:type="gramStart"/>
      <w:r>
        <w:t>at the moment</w:t>
      </w:r>
      <w:proofErr w:type="gramEnd"/>
      <w:r>
        <w:t xml:space="preserve"> of decision?</w:t>
      </w:r>
    </w:p>
    <w:p w14:paraId="7DA75341" w14:textId="77777777" w:rsidR="00AB7968" w:rsidRDefault="00EF0D76">
      <w:pPr>
        <w:spacing w:before="60" w:after="100" w:line="300" w:lineRule="auto"/>
      </w:pPr>
      <w:r>
        <w:rPr>
          <w:b/>
          <w:bCs/>
          <w:color w:val="1A1A18"/>
        </w:rPr>
        <w:t>Role:</w:t>
      </w:r>
      <w:r>
        <w:t xml:space="preserve"> The Knowledge Engine transforms enterprise data into governed, contextualized, and retrievable knowledge. It is the substrate against which every agent reasons. When a service agent needs to understand a customer's full relationship history, when a pricing agent needs to validate a discount against margin guardrails, when a content agent needs to generate copy that adheres to brand voice, they are querying the Knowledge Engine.</w:t>
      </w:r>
    </w:p>
    <w:p w14:paraId="1731E724" w14:textId="77777777" w:rsidR="00AB7968" w:rsidRDefault="00EF0D76">
      <w:pPr>
        <w:spacing w:before="60" w:after="100" w:line="300" w:lineRule="auto"/>
      </w:pPr>
      <w:r>
        <w:rPr>
          <w:b/>
          <w:bCs/>
          <w:color w:val="1A1A18"/>
        </w:rPr>
        <w:t>Key capabilities:</w:t>
      </w:r>
    </w:p>
    <w:p w14:paraId="707D1396" w14:textId="77777777" w:rsidR="00AB7968" w:rsidRDefault="00EF0D76">
      <w:pPr>
        <w:spacing w:before="60" w:after="100" w:line="300" w:lineRule="auto"/>
      </w:pPr>
      <w:r>
        <w:t xml:space="preserve">Customer knowledge graphs that represent customer entities, their relationships, their interactions, and their commercial context as a connected, </w:t>
      </w:r>
      <w:proofErr w:type="spellStart"/>
      <w:r>
        <w:t>queryable</w:t>
      </w:r>
      <w:proofErr w:type="spellEnd"/>
      <w:r>
        <w:t xml:space="preserve"> network. This is not a traditional customer 360 or a relational database. It is a graph structure that enables agents to resolve complex questions like "what is this customer's propensity to churn based on their service interactions, usage patterns, and pricing sensitivity?" by traversing relationships rather than joining tables.</w:t>
      </w:r>
    </w:p>
    <w:p w14:paraId="09655496" w14:textId="77777777" w:rsidR="00AB7968" w:rsidRDefault="00EF0D76">
      <w:pPr>
        <w:spacing w:before="60" w:after="100" w:line="300" w:lineRule="auto"/>
      </w:pPr>
      <w:r>
        <w:t xml:space="preserve">Semantic knowledge representation that encodes brand voice, pricing rules, compliance requirements, product specifications, and commercial policies in machine-readable form. This is what transforms a generic LLM response into a response that sounds like your brand, follows your pricing logic, and complies with your regulatory requirements. The encoding is structured for </w:t>
      </w:r>
      <w:r>
        <w:lastRenderedPageBreak/>
        <w:t>retrieval-augmented generation so that agents can reference the relevant knowledge at inference time without requiring it to be baked into the model's weights.</w:t>
      </w:r>
    </w:p>
    <w:p w14:paraId="0F6AB1F9" w14:textId="77777777" w:rsidR="00AB7968" w:rsidRDefault="00EF0D76">
      <w:pPr>
        <w:spacing w:before="60" w:after="100" w:line="300" w:lineRule="auto"/>
      </w:pPr>
      <w:r>
        <w:t>Contextual enrichment that adds meaning to raw data by connecting it to ontologies, taxonomies, and relationship maps. A customer's purchase of Product A is raw data. That purchase connected to Product A's relationship with Product B, the customer's segment, their service history, and the current promotional calendar is contextual knowledge. The enrichment layer is what makes the difference between agents that retrieve data and agents that reason with context.</w:t>
      </w:r>
    </w:p>
    <w:p w14:paraId="0B3A48C5" w14:textId="77777777" w:rsidR="00AB7968" w:rsidRDefault="00EF0D76">
      <w:pPr>
        <w:spacing w:before="60" w:after="100" w:line="300" w:lineRule="auto"/>
      </w:pPr>
      <w:r>
        <w:rPr>
          <w:b/>
          <w:bCs/>
          <w:color w:val="1A1A18"/>
        </w:rPr>
        <w:t>Technology considerations:</w:t>
      </w:r>
      <w:r>
        <w:t xml:space="preserve"> Graph databases (Neo4j, Amazon Neptune) for relationship modeling. Vector stores (Pinecone, </w:t>
      </w:r>
      <w:proofErr w:type="spellStart"/>
      <w:r>
        <w:t>Weaviate</w:t>
      </w:r>
      <w:proofErr w:type="spellEnd"/>
      <w:r>
        <w:t xml:space="preserve">, </w:t>
      </w:r>
      <w:proofErr w:type="spellStart"/>
      <w:r>
        <w:t>pgvector</w:t>
      </w:r>
      <w:proofErr w:type="spellEnd"/>
      <w:r>
        <w:t>) for semantic similarity and retrieval-augmented generation. Knowledge graph platforms for ontology management and entity resolution. The choice depends on the organization's existing data infrastructure, the query patterns required by the first-wave micro-journeys, and the balance between graph traversal (relationship-heavy queries) and vector similarity (semantic retrieval) in the target use cas</w:t>
      </w:r>
      <w:r>
        <w:t>es.</w:t>
      </w:r>
    </w:p>
    <w:p w14:paraId="56066097" w14:textId="77777777" w:rsidR="00AB7968" w:rsidRDefault="00EF0D76">
      <w:pPr>
        <w:spacing w:before="60" w:after="100" w:line="300" w:lineRule="auto"/>
      </w:pPr>
      <w:r>
        <w:rPr>
          <w:b/>
          <w:bCs/>
          <w:color w:val="1A1A18"/>
        </w:rPr>
        <w:t>Platform context:</w:t>
      </w:r>
      <w:r>
        <w:t xml:space="preserve"> The Knowledge Engine sits at the intersection of customer data platforms, enterprise search infrastructure, and AI-native knowledge management. Some enterprise application vendors are building knowledge graph and semantic retrieval capabilities directly into their platforms. </w:t>
      </w:r>
      <w:proofErr w:type="spellStart"/>
      <w:r>
        <w:t>Hyperscalers</w:t>
      </w:r>
      <w:proofErr w:type="spellEnd"/>
      <w:r>
        <w:t xml:space="preserve"> offer graph databases and vector stores as managed services. The architectural principle is that the Knowledge Engine's data model and query interfaces remain portable regardless of which infrastructure hosts them, because</w:t>
      </w:r>
      <w:r>
        <w:t xml:space="preserve"> the knowledge itself is the organization's most strategic asset.</w:t>
      </w:r>
    </w:p>
    <w:p w14:paraId="4DB47572" w14:textId="77777777" w:rsidR="00AB7968" w:rsidRDefault="00EF0D76">
      <w:pPr>
        <w:pStyle w:val="Heading2"/>
      </w:pPr>
      <w:bookmarkStart w:id="21" w:name="_Toc229658901"/>
      <w:r>
        <w:t>Component 2: Model Hub</w:t>
      </w:r>
      <w:bookmarkEnd w:id="21"/>
    </w:p>
    <w:p w14:paraId="1F0A622B" w14:textId="77777777" w:rsidR="00AB7968" w:rsidRDefault="00EF0D76">
      <w:pPr>
        <w:spacing w:before="60" w:after="100" w:line="300" w:lineRule="auto"/>
      </w:pPr>
      <w:r>
        <w:rPr>
          <w:b/>
          <w:bCs/>
          <w:color w:val="1A1A18"/>
        </w:rPr>
        <w:t>The design question it answers:</w:t>
      </w:r>
      <w:r>
        <w:t xml:space="preserve"> How does the commercial engine select the right AI model for each task, govern model performance, and avoid dependency on any single model provider?</w:t>
      </w:r>
    </w:p>
    <w:p w14:paraId="6C64D799" w14:textId="77777777" w:rsidR="00AB7968" w:rsidRDefault="00EF0D76">
      <w:pPr>
        <w:spacing w:before="60" w:after="100" w:line="300" w:lineRule="auto"/>
      </w:pPr>
      <w:r>
        <w:rPr>
          <w:b/>
          <w:bCs/>
          <w:color w:val="1A1A18"/>
        </w:rPr>
        <w:t>Role:</w:t>
      </w:r>
      <w:r>
        <w:t xml:space="preserve"> The Model Hub is a routing and abstraction layer that selects the appropriate foundation model for each task based on complexity, latency, cost, and risk profile. It ensures that the commercial engine is not dependent on any single model provider and that model selection is governed by task requirements rather than vendor relationships.</w:t>
      </w:r>
    </w:p>
    <w:p w14:paraId="73AFE976" w14:textId="77777777" w:rsidR="00AB7968" w:rsidRDefault="00EF0D76">
      <w:pPr>
        <w:spacing w:before="60" w:after="100" w:line="300" w:lineRule="auto"/>
      </w:pPr>
      <w:r>
        <w:rPr>
          <w:b/>
          <w:bCs/>
          <w:color w:val="1A1A18"/>
        </w:rPr>
        <w:t>Key capabilities:</w:t>
      </w:r>
    </w:p>
    <w:p w14:paraId="3E9C4ED3" w14:textId="77777777" w:rsidR="00AB7968" w:rsidRDefault="00EF0D76">
      <w:pPr>
        <w:spacing w:before="60" w:after="100" w:line="300" w:lineRule="auto"/>
      </w:pPr>
      <w:r>
        <w:t>Multi-model routing that dynamically assigns tasks to the most appropriate model. High-reasoning models for complex negotiation analysis, strategic planning, and nuanced customer interactions. Fast, low-cost models for classification, intent detection, and workflow triggers. Domain-tuned models for pricing optimization, regulatory interpretation, and vertical-specific tasks. The routing logic considers task complexity, latency requirements, cost constraints, and risk profile to make the selection.</w:t>
      </w:r>
    </w:p>
    <w:p w14:paraId="0D88D158" w14:textId="77777777" w:rsidR="00AB7968" w:rsidRDefault="00EF0D76">
      <w:pPr>
        <w:spacing w:before="60" w:after="100" w:line="300" w:lineRule="auto"/>
      </w:pPr>
      <w:r>
        <w:t>Model evaluation and feedback loops that continuously assess model performance against defined metrics and outcomes. This includes automated evaluation frameworks that test model outputs against quality benchmarks, A/B testing infrastructure that compares model performance in production, and shadow-mode deployment that validates new models against existing ones before cutover.</w:t>
      </w:r>
    </w:p>
    <w:p w14:paraId="54D3C488" w14:textId="77777777" w:rsidR="00AB7968" w:rsidRDefault="00EF0D76">
      <w:pPr>
        <w:spacing w:before="60" w:after="100" w:line="300" w:lineRule="auto"/>
      </w:pPr>
      <w:r>
        <w:lastRenderedPageBreak/>
        <w:t>Continuous learning and adaptation through fine-tuning on enterprise-specific data, dynamic preference optimization that evolves with customer signals and campaign feedback, and prompt optimization that improves agent performance without requiring model retraining. The Model Hub governs the full lifecycle from model selection through deployment, monitoring, and retirement.</w:t>
      </w:r>
    </w:p>
    <w:p w14:paraId="5B276BA6" w14:textId="77777777" w:rsidR="00AB7968" w:rsidRDefault="00EF0D76">
      <w:pPr>
        <w:spacing w:before="60" w:after="100" w:line="300" w:lineRule="auto"/>
      </w:pPr>
      <w:r>
        <w:t>Model switchboard capabilities that enable seamless transitions between model providers. When a new model offers better performance for a given task class, or when cost dynamics shift, the switchboard enables migration without disrupting the agent workflows that depend on the model. This is the architectural mechanism that prevents vendor lock-in at the model layer.</w:t>
      </w:r>
    </w:p>
    <w:p w14:paraId="12599BC5" w14:textId="77777777" w:rsidR="00AB7968" w:rsidRDefault="00EF0D76">
      <w:pPr>
        <w:spacing w:before="60" w:after="100" w:line="300" w:lineRule="auto"/>
      </w:pPr>
      <w:r>
        <w:rPr>
          <w:b/>
          <w:bCs/>
          <w:color w:val="1A1A18"/>
        </w:rPr>
        <w:t>Technology considerations:</w:t>
      </w:r>
      <w:r>
        <w:t xml:space="preserve"> Model routing frameworks (custom orchestration layers, or emerging platforms like Martian, Portkey, or </w:t>
      </w:r>
      <w:proofErr w:type="spellStart"/>
      <w:r>
        <w:t>LiteLLM</w:t>
      </w:r>
      <w:proofErr w:type="spellEnd"/>
      <w:r>
        <w:t xml:space="preserve">) for dynamic model selection. Evaluation frameworks (RAGAS, </w:t>
      </w:r>
      <w:proofErr w:type="spellStart"/>
      <w:r>
        <w:t>DeepEval</w:t>
      </w:r>
      <w:proofErr w:type="spellEnd"/>
      <w:r>
        <w:t>, custom harnesses) for continuous performance monitoring. Model registries for version control and governance. Cost governance dashboards that track inference spend per use case against value generated.</w:t>
      </w:r>
    </w:p>
    <w:p w14:paraId="12B98D97" w14:textId="77777777" w:rsidR="00AB7968" w:rsidRDefault="00EF0D76">
      <w:pPr>
        <w:spacing w:before="60" w:after="100" w:line="300" w:lineRule="auto"/>
      </w:pPr>
      <w:r>
        <w:rPr>
          <w:b/>
          <w:bCs/>
          <w:color w:val="1A1A18"/>
        </w:rPr>
        <w:t>Platform context:</w:t>
      </w:r>
      <w:r>
        <w:t xml:space="preserve"> The Model Hub is where enterprise AI strategy intersects with the rapidly evolving foundation model landscape. </w:t>
      </w:r>
      <w:proofErr w:type="spellStart"/>
      <w:r>
        <w:t>Hyperscalers</w:t>
      </w:r>
      <w:proofErr w:type="spellEnd"/>
      <w:r>
        <w:t xml:space="preserve"> offer model hosting environments (often called model gardens) with access to multiple foundation models and fine-tuning infrastructure. Enterprise application vendors are integrating model routing into their agent frameworks. Independent model orchestration platforms provide vendor-neutral routing. The architectural imperative is that model selection remains a governed engineering dec</w:t>
      </w:r>
      <w:r>
        <w:t>ision, not a vendor default, and that the organization retains the ability to shift models as the landscape evolves without rearchitecting the agent workflows that depend on them.</w:t>
      </w:r>
    </w:p>
    <w:p w14:paraId="73799618" w14:textId="77777777" w:rsidR="00AB7968" w:rsidRDefault="00EF0D76">
      <w:pPr>
        <w:pStyle w:val="Heading2"/>
      </w:pPr>
      <w:bookmarkStart w:id="22" w:name="_Toc229658902"/>
      <w:r>
        <w:t>Component 3: Agent Network</w:t>
      </w:r>
      <w:bookmarkEnd w:id="22"/>
    </w:p>
    <w:p w14:paraId="1A80186C" w14:textId="77777777" w:rsidR="00AB7968" w:rsidRDefault="00EF0D76">
      <w:pPr>
        <w:spacing w:before="60" w:after="100" w:line="300" w:lineRule="auto"/>
      </w:pPr>
      <w:r>
        <w:rPr>
          <w:b/>
          <w:bCs/>
          <w:color w:val="1A1A18"/>
        </w:rPr>
        <w:t>The design question it answers:</w:t>
      </w:r>
      <w:r>
        <w:t xml:space="preserve"> How are agents designed, deployed, managed, and composed into coordinated workflows that span functions and platforms?</w:t>
      </w:r>
    </w:p>
    <w:p w14:paraId="3F35AAE5" w14:textId="77777777" w:rsidR="00AB7968" w:rsidRDefault="00EF0D76">
      <w:pPr>
        <w:spacing w:before="60" w:after="100" w:line="300" w:lineRule="auto"/>
      </w:pPr>
      <w:r>
        <w:rPr>
          <w:b/>
          <w:bCs/>
          <w:color w:val="1A1A18"/>
        </w:rPr>
        <w:t>Role:</w:t>
      </w:r>
      <w:r>
        <w:t xml:space="preserve"> The Agent Network is the ecosystem of specialized agents that execute across the commercial engine. It encompasses agent design, lifecycle management, composition patterns, and the runtime infrastructure that enables agents to act autonomously within governed boundaries. This is where the Commercial Brain's intelligence becomes operational.</w:t>
      </w:r>
    </w:p>
    <w:p w14:paraId="08E9EDDC" w14:textId="77777777" w:rsidR="00AB7968" w:rsidRDefault="00EF0D76">
      <w:pPr>
        <w:spacing w:before="60" w:after="100" w:line="300" w:lineRule="auto"/>
      </w:pPr>
      <w:r>
        <w:rPr>
          <w:b/>
          <w:bCs/>
          <w:color w:val="1A1A18"/>
        </w:rPr>
        <w:t>Key capabilities:</w:t>
      </w:r>
    </w:p>
    <w:p w14:paraId="1156BC29" w14:textId="77777777" w:rsidR="00AB7968" w:rsidRDefault="00EF0D76">
      <w:pPr>
        <w:spacing w:before="60" w:after="100" w:line="300" w:lineRule="auto"/>
      </w:pPr>
      <w:r>
        <w:t xml:space="preserve">Agent catalog and lifecycle management that provides a centralized registry of all deployed agents, their configurations, their capabilities, their autonomy tiers, and their performance histories. The catalog enables discovery (which agent can handle this task?), governance (what is this agent authorized to do?), and continuous improvement (how has this agent's performance changed over time?). It includes purpose-built agents for specific domains (a pricing compliance agent, a content localization agent, a </w:t>
      </w:r>
      <w:r>
        <w:t>churn detection agent) alongside general-purpose utility agents that serve multiple functions.</w:t>
      </w:r>
    </w:p>
    <w:p w14:paraId="477D1CF4" w14:textId="77777777" w:rsidR="00AB7968" w:rsidRDefault="00EF0D76">
      <w:pPr>
        <w:spacing w:before="60" w:after="100" w:line="300" w:lineRule="auto"/>
      </w:pPr>
      <w:r>
        <w:t xml:space="preserve">Agent composition and orchestration that enables multiple specialized agents to collaborate on complex tasks. A "Campaign to Close" workflow might involve a marketing audience intelligence agent, a lead qualification agent, a pricing agent, a CPQ agent, and a human seller, each </w:t>
      </w:r>
      <w:r>
        <w:lastRenderedPageBreak/>
        <w:t>contributing their specialized capability to a coordinated outcome. The composition layer defines how agents hand off to each other, how context is preserved across handoffs, and how the overall workflow is governed.</w:t>
      </w:r>
    </w:p>
    <w:p w14:paraId="25CC8EFD" w14:textId="77777777" w:rsidR="00AB7968" w:rsidRDefault="00EF0D76">
      <w:pPr>
        <w:spacing w:before="60" w:after="100" w:line="300" w:lineRule="auto"/>
      </w:pPr>
      <w:r>
        <w:t>Contextual memory and reflection that equips agents with the ability to maintain state across interactions. Short-term memory preserves context within a session. Long-term memory captures patterns across sessions. Episodic memory records specific interaction histories. Collaborative memory shares relevant context between agents working on the same customer or the same workflow. This memory architecture is what enables agents to deliver consistent, personalized experiences rather than treating every interact</w:t>
      </w:r>
      <w:r>
        <w:t>ion as if it were the first.</w:t>
      </w:r>
    </w:p>
    <w:p w14:paraId="33964B4A" w14:textId="77777777" w:rsidR="00AB7968" w:rsidRDefault="00EF0D76">
      <w:pPr>
        <w:spacing w:before="60" w:after="100" w:line="300" w:lineRule="auto"/>
      </w:pPr>
      <w:r>
        <w:t>Intent and context switching that enables agents to dynamically interpret user goals and shift context across sessions and workflows, maintaining relevance and precision as the customer's needs evolve within and across interactions.</w:t>
      </w:r>
    </w:p>
    <w:p w14:paraId="27D32562" w14:textId="77777777" w:rsidR="00AB7968" w:rsidRDefault="00EF0D76">
      <w:pPr>
        <w:spacing w:before="60" w:after="100" w:line="300" w:lineRule="auto"/>
      </w:pPr>
      <w:r>
        <w:rPr>
          <w:b/>
          <w:bCs/>
          <w:color w:val="1A1A18"/>
        </w:rPr>
        <w:t>Technology considerations:</w:t>
      </w:r>
      <w:r>
        <w:t xml:space="preserve"> Agent development frameworks for building and configuring agents. Workflow orchestration platforms for defining multi-agent compositions. State management infrastructure for agent memory (session stores, vector databases for long-term memory, event stores for episodic memory). Agent monitoring and observability tools for production performance management.</w:t>
      </w:r>
    </w:p>
    <w:p w14:paraId="6A4DEFB9" w14:textId="77777777" w:rsidR="00AB7968" w:rsidRDefault="00EF0D76">
      <w:pPr>
        <w:spacing w:before="60" w:after="100" w:line="300" w:lineRule="auto"/>
      </w:pPr>
      <w:r>
        <w:rPr>
          <w:b/>
          <w:bCs/>
          <w:color w:val="1A1A18"/>
        </w:rPr>
        <w:t>Platform context:</w:t>
      </w:r>
      <w:r>
        <w:t xml:space="preserve"> The Agent Network is the most rapidly evolving component of the Commercial Brain. Enterprise application vendors are building agent frameworks directly into their platforms, offering pre-built agents alongside tools for custom agent development. </w:t>
      </w:r>
      <w:proofErr w:type="spellStart"/>
      <w:r>
        <w:t>Hyperscalers</w:t>
      </w:r>
      <w:proofErr w:type="spellEnd"/>
      <w:r>
        <w:t xml:space="preserve"> offer agent development infrastructure at the infrastructure layer. Independent agent platforms provide vendor-neutral agent lifecycle management. The architectural decision is how much of the Agent Network to build on platform-native agent frameworks </w:t>
      </w:r>
      <w:r>
        <w:t>(which offer tighter integration with existing systems) versus independent agent infrastructure (which offers greater portability and multi-platform orchestration). Most enterprises will use a combination, with platform-native agents for function-specific tasks and cross-platform orchestration agents for workflows that span multiple systems.</w:t>
      </w:r>
    </w:p>
    <w:p w14:paraId="4AF28537" w14:textId="77777777" w:rsidR="00AB7968" w:rsidRDefault="00EF0D76">
      <w:pPr>
        <w:pStyle w:val="Heading2"/>
      </w:pPr>
      <w:bookmarkStart w:id="23" w:name="_Toc229658903"/>
      <w:r>
        <w:t>Component 4: GenAI Services</w:t>
      </w:r>
      <w:bookmarkEnd w:id="23"/>
    </w:p>
    <w:p w14:paraId="54ED763B" w14:textId="77777777" w:rsidR="00AB7968" w:rsidRDefault="00EF0D76">
      <w:pPr>
        <w:spacing w:before="60" w:after="100" w:line="300" w:lineRule="auto"/>
      </w:pPr>
      <w:r>
        <w:rPr>
          <w:b/>
          <w:bCs/>
          <w:color w:val="1A1A18"/>
        </w:rPr>
        <w:t>The design question it answers:</w:t>
      </w:r>
      <w:r>
        <w:t xml:space="preserve"> What common AI infrastructure services do all agents and all layers of the architecture depend on, and how are they governed centrally?</w:t>
      </w:r>
    </w:p>
    <w:p w14:paraId="34DD9AD0" w14:textId="77777777" w:rsidR="00AB7968" w:rsidRDefault="00EF0D76">
      <w:pPr>
        <w:spacing w:before="60" w:after="100" w:line="300" w:lineRule="auto"/>
      </w:pPr>
      <w:r>
        <w:rPr>
          <w:b/>
          <w:bCs/>
          <w:color w:val="1A1A18"/>
        </w:rPr>
        <w:t>Role:</w:t>
      </w:r>
      <w:r>
        <w:t xml:space="preserve"> GenAI Services are the shared foundational services that enable seamless execution across the agentic ecosystem. They provide the common capabilities that every agent needs regardless of its function or domain: the ability to generate responses, retrieve relevant context, maintain conversational continuity, and process multiple input modalities. Centralizing these services avoids duplication across agents and ensures consistent quality, governance, and cost management.</w:t>
      </w:r>
    </w:p>
    <w:p w14:paraId="3488EE30" w14:textId="77777777" w:rsidR="00AB7968" w:rsidRDefault="00EF0D76">
      <w:pPr>
        <w:spacing w:before="60" w:after="100" w:line="300" w:lineRule="auto"/>
      </w:pPr>
      <w:r>
        <w:rPr>
          <w:b/>
          <w:bCs/>
          <w:color w:val="1A1A18"/>
        </w:rPr>
        <w:t>Key capabilities:</w:t>
      </w:r>
    </w:p>
    <w:p w14:paraId="04266C00" w14:textId="77777777" w:rsidR="00AB7968" w:rsidRDefault="00EF0D76">
      <w:pPr>
        <w:spacing w:before="60" w:after="100" w:line="300" w:lineRule="auto"/>
      </w:pPr>
      <w:r>
        <w:t xml:space="preserve">Prompt intelligence that manages how agents interpret inputs and generate contextually accurate responses. This includes centralized prompt libraries, prompt chaining and decomposition patterns, semantic parsing, and instruction tuning. The prompt layer is where the organization's accumulated </w:t>
      </w:r>
      <w:r>
        <w:lastRenderedPageBreak/>
        <w:t>knowledge about effective agent communication is codified and versioned rather than embedded ad hoc in individual agent configurations.</w:t>
      </w:r>
    </w:p>
    <w:p w14:paraId="5109F731" w14:textId="77777777" w:rsidR="00AB7968" w:rsidRDefault="00EF0D76">
      <w:pPr>
        <w:spacing w:before="60" w:after="100" w:line="300" w:lineRule="auto"/>
      </w:pPr>
      <w:r>
        <w:t>Session continuity and context retention that maintains agent memory, operational state, and contextual awareness across sessions. This enables agents to deliver consistent, personalized experiences over time rather than resetting with each new interaction. The session layer handles state preservation, context rehydration when a conversation resumes, and cross-agent threading when a customer's journey involves multiple agents.</w:t>
      </w:r>
    </w:p>
    <w:p w14:paraId="065CFFAD" w14:textId="77777777" w:rsidR="00AB7968" w:rsidRDefault="00EF0D76">
      <w:pPr>
        <w:spacing w:before="60" w:after="100" w:line="300" w:lineRule="auto"/>
      </w:pPr>
      <w:r>
        <w:t>Multimodal AI services that support input and output across text, image, audio, and video. A service agent that can process a customer's uploaded photo of a damaged product, a content agent that can generate video variations from a brief, and a commerce agent that can interpret voice commands from a buyer's AI assistant all depend on multimodal services.</w:t>
      </w:r>
    </w:p>
    <w:p w14:paraId="38C94067" w14:textId="77777777" w:rsidR="00AB7968" w:rsidRDefault="00EF0D76">
      <w:pPr>
        <w:spacing w:before="60" w:after="100" w:line="300" w:lineRule="auto"/>
      </w:pPr>
      <w:r>
        <w:t>Retrieval-augmented generation (RAG) infrastructure that connects agents to the Knowledge Engine at inference time. RAG is the mechanism by which agents ground their responses in the organization's proprietary knowledge rather than relying solely on their training data. The RAG layer handles document chunking strategies, embedding generation, similarity search, context window management, and relevance ranking.</w:t>
      </w:r>
    </w:p>
    <w:p w14:paraId="1BB87DDF" w14:textId="77777777" w:rsidR="00AB7968" w:rsidRDefault="00EF0D76">
      <w:pPr>
        <w:spacing w:before="60" w:after="100" w:line="300" w:lineRule="auto"/>
      </w:pPr>
      <w:r>
        <w:rPr>
          <w:b/>
          <w:bCs/>
          <w:color w:val="1A1A18"/>
        </w:rPr>
        <w:t>Technology considerations:</w:t>
      </w:r>
      <w:r>
        <w:t xml:space="preserve"> Prompt management and versioning platforms. Session state management infrastructure. Embedding models and vector search infrastructure for RAG. Multimodal model APIs and media processing pipelines. The shared nature of these services creates economies of scale: investing in a high-quality RAG pipeline once benefits every agent in the network rather than requiring each agent to build its own retrieval infrastructure.</w:t>
      </w:r>
    </w:p>
    <w:p w14:paraId="0FC18E4F" w14:textId="77777777" w:rsidR="00AB7968" w:rsidRDefault="00EF0D76">
      <w:pPr>
        <w:spacing w:before="60" w:after="100" w:line="300" w:lineRule="auto"/>
      </w:pPr>
      <w:r>
        <w:rPr>
          <w:b/>
          <w:bCs/>
          <w:color w:val="1A1A18"/>
        </w:rPr>
        <w:t>Platform context:</w:t>
      </w:r>
      <w:r>
        <w:t xml:space="preserve"> GenAI Services sit at the intersection of AI infrastructure providers (who offer the underlying model APIs, embedding services, and inference infrastructure), enterprise application vendors (who are embedding these capabilities into their agent frameworks), and specialized AI platforms (who offer prompt management, RAG orchestration, and session management as standalone services). The architectural principle is that core GenAI Services are centralized and governed to ensure consistency, cost efficiency, an</w:t>
      </w:r>
      <w:r>
        <w:t>d quality, even when individual agents are deployed across multiple platforms.</w:t>
      </w:r>
    </w:p>
    <w:p w14:paraId="0F7D2C51" w14:textId="77777777" w:rsidR="00AB7968" w:rsidRDefault="00EF0D76">
      <w:pPr>
        <w:pStyle w:val="Heading2"/>
      </w:pPr>
      <w:bookmarkStart w:id="24" w:name="_Toc229658904"/>
      <w:r>
        <w:t>Component 5: Responsible AI</w:t>
      </w:r>
      <w:bookmarkEnd w:id="24"/>
    </w:p>
    <w:p w14:paraId="5019DB11" w14:textId="77777777" w:rsidR="00AB7968" w:rsidRDefault="00EF0D76">
      <w:pPr>
        <w:spacing w:before="60" w:after="100" w:line="300" w:lineRule="auto"/>
      </w:pPr>
      <w:r>
        <w:rPr>
          <w:b/>
          <w:bCs/>
          <w:color w:val="1A1A18"/>
        </w:rPr>
        <w:t>The design question it answers:</w:t>
      </w:r>
      <w:r>
        <w:t xml:space="preserve"> How does the organization ensure that every agent action is fair, explainable, compliant, and aligned with the organization's values and regulatory obligations?</w:t>
      </w:r>
    </w:p>
    <w:p w14:paraId="0AF60B7F" w14:textId="77777777" w:rsidR="00AB7968" w:rsidRDefault="00EF0D76">
      <w:pPr>
        <w:spacing w:before="60" w:after="100" w:line="300" w:lineRule="auto"/>
      </w:pPr>
      <w:r>
        <w:rPr>
          <w:b/>
          <w:bCs/>
          <w:color w:val="1A1A18"/>
        </w:rPr>
        <w:t>Role:</w:t>
      </w:r>
      <w:r>
        <w:t xml:space="preserve"> Responsible AI is the governance infrastructure that ensures autonomous agents operate within ethical, legal, and brand boundaries. In a world where agents are making pricing decisions, generating customer-facing content, and routing commercial interactions without human review, the responsible AI framework is what prevents autonomous capability from becoming autonomous risk.</w:t>
      </w:r>
    </w:p>
    <w:p w14:paraId="1C23C554" w14:textId="77777777" w:rsidR="00AB7968" w:rsidRDefault="00EF0D76">
      <w:pPr>
        <w:spacing w:before="60" w:after="100" w:line="300" w:lineRule="auto"/>
      </w:pPr>
      <w:r>
        <w:rPr>
          <w:b/>
          <w:bCs/>
          <w:color w:val="1A1A18"/>
        </w:rPr>
        <w:t>Key capabilities:</w:t>
      </w:r>
    </w:p>
    <w:p w14:paraId="2355F837" w14:textId="77777777" w:rsidR="00AB7968" w:rsidRDefault="00EF0D76">
      <w:pPr>
        <w:spacing w:before="60" w:after="100" w:line="300" w:lineRule="auto"/>
      </w:pPr>
      <w:r>
        <w:t xml:space="preserve">Bias detection and mitigation that continuously monitors agent outputs for demographic, geographic, economic, and behavioral biases. A pricing agent that systematically offers different terms to different customer segments must be monitored for discriminatory patterns. A content agent that </w:t>
      </w:r>
      <w:r>
        <w:lastRenderedPageBreak/>
        <w:t>generates different messaging for different audiences must be evaluated for fairness. The bias monitoring layer operates continuously, not as a one-time audit.</w:t>
      </w:r>
    </w:p>
    <w:p w14:paraId="34202182" w14:textId="77777777" w:rsidR="00AB7968" w:rsidRDefault="00EF0D76">
      <w:pPr>
        <w:spacing w:before="60" w:after="100" w:line="300" w:lineRule="auto"/>
      </w:pPr>
      <w:r>
        <w:t>Ethical guardrails that define boundaries agent behavior must not cross, regardless of what the model's training data or the optimization function might suggest. These guardrails are encoded as hard constraints rather than soft preferences, and they are enforced at the inference layer so that compliance is architectural rather than dependent on prompt engineering.</w:t>
      </w:r>
    </w:p>
    <w:p w14:paraId="4FB255A9" w14:textId="77777777" w:rsidR="00AB7968" w:rsidRDefault="00EF0D76">
      <w:pPr>
        <w:spacing w:before="60" w:after="100" w:line="300" w:lineRule="auto"/>
      </w:pPr>
      <w:r>
        <w:t>Explainability and audit infrastructure that can answer the question "why did the agent do that?" for any decision at any point in time. This is not optional in regulated industries where agent decisions affecting pricing, credit, or customer treatment may be subject to regulatory examination. The audit layer captures the inputs, the reasoning chain, the knowledge retrieved, and the decision output for every agent action.</w:t>
      </w:r>
    </w:p>
    <w:p w14:paraId="078D21A5" w14:textId="77777777" w:rsidR="00AB7968" w:rsidRDefault="00EF0D76">
      <w:pPr>
        <w:spacing w:before="60" w:after="100" w:line="300" w:lineRule="auto"/>
      </w:pPr>
      <w:r>
        <w:t>Model risk management aligned with emerging regulatory frameworks. In financial services, this means alignment with SR 11-7 and its extensions to AI-specific risk. In healthcare, alignment with HIPAA and CMS requirements for automated decision-making. In all industries, it means a structured approach to evaluating the risk profile of each agent deployment and matching governance intensity to risk level.</w:t>
      </w:r>
    </w:p>
    <w:p w14:paraId="4C5063F9" w14:textId="77777777" w:rsidR="00AB7968" w:rsidRDefault="00EF0D76">
      <w:pPr>
        <w:spacing w:before="60" w:after="100" w:line="300" w:lineRule="auto"/>
      </w:pPr>
      <w:r>
        <w:rPr>
          <w:b/>
          <w:bCs/>
          <w:color w:val="1A1A18"/>
        </w:rPr>
        <w:t>Technology considerations:</w:t>
      </w:r>
      <w:r>
        <w:t xml:space="preserve"> AI fairness and bias monitoring tools. Guardrail enforcement frameworks (input validation, output filtering, policy engines). Decision audit logging infrastructure. Model risk assessment frameworks adapted for agentic systems. Regulatory compliance monitoring specific to industry requirements.</w:t>
      </w:r>
    </w:p>
    <w:p w14:paraId="431827AA" w14:textId="77777777" w:rsidR="00AB7968" w:rsidRDefault="00EF0D76">
      <w:pPr>
        <w:spacing w:before="60" w:after="100" w:line="300" w:lineRule="auto"/>
      </w:pPr>
      <w:r>
        <w:rPr>
          <w:b/>
          <w:bCs/>
          <w:color w:val="1A1A18"/>
        </w:rPr>
        <w:t>Platform context:</w:t>
      </w:r>
      <w:r>
        <w:t xml:space="preserve"> Responsible AI capabilities are emerging across the technology landscape. </w:t>
      </w:r>
      <w:proofErr w:type="spellStart"/>
      <w:r>
        <w:t>Hyperscalers</w:t>
      </w:r>
      <w:proofErr w:type="spellEnd"/>
      <w:r>
        <w:t xml:space="preserve"> offer AI governance and monitoring tooling. Enterprise application vendors are building compliance and audit capabilities into their agent platforms. Specialized responsible AI platforms provide bias monitoring, explainability, and governance as standalone services. The architectural reality is that no single vendor's responsible AI offering covers the full scope required by the AFO. The governance framework must coordin</w:t>
      </w:r>
      <w:r>
        <w:t>ate responsible AI capabilities across platforms, with enterprise-level policies enforced consistently regardless of which platform an agent operates within. This is why Responsible AI is a component of the Commercial Brain rather than a feature of any single platform.</w:t>
      </w:r>
    </w:p>
    <w:p w14:paraId="10B6874B" w14:textId="77777777" w:rsidR="00AB7968" w:rsidRDefault="00EF0D76">
      <w:pPr>
        <w:pStyle w:val="Heading2"/>
      </w:pPr>
      <w:bookmarkStart w:id="25" w:name="_Toc229658905"/>
      <w:r>
        <w:t>Component 6: Operations &amp; Integration</w:t>
      </w:r>
      <w:bookmarkEnd w:id="25"/>
    </w:p>
    <w:p w14:paraId="4570F641" w14:textId="77777777" w:rsidR="00AB7968" w:rsidRDefault="00EF0D76">
      <w:pPr>
        <w:spacing w:before="60" w:after="100" w:line="300" w:lineRule="auto"/>
      </w:pPr>
      <w:r>
        <w:rPr>
          <w:b/>
          <w:bCs/>
          <w:color w:val="1A1A18"/>
        </w:rPr>
        <w:t>The design question it answers:</w:t>
      </w:r>
      <w:r>
        <w:t xml:space="preserve"> How does the organization deploy, monitor, scale, and govern the operational infrastructure that keeps the Commercial Brain running in production?</w:t>
      </w:r>
    </w:p>
    <w:p w14:paraId="19A3E353" w14:textId="77777777" w:rsidR="00AB7968" w:rsidRDefault="00EF0D76">
      <w:pPr>
        <w:spacing w:before="60" w:after="100" w:line="300" w:lineRule="auto"/>
      </w:pPr>
      <w:r>
        <w:rPr>
          <w:b/>
          <w:bCs/>
          <w:color w:val="1A1A18"/>
        </w:rPr>
        <w:t>Role:</w:t>
      </w:r>
      <w:r>
        <w:t xml:space="preserve"> Operations &amp; Integration is the runtime infrastructure that keeps the Commercial Brain operational. It encompasses the </w:t>
      </w:r>
      <w:proofErr w:type="spellStart"/>
      <w:r>
        <w:t>MLOps</w:t>
      </w:r>
      <w:proofErr w:type="spellEnd"/>
      <w:r>
        <w:t xml:space="preserve"> and </w:t>
      </w:r>
      <w:proofErr w:type="spellStart"/>
      <w:r>
        <w:t>LLMOps</w:t>
      </w:r>
      <w:proofErr w:type="spellEnd"/>
      <w:r>
        <w:t xml:space="preserve"> practices that manage model deployment and monitoring, the cost governance that ensures agentic operations remain economically viable, the integration protocols that connect agents across platforms, and the observability infrastructure that provides visibility into system health and performance.</w:t>
      </w:r>
    </w:p>
    <w:p w14:paraId="3F54941C" w14:textId="77777777" w:rsidR="00AB7968" w:rsidRDefault="00EF0D76">
      <w:pPr>
        <w:spacing w:before="60" w:after="100" w:line="300" w:lineRule="auto"/>
      </w:pPr>
      <w:r>
        <w:rPr>
          <w:b/>
          <w:bCs/>
          <w:color w:val="1A1A18"/>
        </w:rPr>
        <w:t>Key capabilities:</w:t>
      </w:r>
    </w:p>
    <w:p w14:paraId="2AC2CF6A" w14:textId="77777777" w:rsidR="00AB7968" w:rsidRDefault="00EF0D76">
      <w:pPr>
        <w:spacing w:before="60" w:after="100" w:line="300" w:lineRule="auto"/>
      </w:pPr>
      <w:proofErr w:type="spellStart"/>
      <w:r>
        <w:lastRenderedPageBreak/>
        <w:t>MLOps</w:t>
      </w:r>
      <w:proofErr w:type="spellEnd"/>
      <w:r>
        <w:t xml:space="preserve"> and </w:t>
      </w:r>
      <w:proofErr w:type="spellStart"/>
      <w:r>
        <w:t>LLMOps</w:t>
      </w:r>
      <w:proofErr w:type="spellEnd"/>
      <w:r>
        <w:t xml:space="preserve"> that manage the full lifecycle of models and agents in production. This includes deployment pipelines, version management, performance monitoring, drift detection, automated retraining triggers, and rollback capabilities. The operational discipline for agentic systems extends traditional </w:t>
      </w:r>
      <w:proofErr w:type="spellStart"/>
      <w:r>
        <w:t>MLOps</w:t>
      </w:r>
      <w:proofErr w:type="spellEnd"/>
      <w:r>
        <w:t xml:space="preserve"> to include agent-specific concerns: agent composition versioning, prompt version management, and multi-agent workflow monitoring.</w:t>
      </w:r>
    </w:p>
    <w:p w14:paraId="0E9BD5CD" w14:textId="77777777" w:rsidR="00AB7968" w:rsidRDefault="00EF0D76">
      <w:pPr>
        <w:spacing w:before="60" w:after="100" w:line="300" w:lineRule="auto"/>
      </w:pPr>
      <w:r>
        <w:t>Cost governance that tracks inference spend at the agent level, the workflow level, and the micro-journey level against the value each generates. Without cost governance, agentic operations can exhibit an inference cost spiral: agent operational costs scale with volume and can approach or exceed the cost of the human processes they replaced. Cost governance sets per-action and per-resolution cost targets and uses multi-model routing to match task complexity to model cost.</w:t>
      </w:r>
    </w:p>
    <w:p w14:paraId="0B65C71C" w14:textId="77777777" w:rsidR="00AB7968" w:rsidRDefault="00EF0D76">
      <w:pPr>
        <w:spacing w:before="60" w:after="100" w:line="300" w:lineRule="auto"/>
      </w:pPr>
      <w:r>
        <w:t>Integration protocol management that governs how agents communicate across platforms and with external systems. This includes management of agent-to-agent protocols (MCP for tool integration, A2A for multi-agent coordination), API gateway management for agent-to-system interactions, and event-driven architectures that enable real-time signal routing between agents, platforms, and the Knowledge Engine.</w:t>
      </w:r>
    </w:p>
    <w:p w14:paraId="5A942209" w14:textId="77777777" w:rsidR="00AB7968" w:rsidRDefault="00EF0D76">
      <w:pPr>
        <w:spacing w:before="60" w:after="100" w:line="300" w:lineRule="auto"/>
      </w:pPr>
      <w:r>
        <w:t>Observability and monitoring that provides real-time visibility into agent performance, system health, error rates, latency, and cost. The observability layer must span the full agent network, not just individual agents, to enable detection of systemic issues (a knowledge retrieval bottleneck affecting multiple agents, a model degradation affecting all workflows that use a specific model, a cost anomaly in a specific micro-journey).</w:t>
      </w:r>
    </w:p>
    <w:p w14:paraId="7FEA9B31" w14:textId="77777777" w:rsidR="00AB7968" w:rsidRDefault="00EF0D76">
      <w:pPr>
        <w:spacing w:before="60" w:after="100" w:line="300" w:lineRule="auto"/>
      </w:pPr>
      <w:r>
        <w:rPr>
          <w:b/>
          <w:bCs/>
          <w:color w:val="1A1A18"/>
        </w:rPr>
        <w:t>Technology considerations:</w:t>
      </w:r>
      <w:r>
        <w:t xml:space="preserve"> ML pipeline orchestration platforms (Airflow, Prefect, </w:t>
      </w:r>
      <w:proofErr w:type="spellStart"/>
      <w:r>
        <w:t>Dagster</w:t>
      </w:r>
      <w:proofErr w:type="spellEnd"/>
      <w:r>
        <w:t>) for model retraining and deployment workflows. Event-driven architectures (Kafka, Pulsar) for real-time signal routing. API management platforms for agent-to-system integration. Observability platforms adapted for AI workloads (inference latency, token usage, retrieval accuracy). Cost management dashboards that correlate inference spend with business outcomes.</w:t>
      </w:r>
    </w:p>
    <w:p w14:paraId="6650A487" w14:textId="77777777" w:rsidR="00AB7968" w:rsidRDefault="00EF0D76">
      <w:pPr>
        <w:spacing w:before="60" w:after="100" w:line="300" w:lineRule="auto"/>
      </w:pPr>
      <w:r>
        <w:rPr>
          <w:b/>
          <w:bCs/>
          <w:color w:val="1A1A18"/>
        </w:rPr>
        <w:t>Platform context:</w:t>
      </w:r>
      <w:r>
        <w:t xml:space="preserve"> Operations &amp; Integration is where cloud infrastructure, enterprise middleware, and AI-specific operational tooling converge. </w:t>
      </w:r>
      <w:proofErr w:type="spellStart"/>
      <w:r>
        <w:t>Hyperscalers</w:t>
      </w:r>
      <w:proofErr w:type="spellEnd"/>
      <w:r>
        <w:t xml:space="preserve"> offer managed infrastructure for model hosting, event streaming, and API management. Enterprise integration platforms provide the middleware layer that connects agents to existing systems of record. Specialized AI operations platforms provide agent-specific monitoring and cost management. The architectural principle is that operational infrastructure must span the multi-</w:t>
      </w:r>
      <w:r>
        <w:t>platform reality of the enterprise, providing a unified operational view even when agents are deployed across multiple vendor ecosystems.</w:t>
      </w:r>
    </w:p>
    <w:p w14:paraId="3EC4C74E" w14:textId="77777777" w:rsidR="00AB7968" w:rsidRDefault="00EF0D76">
      <w:pPr>
        <w:pStyle w:val="Heading2"/>
      </w:pPr>
      <w:bookmarkStart w:id="26" w:name="_Toc229658906"/>
      <w:r>
        <w:t>How the Six Components Interact</w:t>
      </w:r>
      <w:bookmarkEnd w:id="26"/>
    </w:p>
    <w:p w14:paraId="1E1EC345" w14:textId="77777777" w:rsidR="00AB7968" w:rsidRDefault="00EF0D76">
      <w:pPr>
        <w:spacing w:before="60" w:after="100" w:line="300" w:lineRule="auto"/>
      </w:pPr>
      <w:r>
        <w:t>The six components of the Commercial Brain are not independent modules. They form a continuous cycle:</w:t>
      </w:r>
    </w:p>
    <w:p w14:paraId="1D35EFEE" w14:textId="77777777" w:rsidR="00AB7968" w:rsidRDefault="00EF0D76">
      <w:pPr>
        <w:spacing w:before="60" w:after="100" w:line="300" w:lineRule="auto"/>
      </w:pPr>
      <w:r>
        <w:t xml:space="preserve">The Knowledge Engine provides the proprietary context that agents reason against. The Model Hub selects and routes the appropriate models to process that reasoning. The Agent Network deploys specialized agents that use those models against that knowledge to execute commercial workflows. GenAI Services provide the shared infrastructure that enables every agent's core </w:t>
      </w:r>
      <w:proofErr w:type="gramStart"/>
      <w:r>
        <w:t>capabilities</w:t>
      </w:r>
      <w:proofErr w:type="gramEnd"/>
      <w:r>
        <w:t xml:space="preserve">. </w:t>
      </w:r>
      <w:r>
        <w:lastRenderedPageBreak/>
        <w:t>Responsible AI governs every decision across the cycle. Operations &amp; Integration keeps the entire system running, monitored, and economically viable.</w:t>
      </w:r>
    </w:p>
    <w:p w14:paraId="39424A57" w14:textId="77777777" w:rsidR="00AB7968" w:rsidRDefault="00EF0D76">
      <w:pPr>
        <w:spacing w:before="60" w:after="100" w:line="300" w:lineRule="auto"/>
      </w:pPr>
      <w:r>
        <w:t>The interaction pattern that matters most is the feedback loop. Every agent action generates structured signal: a customer response, a human override, an escalation, a conversion, a churn. That signal flows back through Operations &amp; Integration into the Knowledge Engine, enriching the proprietary context. Richer context produces better reasoning. Better reasoning produces better outcomes. Better outcomes generate richer signal. This is the compounding mechanism that creates durable competitive advantage, an</w:t>
      </w:r>
      <w:r>
        <w:t>d the Commercial Brain's six components are the machinery that makes it work.</w:t>
      </w:r>
    </w:p>
    <w:p w14:paraId="3F2AAD05" w14:textId="77777777" w:rsidR="00AB7968" w:rsidRDefault="00EF0D76">
      <w:r>
        <w:br w:type="page"/>
      </w:r>
    </w:p>
    <w:p w14:paraId="633C623F" w14:textId="77777777" w:rsidR="00AB7968" w:rsidRDefault="00EF0D76">
      <w:pPr>
        <w:pStyle w:val="Heading1"/>
      </w:pPr>
      <w:bookmarkStart w:id="27" w:name="_Toc229658907"/>
      <w:r>
        <w:lastRenderedPageBreak/>
        <w:t>Section 4: The System of Engagement and the System of Creation</w:t>
      </w:r>
      <w:bookmarkEnd w:id="27"/>
    </w:p>
    <w:p w14:paraId="1E91E507" w14:textId="77777777" w:rsidR="00AB7968" w:rsidRDefault="00EF0D76">
      <w:pPr>
        <w:pStyle w:val="Heading2"/>
      </w:pPr>
      <w:bookmarkStart w:id="28" w:name="_Toc229658908"/>
      <w:r>
        <w:t>The Business Question This Section Answers</w:t>
      </w:r>
      <w:bookmarkEnd w:id="28"/>
    </w:p>
    <w:p w14:paraId="5E0C04B9" w14:textId="77777777" w:rsidR="00AB7968" w:rsidRDefault="00EF0D76">
      <w:pPr>
        <w:spacing w:before="60" w:after="100" w:line="300" w:lineRule="auto"/>
      </w:pPr>
      <w:r>
        <w:t>Why can't we just add agentic capabilities to our existing platforms? What structural change in the technology landscape requires a fundamentally different architectural approach?</w:t>
      </w:r>
    </w:p>
    <w:p w14:paraId="0E1E1C7B" w14:textId="77777777" w:rsidR="00AB7968" w:rsidRDefault="00EF0D76">
      <w:pPr>
        <w:pStyle w:val="Heading2"/>
      </w:pPr>
      <w:bookmarkStart w:id="29" w:name="_Toc229658909"/>
      <w:r>
        <w:t>Two Systems, One Commercial Engine</w:t>
      </w:r>
      <w:bookmarkEnd w:id="29"/>
    </w:p>
    <w:p w14:paraId="3437440C" w14:textId="77777777" w:rsidR="00AB7968" w:rsidRDefault="00EF0D76">
      <w:pPr>
        <w:spacing w:before="60" w:after="100" w:line="300" w:lineRule="auto"/>
      </w:pPr>
      <w:r>
        <w:t>For the past fifteen years, enterprise front-office technology has been organized around a single architectural concept: the System of Engagement. CRM platforms manage customer relationships. Marketing automation platforms manage campaigns and journeys. Commerce platforms manage transactions. Content management systems manage digital experiences. Customer data platforms manage audience segments. These are the systems of record that run the commercial engine today.</w:t>
      </w:r>
    </w:p>
    <w:p w14:paraId="473A3E06" w14:textId="77777777" w:rsidR="00AB7968" w:rsidRDefault="00EF0D76">
      <w:pPr>
        <w:spacing w:before="60" w:after="100" w:line="300" w:lineRule="auto"/>
      </w:pPr>
      <w:r>
        <w:t>They are necessary. They are not sufficient.</w:t>
      </w:r>
    </w:p>
    <w:p w14:paraId="206A58D4" w14:textId="77777777" w:rsidR="00AB7968" w:rsidRDefault="00EF0D76">
      <w:pPr>
        <w:spacing w:before="60" w:after="100" w:line="300" w:lineRule="auto"/>
      </w:pPr>
      <w:r>
        <w:t>A parallel architectural system has emerged alongside the System of Engagement, one that didn't exist three years ago and that most enterprise technology strategies have not yet accounted for. This is the System of Creation: the agentic orchestration, model infrastructure, AI workbench, creative toolchains, and agent development environments that enable AI-driven content generation, autonomous decision-making, and multi-agent coordination.</w:t>
      </w:r>
    </w:p>
    <w:p w14:paraId="2ADE7F07" w14:textId="77777777" w:rsidR="00AB7968" w:rsidRDefault="00EF0D76">
      <w:pPr>
        <w:spacing w:before="60" w:after="100" w:line="300" w:lineRule="auto"/>
      </w:pPr>
      <w:r>
        <w:t>The AFO cannot be built within either system alone. It requires both, working in concert, with clear architectural boundaries and well-defined integration points between them.</w:t>
      </w:r>
    </w:p>
    <w:p w14:paraId="34BC0A5B" w14:textId="77777777" w:rsidR="00AB7968" w:rsidRDefault="00EF0D76">
      <w:pPr>
        <w:pStyle w:val="Heading2"/>
      </w:pPr>
      <w:bookmarkStart w:id="30" w:name="_Toc229658910"/>
      <w:r>
        <w:t>The System of Engagement: What Exists Today</w:t>
      </w:r>
      <w:bookmarkEnd w:id="30"/>
    </w:p>
    <w:p w14:paraId="2CE62498" w14:textId="77777777" w:rsidR="00AB7968" w:rsidRDefault="00EF0D76">
      <w:pPr>
        <w:spacing w:before="60" w:after="100" w:line="300" w:lineRule="auto"/>
      </w:pPr>
      <w:r>
        <w:t>The System of Engagement encompasses the business-facing foundation platforms that most enterprises have already invested in significantly. These are the systems that manage business processes, customer records, campaign execution, content delivery, and transaction processing.</w:t>
      </w:r>
    </w:p>
    <w:p w14:paraId="1416A567" w14:textId="77777777" w:rsidR="00AB7968" w:rsidRDefault="00EF0D76">
      <w:pPr>
        <w:spacing w:before="60" w:after="100" w:line="300" w:lineRule="auto"/>
      </w:pPr>
      <w:r>
        <w:t>In a typical enterprise front office, this looks like a combination of platforms that have accumulated over years of investment: a CRM like Salesforce Sales and Service Cloud serving as the system of record for customer accounts and opportunities; a marketing and experience platform like Adobe (AJO, Marketo, AEP) or Salesforce Marketing Cloud managing campaign orchestration and journey logic; a content management platform like Adobe Experience Manager or Sitecore managing digital experiences and content del</w:t>
      </w:r>
      <w:r>
        <w:t>ivery; a digital asset management system like Adobe AEM Assets managing creative assets at scale; a commerce engine like Adobe Commerce, Salesforce Commerce Cloud, or a specialized B2B platform managing transactions and catalog; a customer data platform like Adobe Real-Time CDP or Salesforce Data Cloud unifying customer profiles and activating audiences; AdTech platforms managing media buying and measurement; and workflow management systems like Adobe Workfront coordinating marketing processes and approvals</w:t>
      </w:r>
      <w:r>
        <w:t>.</w:t>
      </w:r>
    </w:p>
    <w:p w14:paraId="43D40D26" w14:textId="77777777" w:rsidR="00AB7968" w:rsidRDefault="00EF0D76">
      <w:pPr>
        <w:spacing w:before="60" w:after="100" w:line="300" w:lineRule="auto"/>
      </w:pPr>
      <w:r>
        <w:t xml:space="preserve">These platforms share a common architectural characteristic: they are systems of record first and systems of action second. Data goes in. Process executes against it. Outputs are delivered through </w:t>
      </w:r>
      <w:r>
        <w:lastRenderedPageBreak/>
        <w:t>configured channels. The intelligence embedded in these systems is primarily rule-based: if this segment, then this journey; if this lead score, then this routing; if this cart value, then this offer.</w:t>
      </w:r>
    </w:p>
    <w:p w14:paraId="39095581" w14:textId="77777777" w:rsidR="00AB7968" w:rsidRDefault="00EF0D76">
      <w:pPr>
        <w:spacing w:before="60" w:after="100" w:line="300" w:lineRule="auto"/>
      </w:pPr>
      <w:r>
        <w:t>The System of Engagement is where the organization's operational knowledge lives. It is where business processes are codified, where compliance is enforced, and where transactional integrity is maintained. As the front office evolves toward agentic operations, these platforms do not become obsolete. They become the execution substrate that agents act through and the systems of record that agents read from and write to.</w:t>
      </w:r>
    </w:p>
    <w:p w14:paraId="36220284" w14:textId="77777777" w:rsidR="00AB7968" w:rsidRDefault="00EF0D76">
      <w:pPr>
        <w:pStyle w:val="Heading2"/>
      </w:pPr>
      <w:bookmarkStart w:id="31" w:name="_Toc229658911"/>
      <w:r>
        <w:t>The System of Creation: What Is Emerging</w:t>
      </w:r>
      <w:bookmarkEnd w:id="31"/>
    </w:p>
    <w:p w14:paraId="51C754D3" w14:textId="77777777" w:rsidR="00AB7968" w:rsidRDefault="00EF0D76">
      <w:pPr>
        <w:spacing w:before="60" w:after="100" w:line="300" w:lineRule="auto"/>
      </w:pPr>
      <w:r>
        <w:t>The System of Creation is the new architectural layer that sits alongside the System of Engagement. It encompasses the AI infrastructure, agentic orchestration, model management, creative AI toolchains, and agent development environments that enable the commercial engine to generate, reason, and act autonomously.</w:t>
      </w:r>
    </w:p>
    <w:p w14:paraId="670DF871" w14:textId="77777777" w:rsidR="00AB7968" w:rsidRDefault="00EF0D76">
      <w:pPr>
        <w:spacing w:before="60" w:after="100" w:line="300" w:lineRule="auto"/>
      </w:pPr>
      <w:r>
        <w:t xml:space="preserve">In practice, the System of Creation is being assembled from a new category of technology: AI workbenches and collaboration environments like Adobe </w:t>
      </w:r>
      <w:proofErr w:type="spellStart"/>
      <w:r>
        <w:t>GenStudio</w:t>
      </w:r>
      <w:proofErr w:type="spellEnd"/>
      <w:r>
        <w:t xml:space="preserve"> and Google's Gemini-powered workspaces provide the surfaces where marketers and sellers interact with agents; agentic orchestration platforms like Adobe's AEP Agent Orchestrator, Salesforce </w:t>
      </w:r>
      <w:proofErr w:type="spellStart"/>
      <w:r>
        <w:t>Agentforce</w:t>
      </w:r>
      <w:proofErr w:type="spellEnd"/>
      <w:r>
        <w:t xml:space="preserve">, Microsoft Copilot Studio, and Google </w:t>
      </w:r>
      <w:proofErr w:type="spellStart"/>
      <w:r>
        <w:t>Agentspace</w:t>
      </w:r>
      <w:proofErr w:type="spellEnd"/>
      <w:r>
        <w:t xml:space="preserve"> provide the runtime for multi-agent coordination; model hosting infrastructure accessible through </w:t>
      </w:r>
      <w:proofErr w:type="spellStart"/>
      <w:r>
        <w:t>hyperscalers</w:t>
      </w:r>
      <w:proofErr w:type="spellEnd"/>
      <w:r>
        <w:t xml:space="preserve"> (Google Vertex AI, Azure AI Foundry, AWS Bedrock) provides access to multiple foundation models with fine-tuning and training capabilities; c</w:t>
      </w:r>
      <w:r>
        <w:t>reative AI tools like Adobe Firefly, DALL-E, and Runway enable AI-driven image, video, and design generation; and integration layers using emerging protocols (MCP, A2A) connect it all to the System of Engagement.</w:t>
      </w:r>
    </w:p>
    <w:p w14:paraId="1E01066E" w14:textId="77777777" w:rsidR="00AB7968" w:rsidRDefault="00EF0D76">
      <w:pPr>
        <w:spacing w:before="60" w:after="100" w:line="300" w:lineRule="auto"/>
      </w:pPr>
      <w:r>
        <w:t>The System of Creation has a fundamentally different architectural character than the System of Engagement. Where the System of Engagement is process-driven and record-oriented, the System of Creation is goal-driven and generation-oriented. Agents in the System of Creation don't follow pre-configured workflows. They decompose objectives, reason against context, generate outputs, evaluate results, and adapt. The System of Creation is where the Commercial Brain's intelligence becomes operational action.</w:t>
      </w:r>
    </w:p>
    <w:p w14:paraId="28607BB6" w14:textId="77777777" w:rsidR="00AB7968" w:rsidRDefault="00EF0D76">
      <w:pPr>
        <w:spacing w:before="60" w:after="100" w:line="300" w:lineRule="auto"/>
      </w:pPr>
      <w:r>
        <w:rPr>
          <w:b/>
          <w:bCs/>
          <w:color w:val="1A1A18"/>
        </w:rPr>
        <w:t>What is notable about the current landscape is that no single vendor spans both systems completely.</w:t>
      </w:r>
      <w:r>
        <w:t xml:space="preserve"> Adobe has the deepest footprint in the System of Engagement for marketing and experience (AEP, AJO, AEM, Commerce) and is extending aggressively into the System of Creation (</w:t>
      </w:r>
      <w:proofErr w:type="spellStart"/>
      <w:r>
        <w:t>GenStudio</w:t>
      </w:r>
      <w:proofErr w:type="spellEnd"/>
      <w:r>
        <w:t xml:space="preserve">, Firefly, Agent Orchestrator). Salesforce dominates the System of Engagement for sales and service (Sales Cloud, Service Cloud, Data Cloud) and is building its System of Creation through </w:t>
      </w:r>
      <w:proofErr w:type="spellStart"/>
      <w:r>
        <w:t>Agentforce</w:t>
      </w:r>
      <w:proofErr w:type="spellEnd"/>
      <w:r>
        <w:t xml:space="preserve">. Microsoft bridges through Dynamics 365 on the engagement side and Copilot Studio, Azure AI, and Semantic Kernel on the creation </w:t>
      </w:r>
      <w:r>
        <w:t xml:space="preserve">side. Google brings formidable AI infrastructure (Vertex AI, Gemini) and marketing data capabilities (Google Marketing Platform) but has a thinner System of Engagement footprint. This is precisely why the architecture must be designed for multi-vendor composition: the most capable commercial engine will combine Adobe's orchestration and content strengths, Salesforce's sales and service depth, and </w:t>
      </w:r>
      <w:proofErr w:type="spellStart"/>
      <w:r>
        <w:t>hyperscaler</w:t>
      </w:r>
      <w:proofErr w:type="spellEnd"/>
      <w:r>
        <w:t xml:space="preserve"> AI infrastructure from Google, Microsoft, or AWS, coordinated through the AFO's integration layer.</w:t>
      </w:r>
    </w:p>
    <w:p w14:paraId="1876AF1D" w14:textId="77777777" w:rsidR="00AB7968" w:rsidRDefault="00EF0D76">
      <w:pPr>
        <w:pStyle w:val="Heading2"/>
      </w:pPr>
      <w:bookmarkStart w:id="32" w:name="_Toc229658912"/>
      <w:r>
        <w:lastRenderedPageBreak/>
        <w:t>Why Both Systems Are Required</w:t>
      </w:r>
      <w:bookmarkEnd w:id="32"/>
    </w:p>
    <w:p w14:paraId="1C28B5A4" w14:textId="77777777" w:rsidR="00AB7968" w:rsidRDefault="00EF0D76">
      <w:pPr>
        <w:spacing w:before="60" w:after="100" w:line="300" w:lineRule="auto"/>
      </w:pPr>
      <w:r>
        <w:t>The temptation for many enterprises is to treat the agentic transformation as an extension of their existing platform strategy: "We'll add AI capabilities to our CRM" or "Our marketing platform vendor is releasing agent features." This approach is understandable. It is also architecturally insufficient for three reasons.</w:t>
      </w:r>
    </w:p>
    <w:p w14:paraId="60CD20B4" w14:textId="77777777" w:rsidR="00AB7968" w:rsidRDefault="00EF0D76">
      <w:pPr>
        <w:spacing w:before="60" w:after="100" w:line="300" w:lineRule="auto"/>
      </w:pPr>
      <w:r>
        <w:rPr>
          <w:b/>
          <w:bCs/>
          <w:color w:val="1A1A18"/>
        </w:rPr>
        <w:t>First, the System of Engagement was not designed for generative, goal-driven workloads.</w:t>
      </w:r>
      <w:r>
        <w:t xml:space="preserve"> CRM and marketing automation platforms are built around structured data, defined processes, and rule-based logic. They excel at executing workflows against known patterns. Agentic capabilities require a different computational model: reasoning against unstructured knowledge, generating novel outputs, coordinating multiple autonomous actors, and adapting in real time to signals that were not anticipated when the workflow was designed. Bolting these capabilities onto platforms designed for a different comput</w:t>
      </w:r>
      <w:r>
        <w:t xml:space="preserve">ational model creates architectural friction that limits what agents can </w:t>
      </w:r>
      <w:proofErr w:type="gramStart"/>
      <w:r>
        <w:t>actually do</w:t>
      </w:r>
      <w:proofErr w:type="gramEnd"/>
      <w:r>
        <w:t>.</w:t>
      </w:r>
    </w:p>
    <w:p w14:paraId="386C8836" w14:textId="77777777" w:rsidR="00AB7968" w:rsidRDefault="00EF0D76">
      <w:pPr>
        <w:spacing w:before="60" w:after="100" w:line="300" w:lineRule="auto"/>
      </w:pPr>
      <w:r>
        <w:rPr>
          <w:b/>
          <w:bCs/>
          <w:color w:val="1A1A18"/>
        </w:rPr>
        <w:t>Second, no single vendor's platform spans the full architectural surface.</w:t>
      </w:r>
      <w:r>
        <w:t xml:space="preserve"> Consider a realistic enterprise scenario: a financial services firm using Salesforce for CRM and service, Adobe for marketing orchestration and content, Microsoft for data infrastructure and productivity, and evaluating Google's AI infrastructure for model hosting. Each vendor is building agentic capabilities within their platform. Salesforce </w:t>
      </w:r>
      <w:proofErr w:type="spellStart"/>
      <w:r>
        <w:t>Agentforce</w:t>
      </w:r>
      <w:proofErr w:type="spellEnd"/>
      <w:r>
        <w:t xml:space="preserve"> handles sales and service agent workflows. Adobe's Agent Orchestrator manages experience orchestration across marketing touchpoints. Microsoft Copilot Stud</w:t>
      </w:r>
      <w:r>
        <w:t>io powers productivity-layer agents. But no single vendor's agent framework orchestrates the cross-functional workflow where a marketing signal detected in Adobe triggers a sales action in Salesforce, governed by pricing logic in a custom system, with the entire sequence monitored through a unified observability layer. That cross-platform orchestration is the AFO's architectural contribution.</w:t>
      </w:r>
    </w:p>
    <w:p w14:paraId="36B24BE5" w14:textId="77777777" w:rsidR="00AB7968" w:rsidRDefault="00EF0D76">
      <w:pPr>
        <w:spacing w:before="60" w:after="100" w:line="300" w:lineRule="auto"/>
      </w:pPr>
      <w:r>
        <w:rPr>
          <w:b/>
          <w:bCs/>
          <w:color w:val="1A1A18"/>
        </w:rPr>
        <w:t>Third, the integration between the two systems is where the value compounds.</w:t>
      </w:r>
      <w:r>
        <w:t xml:space="preserve"> A content agent powered by Adobe Firefly and </w:t>
      </w:r>
      <w:proofErr w:type="spellStart"/>
      <w:r>
        <w:t>GenStudio</w:t>
      </w:r>
      <w:proofErr w:type="spellEnd"/>
      <w:r>
        <w:t xml:space="preserve"> generates a personalized email variant. That variant must be activated through Adobe Journey Optimizer in the System of Engagement. A service agent running on Salesforce </w:t>
      </w:r>
      <w:proofErr w:type="spellStart"/>
      <w:r>
        <w:t>Agentforce</w:t>
      </w:r>
      <w:proofErr w:type="spellEnd"/>
      <w:r>
        <w:t xml:space="preserve"> detects a churn signal and recommends a retention offer. That offer's pricing must be validated against margin guardrails, and the personalized outreach must be orchestrated through the marketing platform. An orchestration agent determines that a high-intent B2B prospect's p</w:t>
      </w:r>
      <w:r>
        <w:t>rocurement agent should receive a machine-readable quote. That quote must be generated from the commerce and CPQ systems, priced by the revenue management engine, and delivered through API endpoints. Each of these scenarios crosses the boundary between the System of Creation and the System of Engagement multiple times. The value is not in either system independently. It is in the seamless flow between them.</w:t>
      </w:r>
    </w:p>
    <w:p w14:paraId="71166695" w14:textId="77777777" w:rsidR="00AB7968" w:rsidRDefault="00EF0D76">
      <w:pPr>
        <w:pStyle w:val="Heading2"/>
      </w:pPr>
      <w:bookmarkStart w:id="33" w:name="_Toc229658913"/>
      <w:r>
        <w:t>How the Two Systems Map to the AFO Architecture</w:t>
      </w:r>
      <w:bookmarkEnd w:id="33"/>
    </w:p>
    <w:p w14:paraId="036A4C88" w14:textId="77777777" w:rsidR="00AB7968" w:rsidRDefault="00EF0D76">
      <w:pPr>
        <w:spacing w:before="200" w:after="200"/>
        <w:jc w:val="center"/>
      </w:pPr>
      <w:r>
        <w:rPr>
          <w:noProof/>
        </w:rPr>
        <w:lastRenderedPageBreak/>
        <w:drawing>
          <wp:inline distT="0" distB="0" distL="0" distR="0" wp14:anchorId="2C6B51E4" wp14:editId="2C31648E">
            <wp:extent cx="5905500" cy="4429125"/>
            <wp:effectExtent l="0" t="0" r="0" b="0"/>
            <wp:docPr id="1301317690" name="Picture 130131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429125"/>
                    </a:xfrm>
                    <a:prstGeom prst="rect">
                      <a:avLst/>
                    </a:prstGeom>
                  </pic:spPr>
                </pic:pic>
              </a:graphicData>
            </a:graphic>
          </wp:inline>
        </w:drawing>
      </w:r>
    </w:p>
    <w:p w14:paraId="2006AE30" w14:textId="77777777" w:rsidR="00AB7968" w:rsidRDefault="00EF0D76">
      <w:pPr>
        <w:spacing w:before="60" w:after="100" w:line="300" w:lineRule="auto"/>
      </w:pPr>
      <w:r>
        <w:t>The AFO reference architecture (Section 2) implicitly spans both systems. Making the mapping explicit clarifies where existing platform investments serve the architecture and where new capabilities must be built or acquired.</w:t>
      </w:r>
    </w:p>
    <w:p w14:paraId="3B55246E" w14:textId="77777777" w:rsidR="00AB7968" w:rsidRDefault="00EF0D76">
      <w:pPr>
        <w:spacing w:before="60" w:after="100" w:line="300" w:lineRule="auto"/>
      </w:pPr>
      <w:r>
        <w:rPr>
          <w:b/>
          <w:bCs/>
          <w:color w:val="1A1A18"/>
        </w:rPr>
        <w:t>The Experience Layer spans both systems.</w:t>
      </w:r>
      <w:r>
        <w:t xml:space="preserve"> Traditional customer channels (web, email, mobile apps) are rendered by the System of Engagement, typically through CMS platforms like Adobe Experience Manager or commerce storefronts. Conversational and agent-driven interfaces (chat, AI assistants, agent-to-agent endpoints) are rendered by the System of Creation. Employee workspaces increasingly blend both: a seller's console in Salesforce (System of Engagement) might surface AI-powered deal coaching, content generation from </w:t>
      </w:r>
      <w:proofErr w:type="spellStart"/>
      <w:r>
        <w:t>GenStudio</w:t>
      </w:r>
      <w:proofErr w:type="spellEnd"/>
      <w:r>
        <w:t>, and next-best-actio</w:t>
      </w:r>
      <w:r>
        <w:t>n recommendations from the Agent Orchestrator (System of Creation) within the same interface.</w:t>
      </w:r>
    </w:p>
    <w:p w14:paraId="4C636441" w14:textId="77777777" w:rsidR="00AB7968" w:rsidRDefault="00EF0D76">
      <w:pPr>
        <w:spacing w:before="60" w:after="100" w:line="300" w:lineRule="auto"/>
      </w:pPr>
      <w:r>
        <w:rPr>
          <w:b/>
          <w:bCs/>
          <w:color w:val="1A1A18"/>
        </w:rPr>
        <w:t>AEO operates primarily within the System of Creation but activates the System of Engagement.</w:t>
      </w:r>
      <w:r>
        <w:t xml:space="preserve"> Journey orchestration, real-time personalization, and signal-driven activation require the reasoning, coordination, and generative capabilities of the System of Creation. But the actions triggered by AEO (send this email through the marketing platform, update this opportunity in CRM, present this offer in the commerce engine, route this case in the service system) are executed through the System of Engagement's platforms. In an Adobe-anchored implementation, AEP and AJO serve as the bridge: they are System</w:t>
      </w:r>
      <w:r>
        <w:t xml:space="preserve"> of Engagement platforms with real-time decisioning capabilities that extend into System of Creation territory.</w:t>
      </w:r>
    </w:p>
    <w:p w14:paraId="1C09F8B8" w14:textId="77777777" w:rsidR="00AB7968" w:rsidRDefault="00EF0D76">
      <w:pPr>
        <w:spacing w:before="60" w:after="100" w:line="300" w:lineRule="auto"/>
      </w:pPr>
      <w:r>
        <w:rPr>
          <w:b/>
          <w:bCs/>
          <w:color w:val="1A1A18"/>
        </w:rPr>
        <w:lastRenderedPageBreak/>
        <w:t>The Functional Pillars are anchored in the System of Engagement with agentic augmentation from the System of Creation.</w:t>
      </w:r>
      <w:r>
        <w:t xml:space="preserve"> Salesforce remains the system of record for sales and service. Adobe remains the system of record for marketing journeys and experience orchestration. The commerce engine remains the system of record for transactions. But each pillar is augmented by agents operating in the System of Creation: </w:t>
      </w:r>
      <w:proofErr w:type="spellStart"/>
      <w:r>
        <w:t>Agentforce</w:t>
      </w:r>
      <w:proofErr w:type="spellEnd"/>
      <w:r>
        <w:t xml:space="preserve"> agents that coach deal strategy and automate service resolution, Adobe agents that generate and optimize content and orchestrate experiences, custom agents built on </w:t>
      </w:r>
      <w:proofErr w:type="spellStart"/>
      <w:r>
        <w:t>hyperscaler</w:t>
      </w:r>
      <w:proofErr w:type="spellEnd"/>
      <w:r>
        <w:t xml:space="preserve"> infrastructure that enforce p</w:t>
      </w:r>
      <w:r>
        <w:t>ricing guardrails and detect cross-functional signals.</w:t>
      </w:r>
    </w:p>
    <w:p w14:paraId="45975BEC" w14:textId="77777777" w:rsidR="00AB7968" w:rsidRDefault="00EF0D76">
      <w:pPr>
        <w:spacing w:before="60" w:after="100" w:line="300" w:lineRule="auto"/>
      </w:pPr>
      <w:r>
        <w:rPr>
          <w:b/>
          <w:bCs/>
          <w:color w:val="1A1A18"/>
        </w:rPr>
        <w:t>ICO bridges both systems by design.</w:t>
      </w:r>
      <w:r>
        <w:t xml:space="preserve"> Content governance, asset management, and distribution workflows live in the System of Engagement (AEM, AEM Assets, Workfront for production workflows). Content generation, adaptation, localization, and creative AI capabilities live in the System of Creation (</w:t>
      </w:r>
      <w:proofErr w:type="spellStart"/>
      <w:r>
        <w:t>GenStudio</w:t>
      </w:r>
      <w:proofErr w:type="spellEnd"/>
      <w:r>
        <w:t>, Firefly, third-party creative AI tools). ICO's value comes precisely from connecting these two: intelligence-driven generation in the System of Creation, governed production and distribution through the System of Engagement. This is why Ado</w:t>
      </w:r>
      <w:r>
        <w:t>be's platform position is architecturally significant for ICO: the company spans both systems for content operations more completely than any other vendor.</w:t>
      </w:r>
    </w:p>
    <w:p w14:paraId="5AAE4599" w14:textId="77777777" w:rsidR="00AB7968" w:rsidRDefault="00EF0D76">
      <w:pPr>
        <w:spacing w:before="60" w:after="100" w:line="300" w:lineRule="auto"/>
      </w:pPr>
      <w:r>
        <w:rPr>
          <w:b/>
          <w:bCs/>
          <w:color w:val="1A1A18"/>
        </w:rPr>
        <w:t>The Commercial Brain is the core of the System of Creation.</w:t>
      </w:r>
      <w:r>
        <w:t xml:space="preserve"> The Knowledge Engine, Model Hub, Agent Network, GenAI Services, Responsible AI, and Operations &amp; Integration are all System of Creation capabilities. They draw data from the System of Engagement's platforms (customer records from Salesforce, campaign data from Adobe, transaction data from the commerce engine, enterprise data from Microsoft Fabric or Google </w:t>
      </w:r>
      <w:proofErr w:type="spellStart"/>
      <w:r>
        <w:t>BigQuery</w:t>
      </w:r>
      <w:proofErr w:type="spellEnd"/>
      <w:r>
        <w:t>) and feed intelligence back into them.</w:t>
      </w:r>
    </w:p>
    <w:p w14:paraId="6AB0E8C1" w14:textId="77777777" w:rsidR="00AB7968" w:rsidRDefault="00EF0D76">
      <w:pPr>
        <w:spacing w:before="60" w:after="100" w:line="300" w:lineRule="auto"/>
      </w:pPr>
      <w:r>
        <w:rPr>
          <w:b/>
          <w:bCs/>
          <w:color w:val="1A1A18"/>
        </w:rPr>
        <w:t>The Enterprise Data Foundation spans both systems.</w:t>
      </w:r>
      <w:r>
        <w:t xml:space="preserve"> Transactional data and customer records originate in the System of Engagement. Behavioral signals, interaction logs, and agent-generated insights are captured by the System of Creation. Platforms like Adobe Real-Time CDP, Salesforce Data Cloud, Microsoft Fabric, and Google </w:t>
      </w:r>
      <w:proofErr w:type="spellStart"/>
      <w:r>
        <w:t>BigQuery</w:t>
      </w:r>
      <w:proofErr w:type="spellEnd"/>
      <w:r>
        <w:t xml:space="preserve"> each address portions of this foundation. The data architecture must unify across all of them, making the full spectrum of enterprise data available to the Commercial Brain regardless of which system or platform generated it.</w:t>
      </w:r>
    </w:p>
    <w:p w14:paraId="1FDE1CB7" w14:textId="77777777" w:rsidR="00AB7968" w:rsidRDefault="00EF0D76">
      <w:pPr>
        <w:pStyle w:val="Heading2"/>
      </w:pPr>
      <w:bookmarkStart w:id="34" w:name="_Toc229658914"/>
      <w:r>
        <w:t>The Integration Imperative</w:t>
      </w:r>
      <w:bookmarkEnd w:id="34"/>
    </w:p>
    <w:p w14:paraId="270061D6" w14:textId="77777777" w:rsidR="00AB7968" w:rsidRDefault="00EF0D76">
      <w:pPr>
        <w:spacing w:before="60" w:after="100" w:line="300" w:lineRule="auto"/>
      </w:pPr>
      <w:r>
        <w:t>The success of the AFO depends on the quality of integration between the two systems. This integration operates at three levels:</w:t>
      </w:r>
    </w:p>
    <w:p w14:paraId="54B621E9" w14:textId="77777777" w:rsidR="00AB7968" w:rsidRDefault="00EF0D76">
      <w:pPr>
        <w:spacing w:before="60" w:after="100" w:line="300" w:lineRule="auto"/>
      </w:pPr>
      <w:r>
        <w:rPr>
          <w:b/>
          <w:bCs/>
          <w:color w:val="1A1A18"/>
        </w:rPr>
        <w:t>Data integration</w:t>
      </w:r>
      <w:r>
        <w:t xml:space="preserve"> ensures that the System of Creation can access the customer, product, pricing, and brand data that lives in the System of Engagement, and that insights generated by the System of Creation flow back into the System of Engagement's records. This requires real-time data exchange, not batch synchronization. An agent that detects a churn signal needs to act on it now, not after tonight's data sync. In practice, this means event-driven architectures (Kafka, Pulsar, or platform-native event buses) connecting Adob</w:t>
      </w:r>
      <w:r>
        <w:t>e's experience data, Salesforce's CRM data, and enterprise data warehouse signals into a unified stream that the Commercial Brain can reason against in real time.</w:t>
      </w:r>
    </w:p>
    <w:p w14:paraId="6A3FD94F" w14:textId="77777777" w:rsidR="00AB7968" w:rsidRDefault="00EF0D76">
      <w:pPr>
        <w:spacing w:before="60" w:after="100" w:line="300" w:lineRule="auto"/>
      </w:pPr>
      <w:r>
        <w:rPr>
          <w:b/>
          <w:bCs/>
          <w:color w:val="1A1A18"/>
        </w:rPr>
        <w:t>Action integration</w:t>
      </w:r>
      <w:r>
        <w:t xml:space="preserve"> ensures that decisions made by agents in the System of Creation are executed through the appropriate platforms in the System of Engagement. When an orchestration agent </w:t>
      </w:r>
      <w:r>
        <w:lastRenderedPageBreak/>
        <w:t xml:space="preserve">determines that a customer should receive a retention offer, that offer must be created, approved, and delivered through the organization's established commercial systems, not through a parallel agent-only channel. This means agents built in one platform's framework must be able to trigger actions in another: an </w:t>
      </w:r>
      <w:proofErr w:type="spellStart"/>
      <w:r>
        <w:t>Agentforce</w:t>
      </w:r>
      <w:proofErr w:type="spellEnd"/>
      <w:r>
        <w:t xml:space="preserve"> agent triggering a</w:t>
      </w:r>
      <w:r>
        <w:t xml:space="preserve"> journey in AJO, an Adobe agent updating an opportunity in Salesforce, a custom agent executing a price change in the commerce system. The emerging agent-to-agent protocols (MCP for tool invocation, A2A for multi-agent coordination) are designed to standardize these cross-platform actions.</w:t>
      </w:r>
    </w:p>
    <w:p w14:paraId="2E809A98" w14:textId="77777777" w:rsidR="00AB7968" w:rsidRDefault="00EF0D76">
      <w:pPr>
        <w:spacing w:before="60" w:after="100" w:line="300" w:lineRule="auto"/>
      </w:pPr>
      <w:r>
        <w:rPr>
          <w:b/>
          <w:bCs/>
          <w:color w:val="1A1A18"/>
        </w:rPr>
        <w:t>Context integration</w:t>
      </w:r>
      <w:r>
        <w:t xml:space="preserve"> ensures that the full history of a customer's interactions, across both systems, is available to every agent and every human </w:t>
      </w:r>
      <w:proofErr w:type="gramStart"/>
      <w:r>
        <w:t>at the moment</w:t>
      </w:r>
      <w:proofErr w:type="gramEnd"/>
      <w:r>
        <w:t xml:space="preserve"> of decision. A seller in Salesforce should see the AI-generated content a customer engaged with in Adobe. A service agent should know what the orchestration layer recommended. A pricing agent should understand the full negotiation history across CRM and commerce. Context must flow bidirectionally between the systems, and the protocol landscape is consolidating to suppor</w:t>
      </w:r>
      <w:r>
        <w:t>t this: MCP has the broadest adoption for tool integration, and A2A (now under Linux Foundation governance with backing from over 100 companies) is emerging as the standard for multi-agent coordination. The AFO architecture is designed with protocol abstraction so that the organization can adopt whichever protocols achieve market dominance without rearchitecting the integration layer.</w:t>
      </w:r>
    </w:p>
    <w:p w14:paraId="16B78C78" w14:textId="77777777" w:rsidR="00AB7968" w:rsidRDefault="00EF0D76">
      <w:pPr>
        <w:pStyle w:val="Heading2"/>
      </w:pPr>
      <w:bookmarkStart w:id="35" w:name="_Toc229658915"/>
      <w:r>
        <w:t>Implications for Enterprise Technology Strategy</w:t>
      </w:r>
      <w:bookmarkEnd w:id="35"/>
    </w:p>
    <w:p w14:paraId="1A948381" w14:textId="77777777" w:rsidR="00AB7968" w:rsidRDefault="00EF0D76">
      <w:pPr>
        <w:spacing w:before="60" w:after="100" w:line="300" w:lineRule="auto"/>
      </w:pPr>
      <w:r>
        <w:t>The emergence of the System of Creation alongside the System of Engagement has three strategic implications that technology leaders must address:</w:t>
      </w:r>
    </w:p>
    <w:p w14:paraId="4E85B046" w14:textId="77777777" w:rsidR="00AB7968" w:rsidRDefault="00EF0D76">
      <w:pPr>
        <w:spacing w:before="60" w:after="100" w:line="300" w:lineRule="auto"/>
      </w:pPr>
      <w:r>
        <w:rPr>
          <w:b/>
          <w:bCs/>
          <w:color w:val="1A1A18"/>
        </w:rPr>
        <w:t>Budget allocation must account for both systems.</w:t>
      </w:r>
      <w:r>
        <w:t xml:space="preserve"> Historically, front-office technology budgets have been allocated to the System of Engagement: CRM licenses, marketing platform subscriptions, commerce infrastructure. The System of Creation requires investment in AI infrastructure, model access, agent development, knowledge management, and creative AI tooling. Organizations that fund the System of Creation from the System of Engagement's budget will underinvest in both. The System of Creation requires its own investment thesis, ideally structured so that </w:t>
      </w:r>
      <w:r>
        <w:t>early deployments generate measurable value that funds subsequent phases.</w:t>
      </w:r>
    </w:p>
    <w:p w14:paraId="79C8410C" w14:textId="77777777" w:rsidR="00AB7968" w:rsidRDefault="00EF0D76">
      <w:pPr>
        <w:spacing w:before="60" w:after="100" w:line="300" w:lineRule="auto"/>
      </w:pPr>
      <w:r>
        <w:rPr>
          <w:b/>
          <w:bCs/>
          <w:color w:val="1A1A18"/>
        </w:rPr>
        <w:t>Vendor strategy must evolve from platform selection to ecosystem composition.</w:t>
      </w:r>
      <w:r>
        <w:t xml:space="preserve"> The question is no longer "which CRM should we use?" It is "how do we compose a commercial technology ecosystem where the System of Engagement and the System of Creation work together seamlessly?" This requires evaluating vendors not just on their platform capabilities but on their integration posture: how well does Adobe expose its experience data and journey actions to agents operating in Salesforce or on </w:t>
      </w:r>
      <w:proofErr w:type="spellStart"/>
      <w:r>
        <w:t>hyperscaler</w:t>
      </w:r>
      <w:proofErr w:type="spellEnd"/>
      <w:r>
        <w:t xml:space="preserve"> infrastructure? How well does Salesforce consume intelligence generated by Adobe's orche</w:t>
      </w:r>
      <w:r>
        <w:t>stration layer? How effectively can Google's or Microsoft's AI infrastructure serve as the model backbone for agents that act through both platforms? Vendors that enable bidirectional integration will become more valuable. Vendors that wall off their data or resist agent integration will become architectural constraints.</w:t>
      </w:r>
    </w:p>
    <w:p w14:paraId="12745E7A" w14:textId="77777777" w:rsidR="00AB7968" w:rsidRDefault="00EF0D76">
      <w:pPr>
        <w:spacing w:before="60" w:after="100" w:line="300" w:lineRule="auto"/>
      </w:pPr>
      <w:r>
        <w:rPr>
          <w:b/>
          <w:bCs/>
          <w:color w:val="1A1A18"/>
        </w:rPr>
        <w:t>Architecture governance must span both systems.</w:t>
      </w:r>
      <w:r>
        <w:t xml:space="preserve"> The System of Engagement typically has mature governance: change management, release processes, data stewardship, compliance controls. The System of Creation is new enough that governance practices are still being </w:t>
      </w:r>
      <w:r>
        <w:lastRenderedPageBreak/>
        <w:t>established. The AFO's Governance &amp; Trust spine must extend across both systems, ensuring that agents operating in the System of Creation are governed with the same rigor as processes operating in the System of Engagement, while recognizing that the governance mechanisms may be different (autonom</w:t>
      </w:r>
      <w:r>
        <w:t>y tiers and decision audit trails rather than change management workflows and release approvals).</w:t>
      </w:r>
    </w:p>
    <w:p w14:paraId="15591E34" w14:textId="77777777" w:rsidR="00AB7968" w:rsidRDefault="00EF0D76">
      <w:r>
        <w:br w:type="page"/>
      </w:r>
    </w:p>
    <w:p w14:paraId="16E866FE" w14:textId="77777777" w:rsidR="00AB7968" w:rsidRDefault="00EF0D76">
      <w:pPr>
        <w:pStyle w:val="Heading1"/>
      </w:pPr>
      <w:bookmarkStart w:id="36" w:name="_Toc229658916"/>
      <w:r>
        <w:lastRenderedPageBreak/>
        <w:t>Section 5: The Enterprise Data Architecture</w:t>
      </w:r>
      <w:bookmarkEnd w:id="36"/>
    </w:p>
    <w:p w14:paraId="6CC3D74B" w14:textId="77777777" w:rsidR="00AB7968" w:rsidRDefault="00EF0D76">
      <w:pPr>
        <w:pStyle w:val="Heading2"/>
      </w:pPr>
      <w:bookmarkStart w:id="37" w:name="_Toc229658917"/>
      <w:r>
        <w:t>The Business Question This Section Answers</w:t>
      </w:r>
      <w:bookmarkEnd w:id="37"/>
    </w:p>
    <w:p w14:paraId="30273ADA" w14:textId="77777777" w:rsidR="00AB7968" w:rsidRDefault="00EF0D76">
      <w:pPr>
        <w:spacing w:before="60" w:after="100" w:line="300" w:lineRule="auto"/>
      </w:pPr>
      <w:r>
        <w:t xml:space="preserve">What data does the commercial engine </w:t>
      </w:r>
      <w:proofErr w:type="gramStart"/>
      <w:r>
        <w:t>actually need</w:t>
      </w:r>
      <w:proofErr w:type="gramEnd"/>
      <w:r>
        <w:t>, how should it be organized, and how do we avoid the data readiness trap that stalls most AI transformation programs?</w:t>
      </w:r>
    </w:p>
    <w:p w14:paraId="6C099888" w14:textId="77777777" w:rsidR="00AB7968" w:rsidRDefault="00EF0D76">
      <w:pPr>
        <w:pStyle w:val="Heading2"/>
      </w:pPr>
      <w:bookmarkStart w:id="38" w:name="_Toc229658918"/>
      <w:r>
        <w:t>The Data Readiness Paradox</w:t>
      </w:r>
      <w:bookmarkEnd w:id="38"/>
    </w:p>
    <w:p w14:paraId="472D835B" w14:textId="77777777" w:rsidR="00AB7968" w:rsidRDefault="00EF0D76">
      <w:pPr>
        <w:spacing w:before="60" w:after="100" w:line="300" w:lineRule="auto"/>
      </w:pPr>
      <w:r>
        <w:t>Data readiness is the most common reason commercial AI programs stall, but not in the way most organizations frame it. The conventional approach treats data transformation as a prerequisite: clean the data, unify the customer identity, build the data lake, and then deploy AI on top of it. This sequence is logical and catastrophically slow.</w:t>
      </w:r>
    </w:p>
    <w:p w14:paraId="38150DC1" w14:textId="77777777" w:rsidR="00AB7968" w:rsidRDefault="00EF0D76">
      <w:pPr>
        <w:spacing w:before="60" w:after="100" w:line="300" w:lineRule="auto"/>
      </w:pPr>
      <w:r>
        <w:t xml:space="preserve">The paradox is that the organizations with the most ambitious data programs are often the ones that take longest to deploy their first agent. They pursue comprehensive data transformation before any agentic capability reaches production, spending 12-18 months and significant capital before the first use case delivers value. Meanwhile, organizations that scope data readiness to the specific requirements of their first micro-journeys deploy faster, capture value sooner, and use that value to fund progressive </w:t>
      </w:r>
      <w:r>
        <w:t>data enrichment.</w:t>
      </w:r>
    </w:p>
    <w:p w14:paraId="1ABD7AD5" w14:textId="77777777" w:rsidR="00AB7968" w:rsidRDefault="00EF0D76">
      <w:pPr>
        <w:spacing w:before="60" w:after="100" w:line="300" w:lineRule="auto"/>
      </w:pPr>
      <w:r>
        <w:t>This section provides the data architecture that resolves this paradox. It defines the full data landscape the commercial engine ultimately requires while making clear which data is needed for first-wave deployment and which can be built progressively as the engine matures.</w:t>
      </w:r>
    </w:p>
    <w:p w14:paraId="721E0F6C" w14:textId="77777777" w:rsidR="00AB7968" w:rsidRDefault="00EF0D76">
      <w:pPr>
        <w:pStyle w:val="Heading2"/>
      </w:pPr>
      <w:bookmarkStart w:id="39" w:name="_Toc229658919"/>
      <w:r>
        <w:t>Four Categories of Enterprise Data</w:t>
      </w:r>
      <w:bookmarkEnd w:id="39"/>
    </w:p>
    <w:p w14:paraId="06429E78" w14:textId="77777777" w:rsidR="00AB7968" w:rsidRDefault="00EF0D76">
      <w:pPr>
        <w:spacing w:before="60" w:after="100" w:line="300" w:lineRule="auto"/>
      </w:pPr>
      <w:r>
        <w:t>The Enterprise Data Foundation is organized into four categories. Each category contains both structured data (quantitative, schema-defined, stored in databases and warehouses) and unstructured data (qualitative, freeform, stored in documents, recordings, and signals). The distinction matters because agentic systems consume both: structured data for precision (the customer's contract terms, the product's pricing tier, the campaign's target segment) and unstructured data for context (the customer's sentiment</w:t>
      </w:r>
      <w:r>
        <w:t xml:space="preserve"> in their last service call, the brand's tone of voice guidelines, the competitive landscape from analyst reports).</w:t>
      </w:r>
    </w:p>
    <w:p w14:paraId="44C61B37" w14:textId="77777777" w:rsidR="00AB7968" w:rsidRDefault="00EF0D76">
      <w:pPr>
        <w:pStyle w:val="Heading3"/>
      </w:pPr>
      <w:bookmarkStart w:id="40" w:name="_Toc229658920"/>
      <w:r>
        <w:t>Customer Data</w:t>
      </w:r>
      <w:bookmarkEnd w:id="40"/>
    </w:p>
    <w:p w14:paraId="7F0EDA9A" w14:textId="77777777" w:rsidR="00AB7968" w:rsidRDefault="00EF0D76">
      <w:pPr>
        <w:spacing w:before="60" w:after="100" w:line="300" w:lineRule="auto"/>
      </w:pPr>
      <w:r>
        <w:t>Customer data is the most operationally critical category. It is what enables agents to personalize, predict, and act on behalf of individual customers rather than treating every interaction generically.</w:t>
      </w:r>
    </w:p>
    <w:p w14:paraId="77E54D0A" w14:textId="77777777" w:rsidR="00AB7968" w:rsidRDefault="00EF0D76">
      <w:pPr>
        <w:spacing w:before="60" w:after="100" w:line="300" w:lineRule="auto"/>
      </w:pPr>
      <w:r>
        <w:rPr>
          <w:b/>
          <w:bCs/>
          <w:color w:val="1A1A18"/>
        </w:rPr>
        <w:t>Structured customer data</w:t>
      </w:r>
      <w:r>
        <w:t xml:space="preserve"> includes demographic and identity attributes (name, account, contact information, organizational hierarchy) used to resolve customer identity and personalize interactions. Transactional records capturing purchases, subscriptions, returns, claims, and payment history. Behavioral segments derived from purchase patterns, engagement frequency, loyalty scores, and lifecycle stage. Interaction metadata including channel, timestamp, resolution status, and disposition codes from service, sales, and marketing touch</w:t>
      </w:r>
      <w:r>
        <w:t>points.</w:t>
      </w:r>
    </w:p>
    <w:p w14:paraId="32C965A8" w14:textId="77777777" w:rsidR="00AB7968" w:rsidRDefault="00EF0D76">
      <w:pPr>
        <w:spacing w:before="60" w:after="100" w:line="300" w:lineRule="auto"/>
      </w:pPr>
      <w:r>
        <w:rPr>
          <w:b/>
          <w:bCs/>
          <w:color w:val="1A1A18"/>
        </w:rPr>
        <w:lastRenderedPageBreak/>
        <w:t>Unstructured customer data</w:t>
      </w:r>
      <w:r>
        <w:t xml:space="preserve"> includes conversation logs from email threads, chat transcripts, call center recordings, and voice notes that reveal sentiment, intent, and unspoken needs. Social signals from posts, comments, hashtags, and influencer mentions that provide real-time market sentiment and brand perception. Voice of the customer data from surveys, reviews, NPS verbatims, and open-text feedback. IoT and device telemetry from connected products, usage patterns, and environmental data that signal product performance and customer</w:t>
      </w:r>
      <w:r>
        <w:t xml:space="preserve"> behavior in context.</w:t>
      </w:r>
    </w:p>
    <w:p w14:paraId="734D9C98" w14:textId="77777777" w:rsidR="00AB7968" w:rsidRDefault="00EF0D76">
      <w:pPr>
        <w:spacing w:before="60" w:after="100" w:line="300" w:lineRule="auto"/>
      </w:pPr>
      <w:r>
        <w:rPr>
          <w:b/>
          <w:bCs/>
          <w:color w:val="1A1A18"/>
        </w:rPr>
        <w:t>Why it matters for the AFO:</w:t>
      </w:r>
      <w:r>
        <w:t xml:space="preserve"> Customer data is the foundation of the Commercial Brain's Knowledge Engine. Without resolved customer identity, agents cannot maintain continuity across channels. Without behavioral signals, agents cannot predict intent. Without interaction history, agents cannot personalize. Five binary data readiness questions serve as diagnostic entry points: Can you resolve a single customer across functions? Do you have structured interaction records? Can you connect content performance to commercial outcomes? Do you </w:t>
      </w:r>
      <w:r>
        <w:t>have the consent framework to govern agent data access? Can you identify where the data gaps will block the first deployment?</w:t>
      </w:r>
    </w:p>
    <w:p w14:paraId="037D66C3" w14:textId="77777777" w:rsidR="00AB7968" w:rsidRDefault="00EF0D76">
      <w:pPr>
        <w:spacing w:before="60" w:after="100" w:line="300" w:lineRule="auto"/>
      </w:pPr>
      <w:r>
        <w:rPr>
          <w:b/>
          <w:bCs/>
          <w:color w:val="1A1A18"/>
        </w:rPr>
        <w:t>Platform context:</w:t>
      </w:r>
      <w:r>
        <w:t xml:space="preserve"> Customer data typically originates in CRM systems (Salesforce, Microsoft Dynamics), is unified in customer data platforms (Adobe Real-Time CDP, Salesforce Data Cloud, custom composable CDPs), and is enriched through analytics infrastructure (Google </w:t>
      </w:r>
      <w:proofErr w:type="spellStart"/>
      <w:r>
        <w:t>BigQuery</w:t>
      </w:r>
      <w:proofErr w:type="spellEnd"/>
      <w:r>
        <w:t>, Microsoft Fabric, Snowflake, Databricks). The architectural requirement is not to consolidate all customer data into a single platform but to ensure that the Commercial Brain can access a unified customer state in real time regardless of which system h</w:t>
      </w:r>
      <w:r>
        <w:t>olds the source record.</w:t>
      </w:r>
    </w:p>
    <w:p w14:paraId="7CDBFDC2" w14:textId="77777777" w:rsidR="00AB7968" w:rsidRDefault="00EF0D76">
      <w:pPr>
        <w:pStyle w:val="Heading3"/>
      </w:pPr>
      <w:bookmarkStart w:id="41" w:name="_Toc229658921"/>
      <w:r>
        <w:t>Brand and Marketing Data</w:t>
      </w:r>
      <w:bookmarkEnd w:id="41"/>
    </w:p>
    <w:p w14:paraId="1EA30127" w14:textId="77777777" w:rsidR="00AB7968" w:rsidRDefault="00EF0D76">
      <w:pPr>
        <w:spacing w:before="60" w:after="100" w:line="300" w:lineRule="auto"/>
      </w:pPr>
      <w:r>
        <w:t>Brand and marketing data is what enables agents to act on behalf of the brand with consistency, creativity, and compliance. Without it, agents produce generic outputs that sound like AI rather than like the organization.</w:t>
      </w:r>
    </w:p>
    <w:p w14:paraId="6E6FEA71" w14:textId="77777777" w:rsidR="00AB7968" w:rsidRDefault="00EF0D76">
      <w:pPr>
        <w:spacing w:before="60" w:after="100" w:line="300" w:lineRule="auto"/>
      </w:pPr>
      <w:r>
        <w:rPr>
          <w:b/>
          <w:bCs/>
          <w:color w:val="1A1A18"/>
        </w:rPr>
        <w:t>Structured brand and marketing data</w:t>
      </w:r>
      <w:r>
        <w:t xml:space="preserve"> includes brand guidelines codifying tone of voice, visual identity codes, approved messaging principles, and editorial standards that ensure agent outputs stay </w:t>
      </w:r>
      <w:proofErr w:type="gramStart"/>
      <w:r>
        <w:t>on-brand</w:t>
      </w:r>
      <w:proofErr w:type="gramEnd"/>
      <w:r>
        <w:t>. Campaign metadata including launch dates, target segments, channel mix, budget allocations, and performance metrics that inform future planning. Compliance rules encompassing legal disclaimers, regional restrictions, industry-specific advertising regulations, and approval workflows that agents must adhere to. Performance metrics tracking C</w:t>
      </w:r>
      <w:r>
        <w:t>TR, conversion rates, reach, frequency, ROI, and attribution data that enable continuous optimization.</w:t>
      </w:r>
    </w:p>
    <w:p w14:paraId="5681D082" w14:textId="77777777" w:rsidR="00AB7968" w:rsidRDefault="00EF0D76">
      <w:pPr>
        <w:spacing w:before="60" w:after="100" w:line="300" w:lineRule="auto"/>
      </w:pPr>
      <w:r>
        <w:rPr>
          <w:b/>
          <w:bCs/>
          <w:color w:val="1A1A18"/>
        </w:rPr>
        <w:t>Unstructured brand and marketing data</w:t>
      </w:r>
      <w:r>
        <w:t xml:space="preserve"> includes creative assets such as briefs, storyboards, video scripts, design mockups, and photography that </w:t>
      </w:r>
      <w:proofErr w:type="gramStart"/>
      <w:r>
        <w:t>agents</w:t>
      </w:r>
      <w:proofErr w:type="gramEnd"/>
      <w:r>
        <w:t xml:space="preserve"> reference or adapt when generating new content. Campaign narratives and strategic documents that capture the reasoning behind campaign decisions, competitive positioning, and brand evolution. Team collaboration artifacts including email threads, chat transcripts, voice notes, and campaign retrospectives that contain institutional knowledge not captured in formal documentation. Real-time inputs f</w:t>
      </w:r>
      <w:r>
        <w:t>rom live campaign performance commentary, field reports, and agent notes that capture emerging insights.</w:t>
      </w:r>
    </w:p>
    <w:p w14:paraId="4D28F4CD" w14:textId="77777777" w:rsidR="00AB7968" w:rsidRDefault="00EF0D76">
      <w:pPr>
        <w:spacing w:before="60" w:after="100" w:line="300" w:lineRule="auto"/>
      </w:pPr>
      <w:r>
        <w:rPr>
          <w:b/>
          <w:bCs/>
          <w:color w:val="1A1A18"/>
        </w:rPr>
        <w:t>Why it matters for the AFO:</w:t>
      </w:r>
      <w:r>
        <w:t xml:space="preserve"> Brand and marketing data is the primary input to the ICO layer. Content agents that generate customer-facing copy, creative agents that adapt visual assets, and localization agents that version content for regional markets all depend on brand data to produce </w:t>
      </w:r>
      <w:r>
        <w:lastRenderedPageBreak/>
        <w:t xml:space="preserve">outputs that are recognizably, consistently, and compliantly the organization's own. This category is also where the Regulated Content Orchestrator capability becomes critical in regulated industries: agents generating content in healthcare, financial </w:t>
      </w:r>
      <w:r>
        <w:t>services, or insurance must reference compliance rules at inference time, not as a post-production review.</w:t>
      </w:r>
    </w:p>
    <w:p w14:paraId="374433B1" w14:textId="77777777" w:rsidR="00AB7968" w:rsidRDefault="00EF0D76">
      <w:pPr>
        <w:spacing w:before="60" w:after="100" w:line="300" w:lineRule="auto"/>
      </w:pPr>
      <w:r>
        <w:rPr>
          <w:b/>
          <w:bCs/>
          <w:color w:val="1A1A18"/>
        </w:rPr>
        <w:t>Platform context:</w:t>
      </w:r>
      <w:r>
        <w:t xml:space="preserve"> Brand and marketing data lives across content management systems (Adobe Experience Manager), digital asset management platforms (AEM Assets), workflow and project management tools (Adobe Workfront), and campaign management platforms (AJO, Marketo, Salesforce Marketing Cloud). Creative assets increasingly also reside in AI-native creation tools (Adobe </w:t>
      </w:r>
      <w:proofErr w:type="spellStart"/>
      <w:r>
        <w:t>GenStudio</w:t>
      </w:r>
      <w:proofErr w:type="spellEnd"/>
      <w:r>
        <w:t>, Creative Cloud). The architectural challenge is that brand knowledge is often fragmented across these systems and frequently exists as tribal knowl</w:t>
      </w:r>
      <w:r>
        <w:t>edge in the heads of experienced marketers rather than as machine-readable data. One of ICO's first-wave deliverables is typically the encoding of brand knowledge into structured, retrievable form that agents can reference.</w:t>
      </w:r>
    </w:p>
    <w:p w14:paraId="4E7FD143" w14:textId="77777777" w:rsidR="00AB7968" w:rsidRDefault="00EF0D76">
      <w:pPr>
        <w:pStyle w:val="Heading3"/>
      </w:pPr>
      <w:bookmarkStart w:id="42" w:name="_Toc229658922"/>
      <w:r>
        <w:t>Market and Product Data</w:t>
      </w:r>
      <w:bookmarkEnd w:id="42"/>
    </w:p>
    <w:p w14:paraId="188BC784" w14:textId="77777777" w:rsidR="00AB7968" w:rsidRDefault="00EF0D76">
      <w:pPr>
        <w:spacing w:before="60" w:after="100" w:line="300" w:lineRule="auto"/>
      </w:pPr>
      <w:r>
        <w:t>Market and product data is what enables agents to make commercially intelligent decisions rather than operating in a vacuum of internal data.</w:t>
      </w:r>
    </w:p>
    <w:p w14:paraId="4571D411" w14:textId="77777777" w:rsidR="00AB7968" w:rsidRDefault="00EF0D76">
      <w:pPr>
        <w:spacing w:before="60" w:after="100" w:line="300" w:lineRule="auto"/>
      </w:pPr>
      <w:r>
        <w:rPr>
          <w:b/>
          <w:bCs/>
          <w:color w:val="1A1A18"/>
        </w:rPr>
        <w:t>Structured market and product data</w:t>
      </w:r>
      <w:r>
        <w:t xml:space="preserve"> includes product catalogs encompassing SKUs, specifications, features, pricing tiers, availability, and inventory data that commerce and sales </w:t>
      </w:r>
      <w:proofErr w:type="gramStart"/>
      <w:r>
        <w:t>agents</w:t>
      </w:r>
      <w:proofErr w:type="gramEnd"/>
      <w:r>
        <w:t xml:space="preserve"> reference when engaging buyers. Pricing structures including list prices, discount schedules, contract terms, promotional calendars, and margin thresholds that pricing agents enforce in real time. Competitive intelligence covering product comparisons, feature benchmarks, market share data, and pricing intelligence that sales and marketing agents use to positi</w:t>
      </w:r>
      <w:r>
        <w:t>on against alternatives. Regulatory data including compliance standards, privacy laws, advertising restrictions, and industry-specific requirements that govern how agents operate in regulated markets.</w:t>
      </w:r>
    </w:p>
    <w:p w14:paraId="3AE16419" w14:textId="77777777" w:rsidR="00AB7968" w:rsidRDefault="00EF0D76">
      <w:pPr>
        <w:spacing w:before="60" w:after="100" w:line="300" w:lineRule="auto"/>
      </w:pPr>
      <w:r>
        <w:rPr>
          <w:b/>
          <w:bCs/>
          <w:color w:val="1A1A18"/>
        </w:rPr>
        <w:t>Unstructured market and product data</w:t>
      </w:r>
      <w:r>
        <w:t xml:space="preserve"> includes analyst reports, press releases, and opinion pieces that keep agents contextually aware of market shifts, competitive moves, and industry trends. Customer-generated content including public reviews, forum discussions, and community feedback that reveal product perception and unmet needs. Event signals from conference insights, webinar transcripts, and product launch reactions that capture emerging market dynamics.</w:t>
      </w:r>
    </w:p>
    <w:p w14:paraId="73C9D757" w14:textId="77777777" w:rsidR="00AB7968" w:rsidRDefault="00EF0D76">
      <w:pPr>
        <w:spacing w:before="60" w:after="100" w:line="300" w:lineRule="auto"/>
      </w:pPr>
      <w:r>
        <w:rPr>
          <w:b/>
          <w:bCs/>
          <w:color w:val="1A1A18"/>
        </w:rPr>
        <w:t>Why it matters for the AFO:</w:t>
      </w:r>
      <w:r>
        <w:t xml:space="preserve"> Market and product data is where the Commercial Brain's reasoning becomes commercially grounded. A pricing agent that enforces margin guardrails needs access to discount schedules and contract terms. A commerce agent serving a buyer's procurement AI needs machine-readable product catalog data. A sales agent preparing a competitive positioning brief needs access to competitive intelligence. A marketing agent optimizing for Generative Engine Optimization needs product content structured for AI-mediated disco</w:t>
      </w:r>
      <w:r>
        <w:t>very. Without this category, agents operate with commercial blind spots.</w:t>
      </w:r>
    </w:p>
    <w:p w14:paraId="215710A7" w14:textId="77777777" w:rsidR="00AB7968" w:rsidRDefault="00EF0D76">
      <w:pPr>
        <w:spacing w:before="60" w:after="100" w:line="300" w:lineRule="auto"/>
      </w:pPr>
      <w:r>
        <w:rPr>
          <w:b/>
          <w:bCs/>
          <w:color w:val="1A1A18"/>
        </w:rPr>
        <w:t>Platform context:</w:t>
      </w:r>
      <w:r>
        <w:t xml:space="preserve"> Product data typically lives in PIM systems, ERP platforms, and commerce engines. Pricing data may reside in CPQ tools, revenue management platforms, or custom pricing engines. Competitive intelligence is often sourced from third-party providers and analyst subscriptions. The architectural requirement is that this data is API-accessible and machine-</w:t>
      </w:r>
      <w:r>
        <w:lastRenderedPageBreak/>
        <w:t xml:space="preserve">readable so that agents can query it </w:t>
      </w:r>
      <w:proofErr w:type="gramStart"/>
      <w:r>
        <w:t>at the moment</w:t>
      </w:r>
      <w:proofErr w:type="gramEnd"/>
      <w:r>
        <w:t xml:space="preserve"> of decision. For agent-to-agent commerce (where a buyer's AI agent queries a seller's catalog programmaticall</w:t>
      </w:r>
      <w:r>
        <w:t>y), product and pricing data must be structured for machine consumption, not just human browsing.</w:t>
      </w:r>
    </w:p>
    <w:p w14:paraId="2426ADA9" w14:textId="77777777" w:rsidR="00AB7968" w:rsidRDefault="00EF0D76">
      <w:pPr>
        <w:pStyle w:val="Heading3"/>
      </w:pPr>
      <w:bookmarkStart w:id="43" w:name="_Toc229658923"/>
      <w:r>
        <w:t>Synthetic Data</w:t>
      </w:r>
      <w:bookmarkEnd w:id="43"/>
    </w:p>
    <w:p w14:paraId="7AE101CF" w14:textId="77777777" w:rsidR="00AB7968" w:rsidRDefault="00EF0D76">
      <w:pPr>
        <w:spacing w:before="60" w:after="100" w:line="300" w:lineRule="auto"/>
      </w:pPr>
      <w:r>
        <w:t>Synthetic data is the newest and least understood category, but it is becoming architecturally essential as agentic systems mature.</w:t>
      </w:r>
    </w:p>
    <w:p w14:paraId="250F651A" w14:textId="77777777" w:rsidR="00AB7968" w:rsidRDefault="00EF0D76">
      <w:pPr>
        <w:spacing w:before="60" w:after="100" w:line="300" w:lineRule="auto"/>
      </w:pPr>
      <w:r>
        <w:rPr>
          <w:b/>
          <w:bCs/>
          <w:color w:val="1A1A18"/>
        </w:rPr>
        <w:t>What synthetic data includes:</w:t>
      </w:r>
      <w:r>
        <w:t xml:space="preserve"> Simulated customer journeys that model how different personas would navigate the commercial engine under different conditions, used to test agent behaviors before production deployment. Synthetic personas created through AI modeling that represent buyer archetypes, used for campaign prototyping and experience testing without requiring real customer data. Scenario narratives that stress-test agentic workflows against edge cases, high-stakes situations, and regulatory boundary conditions. Messaging variants </w:t>
      </w:r>
      <w:r>
        <w:t>including synthetic reviews, social posts, and content variations used for tone, style, and virality testing. Modeled conversion funnels and attribution paths used for performance optimization and ROI forecasting.</w:t>
      </w:r>
    </w:p>
    <w:p w14:paraId="5AA65682" w14:textId="77777777" w:rsidR="00AB7968" w:rsidRDefault="00EF0D76">
      <w:pPr>
        <w:spacing w:before="60" w:after="100" w:line="300" w:lineRule="auto"/>
      </w:pPr>
      <w:r>
        <w:rPr>
          <w:b/>
          <w:bCs/>
          <w:color w:val="1A1A18"/>
        </w:rPr>
        <w:t>Why it matters for the AFO:</w:t>
      </w:r>
      <w:r>
        <w:t xml:space="preserve"> Synthetic data serves three purposes that real data cannot. First, privacy and compliance enablement: in regulated industries, using real customer data to train and test agents creates privacy risk and regulatory exposure. Synthetic data that preserves statistical properties without containing PII enables development and testing in privacy-preserving environments, including cross-border scenarios where data residency requirements constrain the use of real data. Second, scale and coverage: real customer dat</w:t>
      </w:r>
      <w:r>
        <w:t>a reflects what has happened. Synthetic data can model what might happen, including scenarios the organization has never encountered (a sudden demand spike, a competitor price war, a regulatory change). Training agents against synthetic scenarios produces more resilient systems. Third, speed: generating synthetic test data is faster than cleaning, anonymizing, and preparing real data for development use. This directly accelerates the deployment timeline for new micro-journeys.</w:t>
      </w:r>
    </w:p>
    <w:p w14:paraId="3A519EAE" w14:textId="77777777" w:rsidR="00AB7968" w:rsidRDefault="00EF0D76">
      <w:pPr>
        <w:spacing w:before="60" w:after="100" w:line="300" w:lineRule="auto"/>
      </w:pPr>
      <w:r>
        <w:rPr>
          <w:b/>
          <w:bCs/>
          <w:color w:val="1A1A18"/>
        </w:rPr>
        <w:t>Platform context:</w:t>
      </w:r>
      <w:r>
        <w:t xml:space="preserve"> Synthetic data generation is an emerging capability offered by specialized providers, built into some enterprise AI platforms, and increasingly available through foundation model APIs (where models generate realistic but fictional data on demand). The architectural consideration is that synthetic data must be governed with the same rigor as real data: labeled as synthetic, versioned, validated against statistical benchmarks, and excluded from production reporting. A synthetic customer journey used for agen</w:t>
      </w:r>
      <w:r>
        <w:t>t testing must never be confused with a real customer interaction.</w:t>
      </w:r>
    </w:p>
    <w:p w14:paraId="684150CD" w14:textId="77777777" w:rsidR="00AB7968" w:rsidRDefault="00EF0D76">
      <w:pPr>
        <w:pStyle w:val="Heading2"/>
      </w:pPr>
      <w:bookmarkStart w:id="44" w:name="_Toc229658924"/>
      <w:r>
        <w:t>The Data Readiness Framework: Scoped, Not Comprehensive</w:t>
      </w:r>
      <w:bookmarkEnd w:id="44"/>
    </w:p>
    <w:p w14:paraId="2CC5AF47" w14:textId="77777777" w:rsidR="00AB7968" w:rsidRDefault="00EF0D76">
      <w:pPr>
        <w:spacing w:before="60" w:after="100" w:line="300" w:lineRule="auto"/>
      </w:pPr>
      <w:r>
        <w:t>The following operational framework extends diagnostic data readiness questions into a practical assessment that guides data preparation for each wave of deployment.</w:t>
      </w:r>
    </w:p>
    <w:p w14:paraId="36E1F25D" w14:textId="77777777" w:rsidR="00AB7968" w:rsidRDefault="00EF0D76">
      <w:pPr>
        <w:spacing w:before="60" w:after="100" w:line="300" w:lineRule="auto"/>
      </w:pPr>
      <w:r>
        <w:rPr>
          <w:b/>
          <w:bCs/>
          <w:color w:val="1A1A18"/>
        </w:rPr>
        <w:t>The principle is scoped readiness, not comprehensive transformation.</w:t>
      </w:r>
      <w:r>
        <w:t xml:space="preserve"> For each micro-journey being deployed, the team identifies the specific data surface required and assesses readiness against five dimensions:</w:t>
      </w:r>
    </w:p>
    <w:p w14:paraId="151B9CC6" w14:textId="77777777" w:rsidR="00AB7968" w:rsidRDefault="00EF0D76">
      <w:pPr>
        <w:spacing w:before="60" w:after="100" w:line="300" w:lineRule="auto"/>
      </w:pPr>
      <w:r>
        <w:rPr>
          <w:b/>
          <w:bCs/>
          <w:color w:val="1A1A18"/>
        </w:rPr>
        <w:lastRenderedPageBreak/>
        <w:t>Identity resolution:</w:t>
      </w:r>
      <w:r>
        <w:t xml:space="preserve"> Can the organization resolve a single customer across the functions and platforms involved in this micro-journey? A service-to-sales churn detection workflow needs identity resolution across CRM and service platforms. A content personalization workflow needs identity resolution across the CDP and CMS. The scope is the micro-journey, not the enterprise.</w:t>
      </w:r>
    </w:p>
    <w:p w14:paraId="5F5A1A3D" w14:textId="77777777" w:rsidR="00AB7968" w:rsidRDefault="00EF0D76">
      <w:pPr>
        <w:spacing w:before="60" w:after="100" w:line="300" w:lineRule="auto"/>
      </w:pPr>
      <w:r>
        <w:rPr>
          <w:b/>
          <w:bCs/>
          <w:color w:val="1A1A18"/>
        </w:rPr>
        <w:t>Content and knowledge readiness:</w:t>
      </w:r>
      <w:r>
        <w:t xml:space="preserve"> Is the brand, product, and compliance knowledge required by this micro-journey encoded in machine-readable form? A content generation workflow needs brand voice guidelines in retrievable form. A pricing compliance workflow needs discount schedules and margin thresholds accessible via API. If the knowledge exists only in human heads or unstructured documents, the first task is encoding it.</w:t>
      </w:r>
    </w:p>
    <w:p w14:paraId="1EAD8CD9" w14:textId="77777777" w:rsidR="00AB7968" w:rsidRDefault="00EF0D76">
      <w:pPr>
        <w:spacing w:before="60" w:after="100" w:line="300" w:lineRule="auto"/>
      </w:pPr>
      <w:r>
        <w:rPr>
          <w:b/>
          <w:bCs/>
          <w:color w:val="1A1A18"/>
        </w:rPr>
        <w:t>Signal availability:</w:t>
      </w:r>
      <w:r>
        <w:t xml:space="preserve"> Are the behavioral and interaction signals this micro-journey depends on being captured and structured? A churn detection workflow needs service interaction data with sentiment indicators. A next-best-action workflow needs engagement signals from marketing touchpoints. If signals are captured but unstructured, the work is structuring them. If signals are not captured at all, the work is instrumenting the touchpoints.</w:t>
      </w:r>
    </w:p>
    <w:p w14:paraId="03012FE3" w14:textId="77777777" w:rsidR="00AB7968" w:rsidRDefault="00EF0D76">
      <w:pPr>
        <w:spacing w:before="60" w:after="100" w:line="300" w:lineRule="auto"/>
      </w:pPr>
      <w:r>
        <w:rPr>
          <w:b/>
          <w:bCs/>
          <w:color w:val="1A1A18"/>
        </w:rPr>
        <w:t>Data accessibility:</w:t>
      </w:r>
      <w:r>
        <w:t xml:space="preserve"> Is the required data API-accessible in real time, or is it locked in batch processes, data warehouses, or systems that don't support real-time queries? The latency requirement varies by micro-journey. A real-time pricing guardrail needs sub-second access to margin thresholds. A weekly content performance report can tolerate batch latency. The assessment matches the data access pattern to the micro-journey's timing requirements.</w:t>
      </w:r>
    </w:p>
    <w:p w14:paraId="5F96BCC7" w14:textId="77777777" w:rsidR="00AB7968" w:rsidRDefault="00EF0D76">
      <w:pPr>
        <w:spacing w:before="60" w:after="100" w:line="300" w:lineRule="auto"/>
      </w:pPr>
      <w:r>
        <w:rPr>
          <w:b/>
          <w:bCs/>
          <w:color w:val="1A1A18"/>
        </w:rPr>
        <w:t>Governance and consent:</w:t>
      </w:r>
      <w:r>
        <w:t xml:space="preserve"> Is the data usage compliant with privacy regulations, consent requirements, and internal data governance policies? This is particularly critical for micro-journeys that use customer data for agent-driven personalization or that generate synthetic data from real customer patterns. The assessment must cover both current compliance and the incremental data use that the micro-journey introduces.</w:t>
      </w:r>
    </w:p>
    <w:p w14:paraId="34D509AB" w14:textId="77777777" w:rsidR="00AB7968" w:rsidRDefault="00EF0D76">
      <w:pPr>
        <w:spacing w:before="60" w:after="100" w:line="300" w:lineRule="auto"/>
      </w:pPr>
      <w:r>
        <w:t>For each micro-journey, these five dimensions produce a scoped data readiness plan: what data work is required, how long it will take, and what it will cost. This is not a comprehensive data strategy. It is the minimum viable data foundation for a specific use case. Subsequent micro-journeys expand the data surface incrementally, and the progressive enrichment of the data foundation is funded by the returns from the micro-journeys it enables.</w:t>
      </w:r>
    </w:p>
    <w:p w14:paraId="6BE0BAC3" w14:textId="77777777" w:rsidR="00AB7968" w:rsidRDefault="00EF0D76">
      <w:pPr>
        <w:pStyle w:val="Heading2"/>
      </w:pPr>
      <w:bookmarkStart w:id="45" w:name="_Toc229658925"/>
      <w:r>
        <w:t>Data Architecture Patterns for the AFO</w:t>
      </w:r>
      <w:bookmarkEnd w:id="45"/>
    </w:p>
    <w:p w14:paraId="2769BC48" w14:textId="77777777" w:rsidR="00AB7968" w:rsidRDefault="00EF0D76">
      <w:pPr>
        <w:spacing w:before="60" w:after="100" w:line="300" w:lineRule="auto"/>
      </w:pPr>
      <w:r>
        <w:t>Two architectural patterns are particularly relevant to the AFO's data requirements:</w:t>
      </w:r>
    </w:p>
    <w:p w14:paraId="1E68F026" w14:textId="77777777" w:rsidR="00AB7968" w:rsidRDefault="00EF0D76">
      <w:pPr>
        <w:spacing w:before="60" w:after="100" w:line="300" w:lineRule="auto"/>
      </w:pPr>
      <w:r>
        <w:rPr>
          <w:b/>
          <w:bCs/>
          <w:color w:val="1A1A18"/>
        </w:rPr>
        <w:t>The real-time customer state pattern</w:t>
      </w:r>
      <w:r>
        <w:t xml:space="preserve"> maintains a continuously updated view of each customer across all functions and platforms. This is not a traditional customer 360 report generated nightly. It is a live state that reflects the customer's most recent interaction, their current journey stage, their active service cases, their pricing tier, and their predicted intent. The real-time customer state is what enables AEO to orchestrate experiences in the moment rather than based on yesterday's data. It is typically implemented through a combinatio</w:t>
      </w:r>
      <w:r>
        <w:t>n of customer data platform capabilities (real-time profile updates), event streaming (capturing interaction signals as they occur), and the Knowledge Engine (resolving the customer state against the full knowledge graph).</w:t>
      </w:r>
    </w:p>
    <w:p w14:paraId="3AD19B0D" w14:textId="77777777" w:rsidR="00AB7968" w:rsidRDefault="00EF0D76">
      <w:pPr>
        <w:spacing w:before="60" w:after="100" w:line="300" w:lineRule="auto"/>
      </w:pPr>
      <w:r>
        <w:rPr>
          <w:b/>
          <w:bCs/>
          <w:color w:val="1A1A18"/>
        </w:rPr>
        <w:lastRenderedPageBreak/>
        <w:t>The knowledge-as-a-service pattern</w:t>
      </w:r>
      <w:r>
        <w:t xml:space="preserve"> makes enterprise knowledge available to agents through standardized retrieval interfaces rather than requiring each agent to implement its own data access logic. Brand guidelines, pricing rules, compliance requirements, and product specifications are encoded once in the Knowledge Engine and exposed through RAG pipelines that any agent can query. This avoids the pattern where every new agent deployment requires a custom data integration, creating fragile point-to-point connections that scale poorly. The kno</w:t>
      </w:r>
      <w:r>
        <w:t>wledge-as-a-service pattern is what enables the Agent Network to grow without proportionally growing the data integration burden.</w:t>
      </w:r>
    </w:p>
    <w:p w14:paraId="163612DF" w14:textId="77777777" w:rsidR="00AB7968" w:rsidRDefault="00EF0D76">
      <w:r>
        <w:br w:type="page"/>
      </w:r>
    </w:p>
    <w:p w14:paraId="337EC3FD" w14:textId="77777777" w:rsidR="00AB7968" w:rsidRDefault="00EF0D76">
      <w:pPr>
        <w:pStyle w:val="Heading1"/>
      </w:pPr>
      <w:bookmarkStart w:id="46" w:name="_Toc229658926"/>
      <w:r>
        <w:lastRenderedPageBreak/>
        <w:t>Section 6: Unified Orchestration and Agent Interoperability</w:t>
      </w:r>
      <w:bookmarkEnd w:id="46"/>
    </w:p>
    <w:p w14:paraId="2131859F" w14:textId="77777777" w:rsidR="00AB7968" w:rsidRDefault="00EF0D76">
      <w:pPr>
        <w:pStyle w:val="Heading2"/>
      </w:pPr>
      <w:bookmarkStart w:id="47" w:name="_Toc229658927"/>
      <w:r>
        <w:t>The Business Question This Section Answers</w:t>
      </w:r>
      <w:bookmarkEnd w:id="47"/>
    </w:p>
    <w:p w14:paraId="03DFEDE5" w14:textId="77777777" w:rsidR="00AB7968" w:rsidRDefault="00EF0D76">
      <w:pPr>
        <w:spacing w:before="60" w:after="100" w:line="300" w:lineRule="auto"/>
      </w:pPr>
      <w:r>
        <w:t>How do agents built on different platforms, serving different functions, coordinate to deliver a unified commercial experience without requiring the organization to consolidate onto a single vendor stack?</w:t>
      </w:r>
    </w:p>
    <w:p w14:paraId="40B62875" w14:textId="77777777" w:rsidR="00AB7968" w:rsidRDefault="00EF0D76">
      <w:pPr>
        <w:pStyle w:val="Heading2"/>
      </w:pPr>
      <w:bookmarkStart w:id="48" w:name="_Toc229658928"/>
      <w:r>
        <w:t>The Orchestration Problem</w:t>
      </w:r>
      <w:bookmarkEnd w:id="48"/>
    </w:p>
    <w:p w14:paraId="273AE82C" w14:textId="77777777" w:rsidR="00AB7968" w:rsidRDefault="00EF0D76">
      <w:pPr>
        <w:spacing w:before="60" w:after="100" w:line="300" w:lineRule="auto"/>
      </w:pPr>
      <w:r>
        <w:t xml:space="preserve">The typical enterprise front office runs on three to five major platforms. Salesforce manages sales pipeline and service cases. Adobe orchestrates marketing journeys and digital experiences. Microsoft provides productivity infrastructure and data analytics. A commerce engine manages transactions. Specialized tools handle pricing, content production, and workflow management. Each of these platforms is now developing its own agentic capabilities: Salesforce has </w:t>
      </w:r>
      <w:proofErr w:type="spellStart"/>
      <w:r>
        <w:t>Agentforce</w:t>
      </w:r>
      <w:proofErr w:type="spellEnd"/>
      <w:r>
        <w:t xml:space="preserve">, Adobe has AEP Agent Orchestrator, Microsoft has Copilot Studio, Google has </w:t>
      </w:r>
      <w:proofErr w:type="spellStart"/>
      <w:r>
        <w:t>Agentspace</w:t>
      </w:r>
      <w:proofErr w:type="spellEnd"/>
      <w:r>
        <w:t>.</w:t>
      </w:r>
    </w:p>
    <w:p w14:paraId="19E9A765" w14:textId="77777777" w:rsidR="00AB7968" w:rsidRDefault="00EF0D76">
      <w:pPr>
        <w:spacing w:before="60" w:after="100" w:line="300" w:lineRule="auto"/>
      </w:pPr>
      <w:r>
        <w:t xml:space="preserve">This creates an orchestration problem that no individual platform can solve from within. A customer interaction that begins as a marketing signal (detected in Adobe), triggers a sales action (executed in Salesforce), governed by pricing logic (enforced in a CPQ or custom pricing system), and resolved through a service interaction (managed in Salesforce or a dedicated service platform) crosses platform boundaries multiple times. Each platform's native agent framework handles the portion within its walls. No </w:t>
      </w:r>
      <w:r>
        <w:t>single platform's agent framework orchestrates the full sequence.</w:t>
      </w:r>
    </w:p>
    <w:p w14:paraId="33C78524" w14:textId="77777777" w:rsidR="00AB7968" w:rsidRDefault="00EF0D76">
      <w:pPr>
        <w:spacing w:before="60" w:after="100" w:line="300" w:lineRule="auto"/>
      </w:pPr>
      <w:r>
        <w:t>This is not a theoretical concern. It is the daily reality of every enterprise commercial operation, and it is the reason most agentic deployments today are function-specific point solutions rather than cross-functional commercial capabilities. The orchestration layer is the missing piece.</w:t>
      </w:r>
    </w:p>
    <w:p w14:paraId="084B7971" w14:textId="77777777" w:rsidR="00AB7968" w:rsidRDefault="00EF0D76">
      <w:pPr>
        <w:pStyle w:val="Heading2"/>
      </w:pPr>
      <w:bookmarkStart w:id="49" w:name="_Toc229658929"/>
      <w:r>
        <w:t>Three Orchestration Patterns</w:t>
      </w:r>
      <w:bookmarkEnd w:id="49"/>
    </w:p>
    <w:p w14:paraId="527EA2D7" w14:textId="77777777" w:rsidR="00AB7968" w:rsidRDefault="00EF0D76">
      <w:pPr>
        <w:spacing w:before="200" w:after="200"/>
        <w:jc w:val="center"/>
      </w:pPr>
      <w:r>
        <w:rPr>
          <w:noProof/>
        </w:rPr>
        <w:lastRenderedPageBreak/>
        <w:drawing>
          <wp:inline distT="0" distB="0" distL="0" distR="0" wp14:anchorId="7DEB756C" wp14:editId="4D04A845">
            <wp:extent cx="5905500" cy="4429125"/>
            <wp:effectExtent l="0" t="0" r="0" b="0"/>
            <wp:docPr id="1055386553" name="Picture 105538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429125"/>
                    </a:xfrm>
                    <a:prstGeom prst="rect">
                      <a:avLst/>
                    </a:prstGeom>
                  </pic:spPr>
                </pic:pic>
              </a:graphicData>
            </a:graphic>
          </wp:inline>
        </w:drawing>
      </w:r>
    </w:p>
    <w:p w14:paraId="5F39F42F" w14:textId="77777777" w:rsidR="00AB7968" w:rsidRDefault="00EF0D76">
      <w:pPr>
        <w:spacing w:before="60" w:after="100" w:line="300" w:lineRule="auto"/>
      </w:pPr>
      <w:r>
        <w:t>The AFO addresses this through three orchestration patterns, each operating at a different scope and requiring different technical infrastructure.</w:t>
      </w:r>
    </w:p>
    <w:p w14:paraId="4D59A65C" w14:textId="77777777" w:rsidR="00AB7968" w:rsidRDefault="00EF0D76">
      <w:pPr>
        <w:pStyle w:val="Heading3"/>
      </w:pPr>
      <w:bookmarkStart w:id="50" w:name="_Toc229658930"/>
      <w:r>
        <w:t>Pattern 1: Intra-Platform Orchestration</w:t>
      </w:r>
      <w:bookmarkEnd w:id="50"/>
    </w:p>
    <w:p w14:paraId="034FF7DC" w14:textId="77777777" w:rsidR="00AB7968" w:rsidRDefault="00EF0D76">
      <w:pPr>
        <w:spacing w:before="60" w:after="100" w:line="300" w:lineRule="auto"/>
      </w:pPr>
      <w:r>
        <w:rPr>
          <w:b/>
          <w:bCs/>
          <w:color w:val="1A1A18"/>
        </w:rPr>
        <w:t>Scope:</w:t>
      </w:r>
      <w:r>
        <w:t xml:space="preserve"> Multiple agents collaborating within a single platform's ecosystem.</w:t>
      </w:r>
    </w:p>
    <w:p w14:paraId="2DE45DA2" w14:textId="77777777" w:rsidR="00AB7968" w:rsidRDefault="00EF0D76">
      <w:pPr>
        <w:spacing w:before="60" w:after="100" w:line="300" w:lineRule="auto"/>
      </w:pPr>
      <w:r>
        <w:rPr>
          <w:b/>
          <w:bCs/>
          <w:color w:val="1A1A18"/>
        </w:rPr>
        <w:t>How it works:</w:t>
      </w:r>
      <w:r>
        <w:t xml:space="preserve"> A platform's native agent framework coordinates specialized agents that share the same data model, the same runtime, and the same governance infrastructure. A Salesforce environment might coordinate a lead qualification agent, an opportunity scoring agent, and a forecast analytics agent, all operating within the </w:t>
      </w:r>
      <w:proofErr w:type="spellStart"/>
      <w:r>
        <w:t>Agentforce</w:t>
      </w:r>
      <w:proofErr w:type="spellEnd"/>
      <w:r>
        <w:t xml:space="preserve"> framework against Data Cloud. An Adobe environment might coordinate a journey orchestration agent, a content personalization agent, and an audience intelligence agent, all operating with</w:t>
      </w:r>
      <w:r>
        <w:t>in the AEP Agent Orchestrator against the Real-Time CDP.</w:t>
      </w:r>
    </w:p>
    <w:p w14:paraId="2CE8D7DD" w14:textId="77777777" w:rsidR="00AB7968" w:rsidRDefault="00EF0D76">
      <w:pPr>
        <w:spacing w:before="60" w:after="100" w:line="300" w:lineRule="auto"/>
      </w:pPr>
      <w:r>
        <w:rPr>
          <w:b/>
          <w:bCs/>
          <w:color w:val="1A1A18"/>
        </w:rPr>
        <w:t>Technical requirements:</w:t>
      </w:r>
      <w:r>
        <w:t xml:space="preserve"> The platform's native agent development framework, its internal event bus for agent-to-agent communication, and its built-in governance and monitoring capabilities. This is the simplest orchestration pattern because the platform vendor has designed the agents to work together.</w:t>
      </w:r>
    </w:p>
    <w:p w14:paraId="7BADF2C0" w14:textId="77777777" w:rsidR="00AB7968" w:rsidRDefault="00EF0D76">
      <w:pPr>
        <w:spacing w:before="60" w:after="100" w:line="300" w:lineRule="auto"/>
      </w:pPr>
      <w:r>
        <w:rPr>
          <w:b/>
          <w:bCs/>
          <w:color w:val="1A1A18"/>
        </w:rPr>
        <w:t>Limitations:</w:t>
      </w:r>
      <w:r>
        <w:t xml:space="preserve"> The orchestration stops at the platform boundary. Salesforce agents can coordinate with each other but cannot natively trigger actions in Adobe or vice versa. For organizations whose </w:t>
      </w:r>
      <w:r>
        <w:lastRenderedPageBreak/>
        <w:t>commercial workflows stay within a single platform's domain (a sales-only or service-only use case), intra-platform orchestration may be sufficient. For any workflow that crosses functional boundaries (where typically 40-60% of the total transformation value resides), it is not.</w:t>
      </w:r>
    </w:p>
    <w:p w14:paraId="5B46BC2A" w14:textId="77777777" w:rsidR="00AB7968" w:rsidRDefault="00EF0D76">
      <w:pPr>
        <w:pStyle w:val="Heading3"/>
      </w:pPr>
      <w:bookmarkStart w:id="51" w:name="_Toc229658931"/>
      <w:r>
        <w:t>Pattern 2: Cross-Platform Agent Orchestration</w:t>
      </w:r>
      <w:bookmarkEnd w:id="51"/>
    </w:p>
    <w:p w14:paraId="43AD803C" w14:textId="77777777" w:rsidR="00AB7968" w:rsidRDefault="00EF0D76">
      <w:pPr>
        <w:spacing w:before="60" w:after="100" w:line="300" w:lineRule="auto"/>
      </w:pPr>
      <w:r>
        <w:rPr>
          <w:b/>
          <w:bCs/>
          <w:color w:val="1A1A18"/>
        </w:rPr>
        <w:t>Scope:</w:t>
      </w:r>
      <w:r>
        <w:t xml:space="preserve"> Agents on different platforms collaborating to execute a workflow that spans multiple systems.</w:t>
      </w:r>
    </w:p>
    <w:p w14:paraId="721D43A1" w14:textId="77777777" w:rsidR="00AB7968" w:rsidRDefault="00EF0D76">
      <w:pPr>
        <w:spacing w:before="60" w:after="100" w:line="300" w:lineRule="auto"/>
      </w:pPr>
      <w:r>
        <w:rPr>
          <w:b/>
          <w:bCs/>
          <w:color w:val="1A1A18"/>
        </w:rPr>
        <w:t>How it works:</w:t>
      </w:r>
      <w:r>
        <w:t xml:space="preserve"> An orchestration layer coordinates agents across platform boundaries, managing context handoffs, sequencing actions, and governing the end-to-end workflow. Consider a "Detect to Retain" scenario: a service agent on Salesforce detects a usage drop and flags renewal risk. That signal must reach a pricing agent (which may operate on a separate pricing platform or custom infrastructure) to model the optimal retention offer within margin guardrails. The offer must then reach a campaign orchestration agent in Ad</w:t>
      </w:r>
      <w:r>
        <w:t>obe to activate a personalized retention journey across the customer's preferred channels. A human CSM receives a renewal brief assembling context from all three systems.</w:t>
      </w:r>
    </w:p>
    <w:p w14:paraId="67B85C6A" w14:textId="77777777" w:rsidR="00AB7968" w:rsidRDefault="00EF0D76">
      <w:pPr>
        <w:spacing w:before="60" w:after="100" w:line="300" w:lineRule="auto"/>
      </w:pPr>
      <w:r>
        <w:t xml:space="preserve">No single platform orchestrates this. The cross-platform orchestration layer sits above the individual platforms and coordinates the handoffs. It manages the context (ensuring the pricing agent has the customer's </w:t>
      </w:r>
      <w:proofErr w:type="gramStart"/>
      <w:r>
        <w:t>full service</w:t>
      </w:r>
      <w:proofErr w:type="gramEnd"/>
      <w:r>
        <w:t xml:space="preserve"> history from Salesforce), the sequencing (ensuring the retention offer is modeled before the campaign is triggered), and the governance (ensuring the entire workflow operates within defined autonomy tiers).</w:t>
      </w:r>
    </w:p>
    <w:p w14:paraId="26BE4220" w14:textId="77777777" w:rsidR="00AB7968" w:rsidRDefault="00EF0D76">
      <w:pPr>
        <w:spacing w:before="60" w:after="100" w:line="300" w:lineRule="auto"/>
      </w:pPr>
      <w:r>
        <w:rPr>
          <w:b/>
          <w:bCs/>
          <w:color w:val="1A1A18"/>
        </w:rPr>
        <w:t>Technical requirements:</w:t>
      </w:r>
      <w:r>
        <w:t xml:space="preserve"> This is where the emerging agent-to-agent protocols become critical. The orchestration layer needs a standardized way for agents on different platforms to discover each other's capabilities, exchange context, request actions, and report outcomes. Three protocols are competing for this role:</w:t>
      </w:r>
    </w:p>
    <w:p w14:paraId="6BFB8383" w14:textId="77777777" w:rsidR="00AB7968" w:rsidRDefault="00EF0D76">
      <w:pPr>
        <w:spacing w:before="60" w:after="100" w:line="300" w:lineRule="auto"/>
      </w:pPr>
      <w:proofErr w:type="spellStart"/>
      <w:r>
        <w:t>Anthropic's</w:t>
      </w:r>
      <w:proofErr w:type="spellEnd"/>
      <w:r>
        <w:t xml:space="preserve"> Model Context Protocol (MCP) has the broadest adoption as of mid-2026, primarily for tool integration. MCP enables agents to discover and invoke tools across platform boundaries, making it well-suited for action integration (an agent on one platform triggering an action on another). Its strength is simplicity and breadth of adoption across the developer ecosystem. Its scope is expanding beyond tool integration toward broader agent context management, but its core design remains oriented toward connecting a</w:t>
      </w:r>
      <w:r>
        <w:t>gents to capabilities rather than facilitating agent-to-agent negotiation.</w:t>
      </w:r>
    </w:p>
    <w:p w14:paraId="2AF13A24" w14:textId="77777777" w:rsidR="00AB7968" w:rsidRDefault="00EF0D76">
      <w:pPr>
        <w:spacing w:before="60" w:after="100" w:line="300" w:lineRule="auto"/>
      </w:pPr>
      <w:r>
        <w:t>Google's Agent-to-Agent protocol (A2A), now governed by the Linux Foundation with backing from over 100 companies including AWS, Cisco, Microsoft, Salesforce, SAP, and ServiceNow, has emerged as the leading standard for multi-agent coordination. A2A is designed for agents to communicate intentions, negotiate task allocation, and coordinate execution, making it well-suited for scenarios like "Detect to Retain" where multiple agents must agree on a course of action. Its adoption accelerated significantly in 2</w:t>
      </w:r>
      <w:r>
        <w:t>025 when IBM's Agent Communication Protocol (ACP) merged into A2A under the Linux Foundation umbrella, consolidating two parallel efforts into a single, more comprehensive standard. A2A now incorporates ACP's strengths in structured dialogue, semantic richness, and enterprise-grade security alongside its own multi-agent coordination patterns.</w:t>
      </w:r>
    </w:p>
    <w:p w14:paraId="0350532B" w14:textId="77777777" w:rsidR="00AB7968" w:rsidRDefault="00EF0D76">
      <w:pPr>
        <w:spacing w:before="60" w:after="100" w:line="300" w:lineRule="auto"/>
      </w:pPr>
      <w:r>
        <w:rPr>
          <w:b/>
          <w:bCs/>
          <w:color w:val="1A1A18"/>
        </w:rPr>
        <w:lastRenderedPageBreak/>
        <w:t>The AFO's architectural recommendation is protocol abstraction.</w:t>
      </w:r>
      <w:r>
        <w:t xml:space="preserve"> The protocol landscape is consolidating around MCP for agent-to-tool interaction and A2A for agent-to-agent coordination, but the landscape will continue to evolve. The orchestration layer should implement an abstraction layer that can route agent communication through whichever protocol is appropriate for the interaction pattern and that can adopt new protocols as the landscape matures without requiring agents to be rearchitected.</w:t>
      </w:r>
    </w:p>
    <w:p w14:paraId="3B93552A" w14:textId="77777777" w:rsidR="00AB7968" w:rsidRDefault="00EF0D76">
      <w:pPr>
        <w:pStyle w:val="Heading3"/>
      </w:pPr>
      <w:bookmarkStart w:id="52" w:name="_Toc229658932"/>
      <w:r>
        <w:t>Pattern 3: Event-Driven Signal Orchestration</w:t>
      </w:r>
      <w:bookmarkEnd w:id="52"/>
    </w:p>
    <w:p w14:paraId="1E36FD1C" w14:textId="77777777" w:rsidR="00AB7968" w:rsidRDefault="00EF0D76">
      <w:pPr>
        <w:spacing w:before="60" w:after="100" w:line="300" w:lineRule="auto"/>
      </w:pPr>
      <w:r>
        <w:rPr>
          <w:b/>
          <w:bCs/>
          <w:color w:val="1A1A18"/>
        </w:rPr>
        <w:t>Scope:</w:t>
      </w:r>
      <w:r>
        <w:t xml:space="preserve"> Real-time signal routing between systems, agents, and the Commercial Brain without requiring direct agent-to-agent communication.</w:t>
      </w:r>
    </w:p>
    <w:p w14:paraId="3E98E547" w14:textId="77777777" w:rsidR="00AB7968" w:rsidRDefault="00EF0D76">
      <w:pPr>
        <w:spacing w:before="60" w:after="100" w:line="300" w:lineRule="auto"/>
      </w:pPr>
      <w:r>
        <w:rPr>
          <w:b/>
          <w:bCs/>
          <w:color w:val="1A1A18"/>
        </w:rPr>
        <w:t>How it works:</w:t>
      </w:r>
      <w:r>
        <w:t xml:space="preserve"> Not every cross-platform interaction requires agents to communicate directly. Many of the AFO's highest-value workflows are signal-driven: a customer action in one system generates an event that is captured, enriched, and routed to the appropriate agents or systems for response. A customer abandons a high-value cart on the commerce platform. That event is captured by the event stream, enriched with the customer's profile data from the CDP, scored for intent by a model in the Commercial Brain, and routed si</w:t>
      </w:r>
      <w:r>
        <w:t>multaneously to a marketing agent (to trigger a recovery journey in AJO), a sales agent (to flag the account for follow-up in Salesforce if the deal value exceeds a threshold), and a pricing agent (to evaluate whether a time-limited discount is warranted within margin guardrails).</w:t>
      </w:r>
    </w:p>
    <w:p w14:paraId="0AA0A0EC" w14:textId="77777777" w:rsidR="00AB7968" w:rsidRDefault="00EF0D76">
      <w:pPr>
        <w:spacing w:before="60" w:after="100" w:line="300" w:lineRule="auto"/>
      </w:pPr>
      <w:r>
        <w:t>The agents don't need to talk to each other directly. They each respond to the enriched event independently, and the event-driven architecture ensures that the responses are coordinated through shared context (they all reason against the same enriched event) rather than through direct negotiation.</w:t>
      </w:r>
    </w:p>
    <w:p w14:paraId="4F4A4630" w14:textId="77777777" w:rsidR="00AB7968" w:rsidRDefault="00EF0D76">
      <w:pPr>
        <w:spacing w:before="60" w:after="100" w:line="300" w:lineRule="auto"/>
      </w:pPr>
      <w:r>
        <w:rPr>
          <w:b/>
          <w:bCs/>
          <w:color w:val="1A1A18"/>
        </w:rPr>
        <w:t>Technical requirements:</w:t>
      </w:r>
      <w:r>
        <w:t xml:space="preserve"> Event streaming infrastructure (Apache Kafka, Apache Pulsar, or platform-native event buses like Adobe's Experience Platform event infrastructure or Salesforce Platform Events) for real-time signal capture and routing. An event enrichment layer that augments raw events with context from the Commercial Brain before routing. Event schema management that ensures events carry consistent, machine-readable payloads regardless of which system generates them. Event monitoring that provides visibility into event fl</w:t>
      </w:r>
      <w:r>
        <w:t>ow, latency, and processing status across the full architecture.</w:t>
      </w:r>
    </w:p>
    <w:p w14:paraId="6F739213" w14:textId="77777777" w:rsidR="00AB7968" w:rsidRDefault="00EF0D76">
      <w:pPr>
        <w:spacing w:before="60" w:after="100" w:line="300" w:lineRule="auto"/>
      </w:pPr>
      <w:r>
        <w:rPr>
          <w:b/>
          <w:bCs/>
          <w:color w:val="1A1A18"/>
        </w:rPr>
        <w:t>When to use which pattern:</w:t>
      </w:r>
      <w:r>
        <w:t xml:space="preserve"> Intra-platform orchestration for workflows that stay within a single platform's domain. Cross-platform agent orchestration for complex, multi-step workflows that require agents to coordinate actions and share context across systems. Event-driven signal orchestration for high-volume, real-time response scenarios where multiple agents need to react to the same trigger independently. Most enterprise deployments will use all three patterns, with the balance shifting toward cross-platform and event-driven patte</w:t>
      </w:r>
      <w:r>
        <w:t>rns as the AFO matures.</w:t>
      </w:r>
    </w:p>
    <w:p w14:paraId="3FB7DFA9" w14:textId="77777777" w:rsidR="00AB7968" w:rsidRDefault="00EF0D76">
      <w:pPr>
        <w:pStyle w:val="Heading2"/>
      </w:pPr>
      <w:bookmarkStart w:id="53" w:name="_Toc229658933"/>
      <w:r>
        <w:t>Session Continuity and Context Management</w:t>
      </w:r>
      <w:bookmarkEnd w:id="53"/>
    </w:p>
    <w:p w14:paraId="0C0C1A82" w14:textId="77777777" w:rsidR="00AB7968" w:rsidRDefault="00EF0D76">
      <w:pPr>
        <w:spacing w:before="60" w:after="100" w:line="300" w:lineRule="auto"/>
      </w:pPr>
      <w:r>
        <w:t>Cross-platform orchestration introduces a challenge that intra-platform orchestration handles natively: maintaining context across agent boundaries. When a customer's interaction involves agents on multiple platforms, no single platform holds the complete interaction state.</w:t>
      </w:r>
    </w:p>
    <w:p w14:paraId="4761A4F9" w14:textId="77777777" w:rsidR="00AB7968" w:rsidRDefault="00EF0D76">
      <w:pPr>
        <w:spacing w:before="60" w:after="100" w:line="300" w:lineRule="auto"/>
      </w:pPr>
      <w:r>
        <w:lastRenderedPageBreak/>
        <w:t>The AFO addresses this through the session continuity capabilities within the GenAI Services component of the Commercial Brain (Section 3). Three mechanisms are relevant:</w:t>
      </w:r>
    </w:p>
    <w:p w14:paraId="0802C3B2" w14:textId="77777777" w:rsidR="00AB7968" w:rsidRDefault="00EF0D76">
      <w:pPr>
        <w:spacing w:before="60" w:after="100" w:line="300" w:lineRule="auto"/>
      </w:pPr>
      <w:r>
        <w:rPr>
          <w:b/>
          <w:bCs/>
          <w:color w:val="1A1A18"/>
        </w:rPr>
        <w:t>State preservation</w:t>
      </w:r>
      <w:r>
        <w:t xml:space="preserve"> captures the current state of a customer interaction (intent, history, active offers, pending actions) in a platform-neutral format that any agent can read. When a service agent in Salesforce escalates a customer to a retention workflow in Adobe, the full interaction state travels with the handoff so that the customer doesn't repeat themselves and the retention agent has the full context of the service interaction.</w:t>
      </w:r>
    </w:p>
    <w:p w14:paraId="6D1A31F8" w14:textId="77777777" w:rsidR="00AB7968" w:rsidRDefault="00EF0D76">
      <w:pPr>
        <w:spacing w:before="60" w:after="100" w:line="300" w:lineRule="auto"/>
      </w:pPr>
      <w:r>
        <w:rPr>
          <w:b/>
          <w:bCs/>
          <w:color w:val="1A1A18"/>
        </w:rPr>
        <w:t>Context rehydration</w:t>
      </w:r>
      <w:r>
        <w:t xml:space="preserve"> reconstructs the relevant context when a conversation resumes after a gap. A customer who begins an interaction on chat, drops off, and resumes two days later via email should encounter agents that remember the prior conversation and pick up where it left off, even if the two interactions are handled by agents on different platforms.</w:t>
      </w:r>
    </w:p>
    <w:p w14:paraId="20FBDAAD" w14:textId="77777777" w:rsidR="00AB7968" w:rsidRDefault="00EF0D76">
      <w:pPr>
        <w:spacing w:before="60" w:after="100" w:line="300" w:lineRule="auto"/>
      </w:pPr>
      <w:r>
        <w:rPr>
          <w:b/>
          <w:bCs/>
          <w:color w:val="1A1A18"/>
        </w:rPr>
        <w:t>Cross-agent threading</w:t>
      </w:r>
      <w:r>
        <w:t xml:space="preserve"> maintains a coherent narrative when multiple agents contribute to the same customer outcome. The "Campaign to Close" scenario involves marketing agents, sales agents, pricing agents, and human sellers all contributing to a single deal. Each participant (human or agent) needs visibility into what the others have done and what the current state of the opportunity is. The threading layer maintains this shared narrative across platform boundaries.</w:t>
      </w:r>
    </w:p>
    <w:p w14:paraId="7900E1C1" w14:textId="77777777" w:rsidR="00AB7968" w:rsidRDefault="00EF0D76">
      <w:pPr>
        <w:pStyle w:val="Heading2"/>
      </w:pPr>
      <w:bookmarkStart w:id="54" w:name="_Toc229658934"/>
      <w:r>
        <w:t>Governance in a Multi-Platform Orchestration Model</w:t>
      </w:r>
      <w:bookmarkEnd w:id="54"/>
    </w:p>
    <w:p w14:paraId="31E1B12F" w14:textId="77777777" w:rsidR="00AB7968" w:rsidRDefault="00EF0D76">
      <w:pPr>
        <w:spacing w:before="60" w:after="100" w:line="300" w:lineRule="auto"/>
      </w:pPr>
      <w:r>
        <w:t>Cross-platform orchestration amplifies the governance requirements described in Section 2. When agents operate within a single platform, that platform's governance infrastructure (access controls, audit trails, compliance monitoring) provides a consistent governance layer. When agents operate across platforms, governance must span the boundaries.</w:t>
      </w:r>
    </w:p>
    <w:p w14:paraId="3A572C85" w14:textId="77777777" w:rsidR="00AB7968" w:rsidRDefault="00EF0D76">
      <w:pPr>
        <w:spacing w:before="60" w:after="100" w:line="300" w:lineRule="auto"/>
      </w:pPr>
      <w:r>
        <w:rPr>
          <w:b/>
          <w:bCs/>
          <w:color w:val="1A1A18"/>
        </w:rPr>
        <w:t>Decision audit trails must be continuous across platforms.</w:t>
      </w:r>
      <w:r>
        <w:t xml:space="preserve"> When a cross-functional workflow involves a service agent detecting a signal in Salesforce, a pricing agent modeling an offer on custom infrastructure, and a marketing agent activating a journey in Adobe, the complete decision chain must be auditable as a single sequence regardless of how many platforms were involved. This requires a governance layer that captures decision events from all platforms and correlates them into a unified audit record.</w:t>
      </w:r>
    </w:p>
    <w:p w14:paraId="3D53B8FE" w14:textId="77777777" w:rsidR="00AB7968" w:rsidRDefault="00EF0D76">
      <w:pPr>
        <w:spacing w:before="60" w:after="100" w:line="300" w:lineRule="auto"/>
      </w:pPr>
      <w:r>
        <w:rPr>
          <w:b/>
          <w:bCs/>
          <w:color w:val="1A1A18"/>
        </w:rPr>
        <w:t>Autonomy tiers must be enforced consistently.</w:t>
      </w:r>
      <w:r>
        <w:t xml:space="preserve"> If an agent is authorized to approve discounts up to 15% when operating within the pricing platform, that same constraint must be enforced when the agent's recommendation is executed through the CRM or commerce system. Governance cannot be platform-local when agent actions are cross-platform.</w:t>
      </w:r>
    </w:p>
    <w:p w14:paraId="4FECB779" w14:textId="77777777" w:rsidR="00AB7968" w:rsidRDefault="00EF0D76">
      <w:pPr>
        <w:spacing w:before="60" w:after="100" w:line="300" w:lineRule="auto"/>
      </w:pPr>
      <w:r>
        <w:rPr>
          <w:b/>
          <w:bCs/>
          <w:color w:val="1A1A18"/>
        </w:rPr>
        <w:t>Cost governance must track the total cost of cross-platform workflows, not just individual agent inference costs.</w:t>
      </w:r>
      <w:r>
        <w:t xml:space="preserve"> A workflow that involves agents on three platforms, multiple model invocations, and several API calls across systems has a total cost that no single platform can measure. The Operations &amp; Integration component of the Commercial Brain must provide cross-platform cost visibility and enforce cost-per-outcome targets at the workflow level.</w:t>
      </w:r>
    </w:p>
    <w:p w14:paraId="47477692" w14:textId="77777777" w:rsidR="00AB7968" w:rsidRDefault="00EF0D76">
      <w:r>
        <w:br w:type="page"/>
      </w:r>
    </w:p>
    <w:p w14:paraId="1B9CA22C" w14:textId="77777777" w:rsidR="00AB7968" w:rsidRDefault="00EF0D76">
      <w:pPr>
        <w:pStyle w:val="Heading1"/>
      </w:pPr>
      <w:bookmarkStart w:id="55" w:name="_Toc229658935"/>
      <w:r>
        <w:lastRenderedPageBreak/>
        <w:t>Section 7: Platform Architecture Principles</w:t>
      </w:r>
      <w:bookmarkEnd w:id="55"/>
    </w:p>
    <w:p w14:paraId="6306315F" w14:textId="77777777" w:rsidR="00AB7968" w:rsidRDefault="00EF0D76">
      <w:pPr>
        <w:pStyle w:val="Heading2"/>
      </w:pPr>
      <w:bookmarkStart w:id="56" w:name="_Toc229658936"/>
      <w:r>
        <w:t>The Business Question This Section Answers</w:t>
      </w:r>
      <w:bookmarkEnd w:id="56"/>
    </w:p>
    <w:p w14:paraId="7FA0FCF9" w14:textId="77777777" w:rsidR="00AB7968" w:rsidRDefault="00EF0D76">
      <w:pPr>
        <w:spacing w:before="60" w:after="100" w:line="300" w:lineRule="auto"/>
      </w:pPr>
      <w:r>
        <w:t>How should the organization evaluate and compose its platform ecosystem to support the AFO, and what principles should govern platform decisions as the agentic landscape evolves?</w:t>
      </w:r>
    </w:p>
    <w:p w14:paraId="5E15D923" w14:textId="77777777" w:rsidR="00AB7968" w:rsidRDefault="00EF0D76">
      <w:pPr>
        <w:pStyle w:val="Heading2"/>
      </w:pPr>
      <w:bookmarkStart w:id="57" w:name="_Toc229658937"/>
      <w:r>
        <w:t>From Platform Selection to Ecosystem Composition</w:t>
      </w:r>
      <w:bookmarkEnd w:id="57"/>
    </w:p>
    <w:p w14:paraId="0737F726" w14:textId="77777777" w:rsidR="00AB7968" w:rsidRDefault="00EF0D76">
      <w:pPr>
        <w:spacing w:before="60" w:after="100" w:line="300" w:lineRule="auto"/>
      </w:pPr>
      <w:r>
        <w:t>The traditional approach to front-office technology strategy centers on platform selection: which CRM, which marketing platform, which commerce engine. Vendors are evaluated on feature checklists, total cost of ownership, and analyst positioning. The selection decision is made, the implementation begins, and the platform becomes the foundation for the next 5-10 years.</w:t>
      </w:r>
    </w:p>
    <w:p w14:paraId="091121B5" w14:textId="77777777" w:rsidR="00AB7968" w:rsidRDefault="00EF0D76">
      <w:pPr>
        <w:spacing w:before="60" w:after="100" w:line="300" w:lineRule="auto"/>
      </w:pPr>
      <w:r>
        <w:t xml:space="preserve">This approach is insufficient for the AFO because the agentic transformation introduces a new dimension that traditional platform evaluations don't </w:t>
      </w:r>
      <w:proofErr w:type="gramStart"/>
      <w:r>
        <w:t>capture:</w:t>
      </w:r>
      <w:proofErr w:type="gramEnd"/>
      <w:r>
        <w:t xml:space="preserve"> integration posture. In an agentic architecture, a platform's value is determined not just by what it does within its boundaries but by how effectively it participates in cross-platform agent workflows. A CRM that excels at sales process management but walls off its data from external agents, or a marketing platform that orchestrates journeys brilliantly but cannot accept signals from agents operating on other platforms, becomes an architectural constraint regardless of its feature depth.</w:t>
      </w:r>
    </w:p>
    <w:p w14:paraId="7146D95E" w14:textId="77777777" w:rsidR="00AB7968" w:rsidRDefault="00EF0D76">
      <w:pPr>
        <w:spacing w:before="60" w:after="100" w:line="300" w:lineRule="auto"/>
      </w:pPr>
      <w:r>
        <w:t>The AFO requires a shift from platform selection to ecosystem composition: assembling a portfolio of platforms that collectively cover the architectural surface while enabling the agent orchestration, data flow, and governance integration that the commercial engine requires.</w:t>
      </w:r>
    </w:p>
    <w:p w14:paraId="460DE954" w14:textId="77777777" w:rsidR="00AB7968" w:rsidRDefault="00EF0D76">
      <w:pPr>
        <w:pStyle w:val="Heading2"/>
      </w:pPr>
      <w:bookmarkStart w:id="58" w:name="_Toc229658938"/>
      <w:r>
        <w:t>Six Principles for Platform Ecosystem Composition</w:t>
      </w:r>
      <w:bookmarkEnd w:id="58"/>
    </w:p>
    <w:p w14:paraId="1EBD10DC" w14:textId="77777777" w:rsidR="00AB7968" w:rsidRDefault="00EF0D76">
      <w:pPr>
        <w:pStyle w:val="Heading3"/>
      </w:pPr>
      <w:bookmarkStart w:id="59" w:name="_Toc229658939"/>
      <w:r>
        <w:t>Principle 1: Evaluate Integration Posture, Not Just Capability</w:t>
      </w:r>
      <w:bookmarkEnd w:id="59"/>
    </w:p>
    <w:p w14:paraId="563C9D7D" w14:textId="77777777" w:rsidR="00AB7968" w:rsidRDefault="00EF0D76">
      <w:pPr>
        <w:spacing w:before="60" w:after="100" w:line="300" w:lineRule="auto"/>
      </w:pPr>
      <w:r>
        <w:t>Every platform in the ecosystem must be assessed on three integration dimensions. API breadth and quality: does the platform expose its data, actions, and events through well-documented, real-time APIs that agents can invoke? Agent interoperability: does the platform's agent framework support interaction with agents on other platforms through standard protocols (MCP, A2A), or does it operate as a closed ecosystem? Data portability: can the organization extract and unify data from the platform without excess</w:t>
      </w:r>
      <w:r>
        <w:t>ive transformation, and does the platform accept enriched data from external sources (like the Commercial Brain) without friction?</w:t>
      </w:r>
    </w:p>
    <w:p w14:paraId="6E72AEE1" w14:textId="77777777" w:rsidR="00AB7968" w:rsidRDefault="00EF0D76">
      <w:pPr>
        <w:spacing w:before="60" w:after="100" w:line="300" w:lineRule="auto"/>
      </w:pPr>
      <w:r>
        <w:t>A platform with deep capabilities but poor integration posture creates a vendor lock-in trap: the Commercial Brain, the orchestration logic, and the governance architecture become inseparable from the vendor's tooling, and switching costs become prohibitive.</w:t>
      </w:r>
    </w:p>
    <w:p w14:paraId="40ABF236" w14:textId="77777777" w:rsidR="00AB7968" w:rsidRDefault="00EF0D76">
      <w:pPr>
        <w:pStyle w:val="Heading3"/>
      </w:pPr>
      <w:bookmarkStart w:id="60" w:name="_Toc229658940"/>
      <w:r>
        <w:t>Principle 2: Match Platforms to Architectural Layers, Not to Functions</w:t>
      </w:r>
      <w:bookmarkEnd w:id="60"/>
    </w:p>
    <w:p w14:paraId="1F77E0DA" w14:textId="77777777" w:rsidR="00AB7968" w:rsidRDefault="00EF0D76">
      <w:pPr>
        <w:spacing w:before="60" w:after="100" w:line="300" w:lineRule="auto"/>
      </w:pPr>
      <w:r>
        <w:t xml:space="preserve">The traditional approach maps platforms to functions: "Salesforce for sales, Adobe for marketing." The AFO architecture maps platforms to layers. Adobe's AEP and AJO serve the AEO layer (experience orchestration) and the ICO layer (content operations) across all functions. Salesforce </w:t>
      </w:r>
      <w:r>
        <w:lastRenderedPageBreak/>
        <w:t xml:space="preserve">serves the Functional Pillars layer for sales and service. Microsoft Fabric or Google </w:t>
      </w:r>
      <w:proofErr w:type="spellStart"/>
      <w:r>
        <w:t>BigQuery</w:t>
      </w:r>
      <w:proofErr w:type="spellEnd"/>
      <w:r>
        <w:t xml:space="preserve"> may serve the Enterprise Data Foundation layer. </w:t>
      </w:r>
      <w:proofErr w:type="spellStart"/>
      <w:r>
        <w:t>Hyperscaler</w:t>
      </w:r>
      <w:proofErr w:type="spellEnd"/>
      <w:r>
        <w:t xml:space="preserve"> AI infrastructure serves the Model Hub component of the Commercial Brain.</w:t>
      </w:r>
    </w:p>
    <w:p w14:paraId="54F9DFDD" w14:textId="77777777" w:rsidR="00AB7968" w:rsidRDefault="00EF0D76">
      <w:pPr>
        <w:spacing w:before="60" w:after="100" w:line="300" w:lineRule="auto"/>
      </w:pPr>
      <w:r>
        <w:t>This layer-oriented mapping reveals platform roles that function-oriented mapping obscures. Adobe's architectural significance in the AFO is not "the marketing platform." It is the orchestration and content infrastructure that every function depends on. That's a fundamentally different value proposition and a fundamentally different buying decision.</w:t>
      </w:r>
    </w:p>
    <w:p w14:paraId="110E04DE" w14:textId="77777777" w:rsidR="00AB7968" w:rsidRDefault="00EF0D76">
      <w:pPr>
        <w:pStyle w:val="Heading3"/>
      </w:pPr>
      <w:bookmarkStart w:id="61" w:name="_Toc229658941"/>
      <w:r>
        <w:t>Principle 3: Maintain a Vendor-Neutral Intelligence Layer</w:t>
      </w:r>
      <w:bookmarkEnd w:id="61"/>
    </w:p>
    <w:p w14:paraId="61DD7B7C" w14:textId="77777777" w:rsidR="00AB7968" w:rsidRDefault="00EF0D76">
      <w:pPr>
        <w:spacing w:before="60" w:after="100" w:line="300" w:lineRule="auto"/>
      </w:pPr>
      <w:r>
        <w:t>The Commercial Brain must remain composable and portable regardless of which platforms execute against it. This means the Knowledge Engine's data model should not be locked into a single vendor's graph technology. The Model Hub should not be dependent on a single model provider. The Agent Network should not be built exclusively on one platform's agent framework.</w:t>
      </w:r>
    </w:p>
    <w:p w14:paraId="08D71ECA" w14:textId="77777777" w:rsidR="00AB7968" w:rsidRDefault="00EF0D76">
      <w:pPr>
        <w:spacing w:before="60" w:after="100" w:line="300" w:lineRule="auto"/>
      </w:pPr>
      <w:r>
        <w:t>In practice, this means implementing abstraction layers at key integration points: a model routing abstraction that enables switching between model providers, a knowledge retrieval abstraction that enables switching between vector stores and graph databases, and an agent orchestration abstraction that enables agents built on different frameworks to participate in the same workflow.</w:t>
      </w:r>
    </w:p>
    <w:p w14:paraId="3FC4DD96" w14:textId="77777777" w:rsidR="00AB7968" w:rsidRDefault="00EF0D76">
      <w:pPr>
        <w:pStyle w:val="Heading3"/>
      </w:pPr>
      <w:bookmarkStart w:id="62" w:name="_Toc229658942"/>
      <w:r>
        <w:t>Principle 4: Invest in the Integration Layer as a First-Class Architectural Component</w:t>
      </w:r>
      <w:bookmarkEnd w:id="62"/>
    </w:p>
    <w:p w14:paraId="7E7591CA" w14:textId="77777777" w:rsidR="00AB7968" w:rsidRDefault="00EF0D76">
      <w:pPr>
        <w:spacing w:before="60" w:after="100" w:line="300" w:lineRule="auto"/>
      </w:pPr>
      <w:r>
        <w:t>The integration layer between the System of Engagement and the System of Creation is not middleware. It is a strategic asset that determines how effectively the commercial engine operates across platforms. This means investing in event streaming infrastructure, API management, protocol abstraction, and integration monitoring with the same rigor and budget allocation as the platforms themselves.</w:t>
      </w:r>
    </w:p>
    <w:p w14:paraId="7F66EB77" w14:textId="77777777" w:rsidR="00AB7968" w:rsidRDefault="00EF0D76">
      <w:pPr>
        <w:spacing w:before="60" w:after="100" w:line="300" w:lineRule="auto"/>
      </w:pPr>
      <w:r>
        <w:t>Organizations that underinvest in the integration layer end up with platforms that individually work well but collectively create the same handoff gaps and context losses that the AFO is designed to eliminate. The integration layer is what transforms a collection of platforms into a commercial engine.</w:t>
      </w:r>
    </w:p>
    <w:p w14:paraId="2A642274" w14:textId="77777777" w:rsidR="00AB7968" w:rsidRDefault="00EF0D76">
      <w:pPr>
        <w:pStyle w:val="Heading3"/>
      </w:pPr>
      <w:bookmarkStart w:id="63" w:name="_Toc229658943"/>
      <w:r>
        <w:t>Principle 5: Design for Protocol Evolution</w:t>
      </w:r>
      <w:bookmarkEnd w:id="63"/>
    </w:p>
    <w:p w14:paraId="5E8A771C" w14:textId="77777777" w:rsidR="00AB7968" w:rsidRDefault="00EF0D76">
      <w:pPr>
        <w:spacing w:before="60" w:after="100" w:line="300" w:lineRule="auto"/>
      </w:pPr>
      <w:r>
        <w:t>The agent-to-agent protocol landscape is maturing rapidly but has not yet fully consolidated. MCP and A2A are the leading standards, with A2A's governance under the Linux Foundation and MCP's broad developer adoption establishing a two-protocol landscape for tool integration and agent coordination respectively. Platform investments made today must not assume that the current protocol landscape is the final one.</w:t>
      </w:r>
    </w:p>
    <w:p w14:paraId="01084524" w14:textId="77777777" w:rsidR="00AB7968" w:rsidRDefault="00EF0D76">
      <w:pPr>
        <w:spacing w:before="60" w:after="100" w:line="300" w:lineRule="auto"/>
      </w:pPr>
      <w:r>
        <w:t>The practical implication is protocol abstraction at the integration layer (as described in Section 6) and a preference for platforms and integration patterns that support multiple protocols rather than betting on a single standard. Platforms that adopt multiple protocols or provide extensible integration frameworks are more valuable in a landscape where the winning protocol is not yet determined.</w:t>
      </w:r>
    </w:p>
    <w:p w14:paraId="355132FF" w14:textId="77777777" w:rsidR="00AB7968" w:rsidRDefault="00EF0D76">
      <w:pPr>
        <w:pStyle w:val="Heading3"/>
      </w:pPr>
      <w:bookmarkStart w:id="64" w:name="_Toc229658944"/>
      <w:r>
        <w:t>Principle 6: Evaluate Vendors on Agentic Roadmap Credibility</w:t>
      </w:r>
      <w:bookmarkEnd w:id="64"/>
    </w:p>
    <w:p w14:paraId="071E2DF8" w14:textId="77777777" w:rsidR="00AB7968" w:rsidRDefault="00EF0D76">
      <w:pPr>
        <w:spacing w:before="60" w:after="100" w:line="300" w:lineRule="auto"/>
      </w:pPr>
      <w:r>
        <w:lastRenderedPageBreak/>
        <w:t xml:space="preserve">Every enterprise platform vendor has announced an agentic strategy. Not all of them will deliver. The evaluation criteria should include not just current capabilities but the credibility and depth of the vendor's agentic roadmap. Key indicators include whether the vendor is building agent capabilities natively (as opposed to wrapping third-party APIs), whether the agent framework supports cross-platform interoperability (as opposed to operating only within the vendor's ecosystem), whether the vendor's data </w:t>
      </w:r>
      <w:r>
        <w:t>architecture supports real-time agent access (as opposed to batch-oriented data models), and whether the vendor is investing in the responsible AI and governance infrastructure that enterprise agent deployments require.</w:t>
      </w:r>
    </w:p>
    <w:p w14:paraId="2BD62D18" w14:textId="77777777" w:rsidR="00AB7968" w:rsidRDefault="00EF0D76">
      <w:r>
        <w:br w:type="page"/>
      </w:r>
    </w:p>
    <w:p w14:paraId="528CB112" w14:textId="77777777" w:rsidR="00AB7968" w:rsidRDefault="00EF0D76">
      <w:pPr>
        <w:pStyle w:val="Heading1"/>
      </w:pPr>
      <w:bookmarkStart w:id="65" w:name="_Toc229658945"/>
      <w:r>
        <w:lastRenderedPageBreak/>
        <w:t>Section 7.5: Production Architecture Considerations</w:t>
      </w:r>
      <w:bookmarkEnd w:id="65"/>
    </w:p>
    <w:p w14:paraId="7A71DC56" w14:textId="77777777" w:rsidR="00AB7968" w:rsidRDefault="00EF0D76">
      <w:pPr>
        <w:spacing w:before="60" w:after="100" w:line="300" w:lineRule="auto"/>
      </w:pPr>
      <w:r>
        <w:t xml:space="preserve">The reference architecture describes what the commercial engine should look like. This section addresses what it takes to keep it running. Production agentic systems introduce operational requirements that traditional platform deployments do </w:t>
      </w:r>
      <w:proofErr w:type="gramStart"/>
      <w:r>
        <w:t>not, and</w:t>
      </w:r>
      <w:proofErr w:type="gramEnd"/>
      <w:r>
        <w:t xml:space="preserve"> underestimating them is one of the most common causes of stalled deployments after successful pilots.</w:t>
      </w:r>
    </w:p>
    <w:p w14:paraId="7D1EBAD6" w14:textId="77777777" w:rsidR="00AB7968" w:rsidRDefault="00EF0D76">
      <w:pPr>
        <w:pStyle w:val="Heading2"/>
      </w:pPr>
      <w:bookmarkStart w:id="66" w:name="_Toc229658946"/>
      <w:r>
        <w:t>Resilience and Failure Management</w:t>
      </w:r>
      <w:bookmarkEnd w:id="66"/>
    </w:p>
    <w:p w14:paraId="1EF29DA7" w14:textId="77777777" w:rsidR="00AB7968" w:rsidRDefault="00EF0D76">
      <w:pPr>
        <w:spacing w:before="60" w:after="100" w:line="300" w:lineRule="auto"/>
      </w:pPr>
      <w:r>
        <w:t>Multi-agent workflows that span platforms introduce cascading failure risk. When a pricing agent on one platform fails mid-workflow, the downstream campaign agent waiting for its output must handle the failure gracefully rather than hanging or producing an incomplete customer experience. The architecture must implement circuit breaker patterns at agent and workflow levels, define fallback behaviors for each agent (degrade to rule-based logic, escalate to human, or defer and retry), and maintain timeout budg</w:t>
      </w:r>
      <w:r>
        <w:t>ets for cross-platform orchestration chains. These patterns are defined per micro-journey during architecture scoping and enforced by the Operations &amp; Integration component of the Commercial Brain.</w:t>
      </w:r>
    </w:p>
    <w:p w14:paraId="5C96D786" w14:textId="77777777" w:rsidR="00AB7968" w:rsidRDefault="00EF0D76">
      <w:pPr>
        <w:pStyle w:val="Heading2"/>
      </w:pPr>
      <w:bookmarkStart w:id="67" w:name="_Toc229658947"/>
      <w:r>
        <w:t>Latency and Performance</w:t>
      </w:r>
      <w:bookmarkEnd w:id="67"/>
    </w:p>
    <w:p w14:paraId="21D710F0" w14:textId="77777777" w:rsidR="00AB7968" w:rsidRDefault="00EF0D76">
      <w:pPr>
        <w:spacing w:before="60" w:after="100" w:line="300" w:lineRule="auto"/>
      </w:pPr>
      <w:r>
        <w:t>Cross-platform orchestration (Pattern 2 from Section 6) introduces additive latency. A workflow that traverses three platforms, invokes two model inferences, and executes a RAG retrieval can easily exceed several seconds. For real-time customer experiences (web personalization, conversational agents), this is too slow. The architecture addresses this through latency budgeting per micro-journey: defining the acceptable end-to-end response time and designing the orchestration chain to fit within it. This ofte</w:t>
      </w:r>
      <w:r>
        <w:t>n means pre-computing decisions where possible, caching frequently retrieved knowledge, using the Model Hub to route latency-sensitive tasks to faster models, and parallelizing agent actions that don't have sequential dependencies.</w:t>
      </w:r>
    </w:p>
    <w:p w14:paraId="52B1982F" w14:textId="77777777" w:rsidR="00AB7968" w:rsidRDefault="00EF0D76">
      <w:pPr>
        <w:pStyle w:val="Heading2"/>
      </w:pPr>
      <w:bookmarkStart w:id="68" w:name="_Toc229658948"/>
      <w:r>
        <w:t>Agent Testing and Validation</w:t>
      </w:r>
      <w:bookmarkEnd w:id="68"/>
    </w:p>
    <w:p w14:paraId="02282A7B" w14:textId="77777777" w:rsidR="00AB7968" w:rsidRDefault="00EF0D76">
      <w:pPr>
        <w:spacing w:before="60" w:after="100" w:line="300" w:lineRule="auto"/>
      </w:pPr>
      <w:r>
        <w:t>Multi-agent workflows cannot be validated through traditional unit testing alone. The architecture requires simulation environments where cross-platform agent chains can be tested against synthetic scenarios before production deployment. This includes regression testing for agent behavior after model updates or prompt changes, boundary testing against governance guardrails, and load testing to validate performance under production volumes. The synthetic data category described in Section 5 serves this purpo</w:t>
      </w:r>
      <w:r>
        <w:t>se directly: simulated customer journeys and scenario narratives are the test cases for agent validation.</w:t>
      </w:r>
    </w:p>
    <w:p w14:paraId="59F25745" w14:textId="77777777" w:rsidR="00AB7968" w:rsidRDefault="00EF0D76">
      <w:pPr>
        <w:pStyle w:val="Heading2"/>
      </w:pPr>
      <w:bookmarkStart w:id="69" w:name="_Toc229658949"/>
      <w:r>
        <w:t>Security for Agent-to-Agent Communication</w:t>
      </w:r>
      <w:bookmarkEnd w:id="69"/>
    </w:p>
    <w:p w14:paraId="410AE0D0" w14:textId="77777777" w:rsidR="00AB7968" w:rsidRDefault="00EF0D76">
      <w:pPr>
        <w:spacing w:before="60" w:after="100" w:line="300" w:lineRule="auto"/>
      </w:pPr>
      <w:r>
        <w:t xml:space="preserve">Agent-to-agent interactions across platforms require authentication, authorization, and encryption at the protocol level. Each agent must have a verifiable identity. Each cross-platform action must be authorized against the governance framework. Data exchanged between agents must be encrypted in transit and subject to the same access controls that govern human access to the same data. The </w:t>
      </w:r>
      <w:r>
        <w:lastRenderedPageBreak/>
        <w:t>emerging A2A protocol under the Linux Foundation includes enterprise security design (agent identity verification, encrypted messaging, access control) that addresses many of these requirements, but the architecture must also account for security monitoring of agent behavior patterns to detect compromised or malfunctioning agents.</w:t>
      </w:r>
    </w:p>
    <w:p w14:paraId="595F67DF" w14:textId="77777777" w:rsidR="00AB7968" w:rsidRDefault="00EF0D76">
      <w:pPr>
        <w:pStyle w:val="Heading2"/>
      </w:pPr>
      <w:bookmarkStart w:id="70" w:name="_Toc229658950"/>
      <w:r>
        <w:t>Data Sovereignty and Residency</w:t>
      </w:r>
      <w:bookmarkEnd w:id="70"/>
    </w:p>
    <w:p w14:paraId="3C20CDD3" w14:textId="77777777" w:rsidR="00AB7968" w:rsidRDefault="00EF0D76">
      <w:pPr>
        <w:spacing w:before="60" w:after="100" w:line="300" w:lineRule="auto"/>
      </w:pPr>
      <w:r>
        <w:t>For global enterprises in regulated industries (financial services, healthcare, insurance), data residency requirements constrain where agents can operate and where models can be hosted. A customer interaction in the EU may generate data that cannot leave the region, even when the agent workflow spans platforms hosted in different geographies. The architecture addresses this through data classification at the Enterprise Data Foundation level and routing logic at the AEO level that respects residency constra</w:t>
      </w:r>
      <w:r>
        <w:t>ints when selecting which agents and which model endpoints to invoke. Cloud region selection for model inference and knowledge retrieval must be governed by the same residency policies that govern data storage.</w:t>
      </w:r>
    </w:p>
    <w:p w14:paraId="5184DC23" w14:textId="77777777" w:rsidR="00AB7968" w:rsidRDefault="00EF0D76">
      <w:pPr>
        <w:spacing w:before="60" w:after="100" w:line="300" w:lineRule="auto"/>
      </w:pPr>
      <w:r>
        <w:t>These production considerations are not architectural afterthoughts. They are scoped and addressed during implementation planning for each micro-journey, ensuring that every deployment is production-grade from Day 1 rather than requiring a separate "hardening" phase that delays value realization.</w:t>
      </w:r>
    </w:p>
    <w:p w14:paraId="70FE054D" w14:textId="77777777" w:rsidR="00AB7968" w:rsidRDefault="00EF0D76">
      <w:r>
        <w:br w:type="page"/>
      </w:r>
    </w:p>
    <w:p w14:paraId="5C1E4BF7" w14:textId="77777777" w:rsidR="00AB7968" w:rsidRDefault="00EF0D76">
      <w:pPr>
        <w:pStyle w:val="Heading1"/>
      </w:pPr>
      <w:bookmarkStart w:id="71" w:name="_Toc229658951"/>
      <w:r>
        <w:lastRenderedPageBreak/>
        <w:t>Section 8: Architecture Maturity Model</w:t>
      </w:r>
      <w:bookmarkEnd w:id="71"/>
    </w:p>
    <w:p w14:paraId="11551947" w14:textId="77777777" w:rsidR="00AB7968" w:rsidRDefault="00EF0D76">
      <w:pPr>
        <w:pStyle w:val="Heading2"/>
      </w:pPr>
      <w:bookmarkStart w:id="72" w:name="_Toc229658952"/>
      <w:r>
        <w:t>The Business Question This Section Answers</w:t>
      </w:r>
      <w:bookmarkEnd w:id="72"/>
    </w:p>
    <w:p w14:paraId="08B76468" w14:textId="77777777" w:rsidR="00AB7968" w:rsidRDefault="00EF0D76">
      <w:pPr>
        <w:spacing w:before="60" w:after="100" w:line="300" w:lineRule="auto"/>
      </w:pPr>
      <w:r>
        <w:t>Where is our organization on the journey to an agentic commercial engine, and what does the architecture look like at each stage of maturity?</w:t>
      </w:r>
    </w:p>
    <w:p w14:paraId="7E939250" w14:textId="77777777" w:rsidR="00AB7968" w:rsidRDefault="00EF0D76">
      <w:pPr>
        <w:pStyle w:val="Heading2"/>
      </w:pPr>
      <w:bookmarkStart w:id="73" w:name="_Toc229658953"/>
      <w:r>
        <w:t>Four Stages of Agentic Maturity</w:t>
      </w:r>
      <w:bookmarkEnd w:id="73"/>
    </w:p>
    <w:p w14:paraId="7E611187" w14:textId="77777777" w:rsidR="00AB7968" w:rsidRDefault="00EF0D76">
      <w:pPr>
        <w:spacing w:before="200" w:after="200"/>
        <w:jc w:val="center"/>
      </w:pPr>
      <w:r>
        <w:rPr>
          <w:noProof/>
        </w:rPr>
        <w:drawing>
          <wp:inline distT="0" distB="0" distL="0" distR="0" wp14:anchorId="46B83875" wp14:editId="245AAEBB">
            <wp:extent cx="5905500" cy="4429125"/>
            <wp:effectExtent l="0" t="0" r="0" b="0"/>
            <wp:docPr id="1925180676" name="Picture 192518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429125"/>
                    </a:xfrm>
                    <a:prstGeom prst="rect">
                      <a:avLst/>
                    </a:prstGeom>
                  </pic:spPr>
                </pic:pic>
              </a:graphicData>
            </a:graphic>
          </wp:inline>
        </w:drawing>
      </w:r>
    </w:p>
    <w:p w14:paraId="6CEA5BA8" w14:textId="77777777" w:rsidR="00AB7968" w:rsidRDefault="00EF0D76">
      <w:pPr>
        <w:spacing w:before="60" w:after="100" w:line="300" w:lineRule="auto"/>
      </w:pPr>
      <w:r>
        <w:t xml:space="preserve">Organizations do not leap from siloed operations to an autonomous commercial engine. The transformation follows a progression through four architecturally distinct stages. Each stage has a different architecture, a different value profile, and different readiness requirements. Understanding which </w:t>
      </w:r>
      <w:proofErr w:type="gramStart"/>
      <w:r>
        <w:t>stage</w:t>
      </w:r>
      <w:proofErr w:type="gramEnd"/>
      <w:r>
        <w:t xml:space="preserve"> the organization currently occupies, and what is required to advance to the next, is the starting point for every AFO engagement.</w:t>
      </w:r>
    </w:p>
    <w:p w14:paraId="75CB205B" w14:textId="77777777" w:rsidR="00AB7968" w:rsidRDefault="00EF0D76">
      <w:pPr>
        <w:pStyle w:val="Heading3"/>
      </w:pPr>
      <w:bookmarkStart w:id="74" w:name="_Toc229658954"/>
      <w:r>
        <w:t>Stage 1: Distributed Use-Case Deployment</w:t>
      </w:r>
      <w:bookmarkEnd w:id="74"/>
    </w:p>
    <w:p w14:paraId="0CA54BA8" w14:textId="77777777" w:rsidR="00AB7968" w:rsidRDefault="00EF0D76">
      <w:pPr>
        <w:spacing w:before="60" w:after="100" w:line="300" w:lineRule="auto"/>
      </w:pPr>
      <w:r>
        <w:rPr>
          <w:b/>
          <w:bCs/>
          <w:color w:val="1A1A18"/>
        </w:rPr>
        <w:t>Architectural signature:</w:t>
      </w:r>
      <w:r>
        <w:t xml:space="preserve"> Individual AI agents deployed against specific use cases with no orchestration layer and no shared intelligence infrastructure.</w:t>
      </w:r>
    </w:p>
    <w:p w14:paraId="3C54249A" w14:textId="77777777" w:rsidR="00AB7968" w:rsidRDefault="00EF0D76">
      <w:pPr>
        <w:spacing w:before="60" w:after="100" w:line="300" w:lineRule="auto"/>
      </w:pPr>
      <w:r>
        <w:rPr>
          <w:b/>
          <w:bCs/>
          <w:color w:val="1A1A18"/>
        </w:rPr>
        <w:lastRenderedPageBreak/>
        <w:t>What it looks like:</w:t>
      </w:r>
      <w:r>
        <w:t xml:space="preserve"> The organization has deployed a content generation tool, a chatbot for Tier-1 service deflection, and perhaps a sales copilot for CRM data entry and email drafting. Each operates independently. Each has its own data connection, its own model configuration, and its own governance (if any). There </w:t>
      </w:r>
      <w:proofErr w:type="gramStart"/>
      <w:r>
        <w:t>is</w:t>
      </w:r>
      <w:proofErr w:type="gramEnd"/>
      <w:r>
        <w:t xml:space="preserve"> no shared knowledge layer and no mechanism for one agent's outputs or learnings to inform another's.</w:t>
      </w:r>
    </w:p>
    <w:p w14:paraId="030D071C" w14:textId="77777777" w:rsidR="00AB7968" w:rsidRDefault="00EF0D76">
      <w:pPr>
        <w:spacing w:before="60" w:after="100" w:line="300" w:lineRule="auto"/>
      </w:pPr>
      <w:r>
        <w:rPr>
          <w:b/>
          <w:bCs/>
          <w:color w:val="1A1A18"/>
        </w:rPr>
        <w:t>Value profile:</w:t>
      </w:r>
      <w:r>
        <w:t xml:space="preserve"> Measurable but bounded efficiency gains within individual functions. 5-15% productivity improvements that typically plateau within two quarters. No cross-functional leverage. No compounding intelligence.</w:t>
      </w:r>
    </w:p>
    <w:p w14:paraId="25D66483" w14:textId="77777777" w:rsidR="00AB7968" w:rsidRDefault="00EF0D76">
      <w:pPr>
        <w:spacing w:before="60" w:after="100" w:line="300" w:lineRule="auto"/>
      </w:pPr>
      <w:r>
        <w:rPr>
          <w:b/>
          <w:bCs/>
          <w:color w:val="1A1A18"/>
        </w:rPr>
        <w:t>What's missing architecturally:</w:t>
      </w:r>
      <w:r>
        <w:t xml:space="preserve"> Any level of orchestration layer. A shared enterprise data foundation. A unified knowledge engine. Agent-to-agent communication. Governance beyond platform-native defaults.</w:t>
      </w:r>
    </w:p>
    <w:p w14:paraId="2CDAB6EE" w14:textId="77777777" w:rsidR="00AB7968" w:rsidRDefault="00EF0D76">
      <w:pPr>
        <w:spacing w:before="60" w:after="100" w:line="300" w:lineRule="auto"/>
      </w:pPr>
      <w:r>
        <w:rPr>
          <w:b/>
          <w:bCs/>
          <w:color w:val="1A1A18"/>
        </w:rPr>
        <w:t>Typical enterprise position:</w:t>
      </w:r>
      <w:r>
        <w:t xml:space="preserve"> This is where </w:t>
      </w:r>
      <w:proofErr w:type="gramStart"/>
      <w:r>
        <w:t>the majority of</w:t>
      </w:r>
      <w:proofErr w:type="gramEnd"/>
      <w:r>
        <w:t xml:space="preserve"> enterprises sit as of mid-2026. NVIDIA's 2026 State of AI report indicates that nearly a third of organizations are still in pilot and assessment stages, and only 7% have reached fully scaled AI deployments (Stord, 2026). Most organizations are "using AI" in the front office, but the AI is deployed as utility agents attached to specific tools rather than as an integrated system.</w:t>
      </w:r>
    </w:p>
    <w:p w14:paraId="5DA8A1ED" w14:textId="77777777" w:rsidR="00AB7968" w:rsidRDefault="00EF0D76">
      <w:pPr>
        <w:pStyle w:val="Heading3"/>
      </w:pPr>
      <w:bookmarkStart w:id="75" w:name="_Toc229658955"/>
      <w:r>
        <w:t>Stage 2: Verticalized Functional Sub-Ecosystems</w:t>
      </w:r>
      <w:bookmarkEnd w:id="75"/>
    </w:p>
    <w:p w14:paraId="2958D64B" w14:textId="77777777" w:rsidR="00AB7968" w:rsidRDefault="00EF0D76">
      <w:pPr>
        <w:spacing w:before="60" w:after="100" w:line="300" w:lineRule="auto"/>
      </w:pPr>
      <w:r>
        <w:rPr>
          <w:b/>
          <w:bCs/>
          <w:color w:val="1A1A18"/>
        </w:rPr>
        <w:t>Architectural signature:</w:t>
      </w:r>
      <w:r>
        <w:t xml:space="preserve"> Agent ecosystems forming within functional boundaries, with emerging orchestration within functions but manual or absent orchestration between them.</w:t>
      </w:r>
    </w:p>
    <w:p w14:paraId="5021C2E0" w14:textId="77777777" w:rsidR="00AB7968" w:rsidRDefault="00EF0D76">
      <w:pPr>
        <w:spacing w:before="60" w:after="100" w:line="300" w:lineRule="auto"/>
      </w:pPr>
      <w:r>
        <w:rPr>
          <w:b/>
          <w:bCs/>
          <w:color w:val="1A1A18"/>
        </w:rPr>
        <w:t>What it looks like:</w:t>
      </w:r>
      <w:r>
        <w:t xml:space="preserve"> Marketing has assembled a cluster of agents (content creation, campaign planning, audience segmentation, performance analysis) that collaborate within the marketing platform ecosystem, with super-agents coordinating sub-tasks and a shared marketing knowledge foundation (customer graphs, brand knowledge, RAG pipelines). Sales has done similarly within the CRM ecosystem, with </w:t>
      </w:r>
      <w:proofErr w:type="spellStart"/>
      <w:r>
        <w:t>Agentforce</w:t>
      </w:r>
      <w:proofErr w:type="spellEnd"/>
      <w:r>
        <w:t xml:space="preserve"> agents handling lead qualification, deal coaching, and forecast analytics against Data Cloud. Service has its own agent eco</w:t>
      </w:r>
      <w:r>
        <w:t>system. But the marketing agents, the sales agents, and the service agents don't talk to each other. A churn signal detected by a service agent doesn't trigger a marketing retention journey or a sales renewal workflow.</w:t>
      </w:r>
    </w:p>
    <w:p w14:paraId="3A3DFE17" w14:textId="77777777" w:rsidR="00AB7968" w:rsidRDefault="00EF0D76">
      <w:pPr>
        <w:spacing w:before="60" w:after="100" w:line="300" w:lineRule="auto"/>
      </w:pPr>
      <w:r>
        <w:rPr>
          <w:b/>
          <w:bCs/>
          <w:color w:val="1A1A18"/>
        </w:rPr>
        <w:t>Value profile:</w:t>
      </w:r>
      <w:r>
        <w:t xml:space="preserve"> Meaningful functional transformation. 15-30% efficiency improvements within the verticalized functions. Emerging human-agent collaboration patterns (marketers working with content agents, sellers using AI-coached deal preparation). But the cross-functional integration premium (typically 40-60% of total transformation value) remains uncaptured.</w:t>
      </w:r>
    </w:p>
    <w:p w14:paraId="774995B7" w14:textId="77777777" w:rsidR="00AB7968" w:rsidRDefault="00EF0D76">
      <w:pPr>
        <w:spacing w:before="60" w:after="100" w:line="300" w:lineRule="auto"/>
      </w:pPr>
      <w:r>
        <w:rPr>
          <w:b/>
          <w:bCs/>
          <w:color w:val="1A1A18"/>
        </w:rPr>
        <w:t>What's missing architecturally:</w:t>
      </w:r>
      <w:r>
        <w:t xml:space="preserve"> Cross-functional orchestration (AEO). Cross-functional content operations (ICO operating across all pillars rather than just marketing). A unified Commercial Brain that serves all functions. Unified governance spanning functional boundaries. Integration protocols connecting agent ecosystems across platforms.</w:t>
      </w:r>
    </w:p>
    <w:p w14:paraId="5D0173C2" w14:textId="77777777" w:rsidR="00AB7968" w:rsidRDefault="00EF0D76">
      <w:pPr>
        <w:spacing w:before="60" w:after="100" w:line="300" w:lineRule="auto"/>
      </w:pPr>
      <w:r>
        <w:rPr>
          <w:b/>
          <w:bCs/>
          <w:color w:val="1A1A18"/>
        </w:rPr>
        <w:t>Typical enterprise position:</w:t>
      </w:r>
      <w:r>
        <w:t xml:space="preserve"> Leading enterprises and early AFO adopters are reaching this stage. Platform vendors (Adobe, Salesforce, Microsoft) are actively enabling this stage through their native agent frameworks and functional agent libraries.</w:t>
      </w:r>
    </w:p>
    <w:p w14:paraId="1BC2B112" w14:textId="77777777" w:rsidR="00AB7968" w:rsidRDefault="00EF0D76">
      <w:pPr>
        <w:pStyle w:val="Heading3"/>
      </w:pPr>
      <w:bookmarkStart w:id="76" w:name="_Toc229658956"/>
      <w:r>
        <w:lastRenderedPageBreak/>
        <w:t>Stage 3: Unified Cross-Functional Front-Office Orchestration</w:t>
      </w:r>
      <w:bookmarkEnd w:id="76"/>
    </w:p>
    <w:p w14:paraId="170FBFFB" w14:textId="77777777" w:rsidR="00AB7968" w:rsidRDefault="00EF0D76">
      <w:pPr>
        <w:spacing w:before="60" w:after="100" w:line="300" w:lineRule="auto"/>
      </w:pPr>
      <w:r>
        <w:rPr>
          <w:b/>
          <w:bCs/>
          <w:color w:val="1A1A18"/>
        </w:rPr>
        <w:t>Architectural signature:</w:t>
      </w:r>
      <w:r>
        <w:t xml:space="preserve"> The full AFO reference architecture is operational. AEO orchestrates across all five functional pillars. ICO serves all functions. The Commercial Brain provides a unified intelligence layer. Governance spans the full architecture.</w:t>
      </w:r>
    </w:p>
    <w:p w14:paraId="5244BBC0" w14:textId="77777777" w:rsidR="00AB7968" w:rsidRDefault="00EF0D76">
      <w:pPr>
        <w:spacing w:before="60" w:after="100" w:line="300" w:lineRule="auto"/>
      </w:pPr>
      <w:r>
        <w:rPr>
          <w:b/>
          <w:bCs/>
          <w:color w:val="1A1A18"/>
        </w:rPr>
        <w:t>What it looks like:</w:t>
      </w:r>
      <w:r>
        <w:t xml:space="preserve"> A customer signal detected at the Experience Layer is interpreted by AEO, which orchestrates a coordinated response across Marketing, Sales, Commerce, Service, and Pricing. Content agents produce assets that are consumed by all functions. The Knowledge Engine provides a unified customer state that every agent reasons against. Cross-platform agent orchestration enables workflows that span Salesforce, Adobe, and other platforms seamlessly. Governance maintains consistent autonomy tiers, audit trails, and cos</w:t>
      </w:r>
      <w:r>
        <w:t>t controls across the entire commercial engine.</w:t>
      </w:r>
    </w:p>
    <w:p w14:paraId="31E39E1A" w14:textId="77777777" w:rsidR="00AB7968" w:rsidRDefault="00EF0D76">
      <w:pPr>
        <w:spacing w:before="60" w:after="100" w:line="300" w:lineRule="auto"/>
      </w:pPr>
      <w:r>
        <w:rPr>
          <w:b/>
          <w:bCs/>
          <w:color w:val="1A1A18"/>
        </w:rPr>
        <w:t>Value profile:</w:t>
      </w:r>
      <w:r>
        <w:t xml:space="preserve"> This is where the compounding value begins. Cross-functional workflows capture the integration premium. Service intelligence feeds sales renewal workflows. Marketing signals trigger commerce personalization. Pricing guardrails are enforced in real time across all deal activity. The Commercial Brain's intelligence compounds with every interaction, creating a proprietary advantage that is increasingly difficult for competitors to replicate. Revenue leakage recovery, operational cost reduction, and revenue pr</w:t>
      </w:r>
      <w:r>
        <w:t>oductivity improvement all accelerate as the system matures.</w:t>
      </w:r>
    </w:p>
    <w:p w14:paraId="04350DC3" w14:textId="77777777" w:rsidR="00AB7968" w:rsidRDefault="00EF0D76">
      <w:pPr>
        <w:spacing w:before="60" w:after="100" w:line="300" w:lineRule="auto"/>
      </w:pPr>
      <w:r>
        <w:rPr>
          <w:b/>
          <w:bCs/>
          <w:color w:val="1A1A18"/>
        </w:rPr>
        <w:t>What's enabled architecturally:</w:t>
      </w:r>
      <w:r>
        <w:t xml:space="preserve"> The full AFO reference architecture as described in Section 2. Both the System of Engagement and the System of Creation operating in concert as described in Section 4. All six Commercial Brain components operational as described in Section 3. The data architecture supporting real-time customer state and knowledge-as-a-service as described in Section 5. Cross-platform orchestration operating through standardized protocols as described in Section 6.</w:t>
      </w:r>
    </w:p>
    <w:p w14:paraId="025D9BCE" w14:textId="77777777" w:rsidR="00AB7968" w:rsidRDefault="00EF0D76">
      <w:pPr>
        <w:spacing w:before="60" w:after="100" w:line="300" w:lineRule="auto"/>
      </w:pPr>
      <w:r>
        <w:rPr>
          <w:b/>
          <w:bCs/>
          <w:color w:val="1A1A18"/>
        </w:rPr>
        <w:t>Typical enterprise position:</w:t>
      </w:r>
      <w:r>
        <w:t xml:space="preserve"> A small number of leading organizations are beginning to enter this stage in specific areas of the commercial engine. No organization has achieved full Stage 3 maturity across all five functional pillars as of mid-2026. This is the target state for the AFO program's first 12-18 months of operation.</w:t>
      </w:r>
    </w:p>
    <w:p w14:paraId="5C2ED685" w14:textId="77777777" w:rsidR="00AB7968" w:rsidRDefault="00EF0D76">
      <w:pPr>
        <w:pStyle w:val="Heading3"/>
      </w:pPr>
      <w:bookmarkStart w:id="77" w:name="_Toc229658957"/>
      <w:r>
        <w:t>Stage 4: Full Cross-Enterprise Business Reinvention</w:t>
      </w:r>
      <w:bookmarkEnd w:id="77"/>
    </w:p>
    <w:p w14:paraId="0BE89E5D" w14:textId="77777777" w:rsidR="00AB7968" w:rsidRDefault="00EF0D76">
      <w:pPr>
        <w:spacing w:before="60" w:after="100" w:line="300" w:lineRule="auto"/>
      </w:pPr>
      <w:r>
        <w:rPr>
          <w:b/>
          <w:bCs/>
          <w:color w:val="1A1A18"/>
        </w:rPr>
        <w:t>Architectural signature:</w:t>
      </w:r>
      <w:r>
        <w:t xml:space="preserve"> The agentic architecture extends beyond the front office to encompass supply chain, manufacturing, finance, HR, legal, and other enterprise functions, with federated intelligence sharing across organizational and even inter-organizational boundaries.</w:t>
      </w:r>
    </w:p>
    <w:p w14:paraId="76100B6E" w14:textId="77777777" w:rsidR="00AB7968" w:rsidRDefault="00EF0D76">
      <w:pPr>
        <w:spacing w:before="60" w:after="100" w:line="300" w:lineRule="auto"/>
      </w:pPr>
      <w:r>
        <w:rPr>
          <w:b/>
          <w:bCs/>
          <w:color w:val="1A1A18"/>
        </w:rPr>
        <w:t>What it looks like:</w:t>
      </w:r>
      <w:r>
        <w:t xml:space="preserve"> The Commercial Brain's intelligence informs not just front-office functions but enterprise-wide decisions. Demand signals detected by the commercial engine influence supply chain planning and production scheduling. Customer feedback patterns inform R&amp;D prioritization. Revenue forecasts from the commercial engine feed directly into financial planning. The architecture supports agent-to-agent interaction not just within the enterprise but with customers' and partners' agent ecosystems, creating a networked c</w:t>
      </w:r>
      <w:r>
        <w:t>ommercial intelligence that spans organizational boundaries.</w:t>
      </w:r>
    </w:p>
    <w:p w14:paraId="60937D42" w14:textId="77777777" w:rsidR="00AB7968" w:rsidRDefault="00EF0D76">
      <w:pPr>
        <w:spacing w:before="60" w:after="100" w:line="300" w:lineRule="auto"/>
      </w:pPr>
      <w:r>
        <w:rPr>
          <w:b/>
          <w:bCs/>
          <w:color w:val="1A1A18"/>
        </w:rPr>
        <w:lastRenderedPageBreak/>
        <w:t>Value profile:</w:t>
      </w:r>
      <w:r>
        <w:t xml:space="preserve"> This is the long-term vision: structural growth enablement where revenue growth occurs without proportional cost growth, powered by an intelligence infrastructure that spans the full enterprise value chain.</w:t>
      </w:r>
    </w:p>
    <w:p w14:paraId="15394863" w14:textId="77777777" w:rsidR="00AB7968" w:rsidRDefault="00EF0D76">
      <w:pPr>
        <w:spacing w:before="60" w:after="100" w:line="300" w:lineRule="auto"/>
      </w:pPr>
      <w:r>
        <w:rPr>
          <w:b/>
          <w:bCs/>
          <w:color w:val="1A1A18"/>
        </w:rPr>
        <w:t>What's enabled architecturally:</w:t>
      </w:r>
      <w:r>
        <w:t xml:space="preserve"> A federated knowledge layer that spans front-office, back-office, and partner ecosystems. Cross-organizational agent interoperability through mature agent communication protocols. Enterprise-wide governance frameworks that accommodate the complexity of agents operating across organizational and regulatory boundaries.</w:t>
      </w:r>
    </w:p>
    <w:p w14:paraId="519AB7A9" w14:textId="77777777" w:rsidR="00AB7968" w:rsidRDefault="00EF0D76">
      <w:pPr>
        <w:spacing w:before="60" w:after="100" w:line="300" w:lineRule="auto"/>
      </w:pPr>
      <w:r>
        <w:rPr>
          <w:b/>
          <w:bCs/>
          <w:color w:val="1A1A18"/>
        </w:rPr>
        <w:t>Typical enterprise position:</w:t>
      </w:r>
      <w:r>
        <w:t xml:space="preserve"> No organization has reached this stage as of mid-2026. This is a </w:t>
      </w:r>
      <w:proofErr w:type="gramStart"/>
      <w:r>
        <w:t>3-5 year</w:t>
      </w:r>
      <w:proofErr w:type="gramEnd"/>
      <w:r>
        <w:t xml:space="preserve"> horizon for leading organizations and represents the fully realized vision of the agentic enterprise. The AFO is the front-office foundation that makes this eventual state achievable.</w:t>
      </w:r>
    </w:p>
    <w:p w14:paraId="3784A2FD" w14:textId="77777777" w:rsidR="00AB7968" w:rsidRDefault="00EF0D76">
      <w:pPr>
        <w:pStyle w:val="Heading2"/>
      </w:pPr>
      <w:bookmarkStart w:id="78" w:name="_Toc229658958"/>
      <w:r>
        <w:t>Using the Maturity Model</w:t>
      </w:r>
      <w:bookmarkEnd w:id="78"/>
    </w:p>
    <w:p w14:paraId="766DA085" w14:textId="77777777" w:rsidR="00AB7968" w:rsidRDefault="00EF0D76">
      <w:pPr>
        <w:spacing w:before="60" w:after="100" w:line="300" w:lineRule="auto"/>
      </w:pPr>
      <w:r>
        <w:t>The maturity model serves three practical purposes in AFO engagements:</w:t>
      </w:r>
    </w:p>
    <w:p w14:paraId="66B3FBA2" w14:textId="77777777" w:rsidR="00AB7968" w:rsidRDefault="00EF0D76">
      <w:pPr>
        <w:spacing w:before="60" w:after="100" w:line="300" w:lineRule="auto"/>
      </w:pPr>
      <w:r>
        <w:rPr>
          <w:b/>
          <w:bCs/>
          <w:color w:val="1A1A18"/>
        </w:rPr>
        <w:t>Diagnostic placement.</w:t>
      </w:r>
      <w:r>
        <w:t xml:space="preserve"> The maturity model is used to assess where the organization currently sits. This assessment is conducted across four dimensions at each stage: customer experience coherence, operating model integration, data and technology readiness, and AI role maturity. The assessment produces a current-state placement that is typically not uniform (an organization might be at Stage 2 for marketing, Stage 1 for sales, and Stage 1 for service) and a target-state definition that informs micro-journey selection. The compani</w:t>
      </w:r>
      <w:r>
        <w:t>on Capability Blueprint provides the tool for conducting this assessment at the individual capability level, with maturity indicators for each of the 123 L2 capabilities.</w:t>
      </w:r>
    </w:p>
    <w:p w14:paraId="21C976A8" w14:textId="77777777" w:rsidR="00AB7968" w:rsidRDefault="00EF0D76">
      <w:pPr>
        <w:spacing w:before="60" w:after="100" w:line="300" w:lineRule="auto"/>
      </w:pPr>
      <w:r>
        <w:rPr>
          <w:b/>
          <w:bCs/>
          <w:color w:val="1A1A18"/>
        </w:rPr>
        <w:t>Investment prioritization.</w:t>
      </w:r>
      <w:r>
        <w:t xml:space="preserve"> The architectural gaps between stages inform investment decisions. An organization at Stage 1 needs to invest in functional agent ecosystems and a shared data foundation before it can achieve cross-functional orchestration. An organization at Stage 2 needs to invest in the AEO layer, cross-platform integration, and a unified Commercial Brain. The maturity model prevents organizations from attempting to build Stage 3 capabilities on Stage 1 foundations.</w:t>
      </w:r>
    </w:p>
    <w:p w14:paraId="48D9C7B9" w14:textId="77777777" w:rsidR="00AB7968" w:rsidRDefault="00EF0D76">
      <w:pPr>
        <w:spacing w:before="60" w:after="100" w:line="300" w:lineRule="auto"/>
      </w:pPr>
      <w:r>
        <w:rPr>
          <w:b/>
          <w:bCs/>
          <w:color w:val="1A1A18"/>
        </w:rPr>
        <w:t>Progress measurement.</w:t>
      </w:r>
      <w:r>
        <w:t xml:space="preserve"> As the AFO program executes, the maturity model provides a structured framework for measuring architectural progress. Advancing from Stage 1 to Stage 2 in a specific functional area is a measurable milestone. Achieving Stage 3 orchestration between two functions (for example, connecting marketing and service through a shared churn detection workflow) is a measurable milestone. The maturity model converts architectural progress into language that non-technical stakeholders can track and evaluate.</w:t>
      </w:r>
    </w:p>
    <w:p w14:paraId="65CFE2FD" w14:textId="77777777" w:rsidR="00AB7968" w:rsidRDefault="00EF0D76">
      <w:pPr>
        <w:pStyle w:val="Heading2"/>
      </w:pPr>
      <w:bookmarkStart w:id="79" w:name="_Toc229658959"/>
      <w:r>
        <w:t>The Path Forward</w:t>
      </w:r>
      <w:bookmarkEnd w:id="79"/>
    </w:p>
    <w:p w14:paraId="7343FB7E" w14:textId="77777777" w:rsidR="00AB7968" w:rsidRDefault="00EF0D76">
      <w:pPr>
        <w:spacing w:before="60" w:after="100" w:line="300" w:lineRule="auto"/>
      </w:pPr>
      <w:r>
        <w:t>The Architecture Deep Dive provides the structural blueprint for the Agentic Front Office. The reference architecture (Section 2) defines the layers. The Commercial Brain (Section 3) defines the intelligence infrastructure. The System of Engagement and System of Creation (Section 4) explain the platform landscape. The data architecture (Section 5) defines the data requirements. The orchestration model (Section 6) explains how agents coordinate across platforms. The platform principles (Section 7) guide tech</w:t>
      </w:r>
      <w:r>
        <w:t xml:space="preserve">nology decisions. The production architecture considerations </w:t>
      </w:r>
      <w:r>
        <w:lastRenderedPageBreak/>
        <w:t>(Section 7.5) address operational readiness. And the maturity model (this section) provides the progression roadmap. The companion Capability Blueprint translates this architecture into 123 assessable capabilities with maturity indicators and platform coverage, providing the diagnostic tool for turning the blueprint into action.</w:t>
      </w:r>
    </w:p>
    <w:p w14:paraId="12140D15" w14:textId="77777777" w:rsidR="00AB7968" w:rsidRDefault="00EF0D76">
      <w:pPr>
        <w:spacing w:before="60" w:after="100" w:line="300" w:lineRule="auto"/>
      </w:pPr>
      <w:r>
        <w:t>What remains is to render this architecture against the specific platform ecosystem the organization operates in and to translate architectural milestones into a phased execution plan.</w:t>
      </w:r>
    </w:p>
    <w:p w14:paraId="26469F4B" w14:textId="77777777" w:rsidR="00AB7968" w:rsidRDefault="00EF0D76">
      <w:pPr>
        <w:spacing w:before="60" w:after="100" w:line="300" w:lineRule="auto"/>
      </w:pPr>
      <w:r>
        <w:t>The architecture is designed to be built incrementally, one micro-journey at a time, with each deployment contributing to the broader commercial engine rather than creating another point solution. The organizations that build this architecture first will compound their advantage with every customer interaction. The window for establishing that advantage is open now.</w:t>
      </w:r>
    </w:p>
    <w:sectPr w:rsidR="00AB7968">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118CA" w14:textId="77777777" w:rsidR="00EF0D76" w:rsidRDefault="00EF0D76">
      <w:r>
        <w:separator/>
      </w:r>
    </w:p>
  </w:endnote>
  <w:endnote w:type="continuationSeparator" w:id="0">
    <w:p w14:paraId="195465DE" w14:textId="77777777" w:rsidR="00EF0D76" w:rsidRDefault="00EF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CCF9A" w14:textId="77777777" w:rsidR="00AB7968" w:rsidRDefault="00EF0D76">
    <w:pPr>
      <w:tabs>
        <w:tab w:val="right" w:pos="9026"/>
      </w:tabs>
    </w:pPr>
    <w:r>
      <w:rPr>
        <w:color w:val="AAAAAA"/>
        <w:sz w:val="16"/>
        <w:szCs w:val="16"/>
      </w:rPr>
      <w:t>Confidential</w:t>
    </w:r>
    <w:r>
      <w:tab/>
    </w:r>
    <w:r>
      <w:rPr>
        <w:color w:val="AAAAAA"/>
        <w:sz w:val="16"/>
        <w:szCs w:val="16"/>
      </w:rPr>
      <w:t xml:space="preserve">Page </w:t>
    </w:r>
    <w:r>
      <w:rPr>
        <w:color w:val="AAAAAA"/>
        <w:sz w:val="16"/>
        <w:szCs w:val="16"/>
      </w:rPr>
      <w:fldChar w:fldCharType="begin"/>
    </w:r>
    <w:r>
      <w:rPr>
        <w:color w:val="AAAAAA"/>
        <w:sz w:val="16"/>
        <w:szCs w:val="16"/>
      </w:rPr>
      <w:instrText>PAGE</w:instrText>
    </w:r>
    <w:r>
      <w:rPr>
        <w:color w:val="AAAAAA"/>
        <w:sz w:val="16"/>
        <w:szCs w:val="16"/>
      </w:rPr>
      <w:fldChar w:fldCharType="separate"/>
    </w:r>
    <w:r w:rsidR="002038A3">
      <w:rPr>
        <w:noProof/>
        <w:color w:val="AAAAAA"/>
        <w:sz w:val="16"/>
        <w:szCs w:val="16"/>
      </w:rPr>
      <w:t>5</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CE744" w14:textId="77777777" w:rsidR="00EF0D76" w:rsidRDefault="00EF0D76">
      <w:r>
        <w:separator/>
      </w:r>
    </w:p>
  </w:footnote>
  <w:footnote w:type="continuationSeparator" w:id="0">
    <w:p w14:paraId="734A289B" w14:textId="77777777" w:rsidR="00EF0D76" w:rsidRDefault="00EF0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8B3B" w14:textId="77777777" w:rsidR="00AB7968" w:rsidRDefault="00EF0D76">
    <w:pPr>
      <w:jc w:val="right"/>
    </w:pPr>
    <w:r>
      <w:rPr>
        <w:color w:val="AAAAAA"/>
        <w:sz w:val="16"/>
        <w:szCs w:val="16"/>
      </w:rPr>
      <w:t>Agentic Front Office  |  Architecture Deep Dive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E5424"/>
    <w:multiLevelType w:val="hybridMultilevel"/>
    <w:tmpl w:val="71D45D0C"/>
    <w:lvl w:ilvl="0" w:tplc="0AF269DA">
      <w:start w:val="1"/>
      <w:numFmt w:val="bullet"/>
      <w:lvlText w:val="●"/>
      <w:lvlJc w:val="left"/>
      <w:pPr>
        <w:ind w:left="720" w:hanging="360"/>
      </w:pPr>
    </w:lvl>
    <w:lvl w:ilvl="1" w:tplc="3A005A02">
      <w:start w:val="1"/>
      <w:numFmt w:val="bullet"/>
      <w:lvlText w:val="○"/>
      <w:lvlJc w:val="left"/>
      <w:pPr>
        <w:ind w:left="1440" w:hanging="360"/>
      </w:pPr>
    </w:lvl>
    <w:lvl w:ilvl="2" w:tplc="60C87004">
      <w:start w:val="1"/>
      <w:numFmt w:val="bullet"/>
      <w:lvlText w:val="■"/>
      <w:lvlJc w:val="left"/>
      <w:pPr>
        <w:ind w:left="2160" w:hanging="360"/>
      </w:pPr>
    </w:lvl>
    <w:lvl w:ilvl="3" w:tplc="B7326E34">
      <w:start w:val="1"/>
      <w:numFmt w:val="bullet"/>
      <w:lvlText w:val="●"/>
      <w:lvlJc w:val="left"/>
      <w:pPr>
        <w:ind w:left="2880" w:hanging="360"/>
      </w:pPr>
    </w:lvl>
    <w:lvl w:ilvl="4" w:tplc="4FDAEA42">
      <w:start w:val="1"/>
      <w:numFmt w:val="bullet"/>
      <w:lvlText w:val="○"/>
      <w:lvlJc w:val="left"/>
      <w:pPr>
        <w:ind w:left="3600" w:hanging="360"/>
      </w:pPr>
    </w:lvl>
    <w:lvl w:ilvl="5" w:tplc="8BF4868A">
      <w:start w:val="1"/>
      <w:numFmt w:val="bullet"/>
      <w:lvlText w:val="■"/>
      <w:lvlJc w:val="left"/>
      <w:pPr>
        <w:ind w:left="4320" w:hanging="360"/>
      </w:pPr>
    </w:lvl>
    <w:lvl w:ilvl="6" w:tplc="D778A4EE">
      <w:start w:val="1"/>
      <w:numFmt w:val="bullet"/>
      <w:lvlText w:val="●"/>
      <w:lvlJc w:val="left"/>
      <w:pPr>
        <w:ind w:left="5040" w:hanging="360"/>
      </w:pPr>
    </w:lvl>
    <w:lvl w:ilvl="7" w:tplc="BFEE7F22">
      <w:start w:val="1"/>
      <w:numFmt w:val="bullet"/>
      <w:lvlText w:val="●"/>
      <w:lvlJc w:val="left"/>
      <w:pPr>
        <w:ind w:left="5760" w:hanging="360"/>
      </w:pPr>
    </w:lvl>
    <w:lvl w:ilvl="8" w:tplc="D8B4F06E">
      <w:start w:val="1"/>
      <w:numFmt w:val="bullet"/>
      <w:lvlText w:val="●"/>
      <w:lvlJc w:val="left"/>
      <w:pPr>
        <w:ind w:left="6480" w:hanging="360"/>
      </w:pPr>
    </w:lvl>
  </w:abstractNum>
  <w:num w:numId="1" w16cid:durableId="679310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968"/>
    <w:rsid w:val="002038A3"/>
    <w:rsid w:val="005A350E"/>
    <w:rsid w:val="00AB7968"/>
    <w:rsid w:val="00EF0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8E0BE5"/>
  <w15:docId w15:val="{2079D95D-620D-1D4F-B5B6-0FD2E5BD1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A1A18"/>
      <w:sz w:val="32"/>
      <w:szCs w:val="32"/>
    </w:rPr>
  </w:style>
  <w:style w:type="paragraph" w:styleId="Heading2">
    <w:name w:val="heading 2"/>
    <w:uiPriority w:val="9"/>
    <w:unhideWhenUsed/>
    <w:qFormat/>
    <w:pPr>
      <w:spacing w:before="280" w:after="160"/>
      <w:outlineLvl w:val="1"/>
    </w:pPr>
    <w:rPr>
      <w:b/>
      <w:bCs/>
      <w:color w:val="1A1A18"/>
      <w:sz w:val="26"/>
      <w:szCs w:val="26"/>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2038A3"/>
    <w:pPr>
      <w:spacing w:after="100"/>
      <w:ind w:left="210"/>
    </w:pPr>
  </w:style>
  <w:style w:type="paragraph" w:styleId="TOC1">
    <w:name w:val="toc 1"/>
    <w:basedOn w:val="Normal"/>
    <w:next w:val="Normal"/>
    <w:autoRedefine/>
    <w:uiPriority w:val="39"/>
    <w:unhideWhenUsed/>
    <w:rsid w:val="002038A3"/>
    <w:pPr>
      <w:spacing w:after="100"/>
    </w:pPr>
  </w:style>
  <w:style w:type="paragraph" w:styleId="TOC3">
    <w:name w:val="toc 3"/>
    <w:basedOn w:val="Normal"/>
    <w:next w:val="Normal"/>
    <w:autoRedefine/>
    <w:uiPriority w:val="39"/>
    <w:unhideWhenUsed/>
    <w:rsid w:val="002038A3"/>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52</Pages>
  <Words>18096</Words>
  <Characters>114007</Characters>
  <Application>Microsoft Office Word</Application>
  <DocSecurity>0</DocSecurity>
  <Lines>1628</Lines>
  <Paragraphs>530</Paragraphs>
  <ScaleCrop>false</ScaleCrop>
  <Company/>
  <LinksUpToDate>false</LinksUpToDate>
  <CharactersWithSpaces>131573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 LaLonde (US)</cp:lastModifiedBy>
  <cp:revision>2</cp:revision>
  <dcterms:created xsi:type="dcterms:W3CDTF">2026-05-14T17:51:00Z</dcterms:created>
  <dcterms:modified xsi:type="dcterms:W3CDTF">2026-05-14T17:51:00Z</dcterms:modified>
</cp:coreProperties>
</file>