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b2b2b"/>
          <w:sz w:val="28"/>
          <w:szCs w:val="28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b2b2b"/>
          <w:sz w:val="28"/>
          <w:szCs w:val="28"/>
          <w:rtl w:val="0"/>
          <w:lang w:val="en-US"/>
          <w14:textFill>
            <w14:solidFill>
              <w14:srgbClr w14:val="2B2B2B"/>
            </w14:solidFill>
          </w14:textFill>
        </w:rPr>
        <w:t>Summarizes the analysis (5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For all the schools, the passing reading percentage is always higher than the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passing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math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 percentage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. Overall, the student</w:t>
      </w:r>
      <w:r>
        <w:rPr>
          <w:rFonts w:ascii="Helvetica" w:hAnsi="Helvetica" w:hint="default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’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s reading skills is higher than the math skills.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b2b2b"/>
          <w:sz w:val="28"/>
          <w:szCs w:val="28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b2b2b"/>
          <w:sz w:val="28"/>
          <w:szCs w:val="28"/>
          <w:rtl w:val="0"/>
          <w:lang w:val="en-US"/>
          <w14:textFill>
            <w14:solidFill>
              <w14:srgbClr w14:val="2B2B2B"/>
            </w14:solidFill>
          </w14:textFill>
        </w:rPr>
        <w:t>Draws two correct conclusions or comparisons from the calculations (10 points)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sz w:val="28"/>
          <w:szCs w:val="28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Conclusion 1: As we can see from the result, when the per student budget is lower, the average math score, average reading score, % passing math, </w:t>
      </w:r>
      <w:r>
        <w:rPr>
          <w:rFonts w:ascii="Helvetica" w:hAnsi="Helvetica"/>
          <w:outline w:val="0"/>
          <w:color w:val="2b2b2b"/>
          <w:rtl w:val="0"/>
          <w:lang w:val="pt-PT"/>
          <w14:textFill>
            <w14:solidFill>
              <w14:srgbClr w14:val="2B2B2B"/>
            </w14:solidFill>
          </w14:textFill>
        </w:rPr>
        <w:t>% passing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 reading and % overall passing is higher. Students perform better when the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budget is lower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pP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Conclusion 2: When the school size is small to medium (less than 2000 students), the overall passing percentage is very high. When the school size is large (2000 to 5000 students),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the overall passing percentage is very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low compare to the small/medium size schools.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Students perform better when the </w:t>
      </w:r>
      <w:r>
        <w:rPr>
          <w:rFonts w:ascii="Helvetica" w:hAnsi="Helvetica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  <w:t>school size is smaller</w:t>
      </w:r>
      <w:r>
        <w:rPr>
          <w:rFonts w:ascii="Helvetica" w:hAnsi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b2b2b"/>
          <w:rtl w:val="0"/>
          <w14:textFill>
            <w14:solidFill>
              <w14:srgbClr w14:val="2B2B2B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1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3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5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7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9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1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30" w:hanging="35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b2b2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