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rPr/>
      </w:pPr>
      <w:del w:id="0" w:author="Unknown Author" w:date="2019-05-11T12:12:36Z">
        <w:bookmarkStart w:id="0" w:name="_GoBack"/>
        <w:bookmarkEnd w:id="0"/>
        <w:r>
          <w:rPr>
            <w:rFonts w:eastAsia="MS Mincho"/>
          </w:rPr>
          <w:delText xml:space="preserve">Paper Title </w:delText>
        </w:r>
      </w:del>
      <w:del w:id="1" w:author="Unknown Author" w:date="2019-05-11T12:12:36Z">
        <w:r>
          <w:rPr>
            <w:rFonts w:eastAsia="MS Mincho"/>
            <w:b/>
            <w:bCs w:val="false"/>
          </w:rPr>
          <w:delText>(</w:delText>
        </w:r>
      </w:del>
      <w:del w:id="2" w:author="Unknown Author" w:date="2019-05-11T12:12:36Z">
        <w:r>
          <w:rPr>
            <w:rFonts w:eastAsia="MS Mincho"/>
            <w:bCs w:val="false"/>
          </w:rPr>
          <w:delText>use style:</w:delText>
        </w:r>
      </w:del>
      <w:del w:id="3" w:author="Unknown Author" w:date="2019-05-11T12:12:36Z">
        <w:r>
          <w:rPr>
            <w:rFonts w:eastAsia="MS Mincho"/>
          </w:rPr>
          <w:delText xml:space="preserve"> </w:delText>
        </w:r>
      </w:del>
      <w:del w:id="4" w:author="Unknown Author" w:date="2019-05-11T12:12:36Z">
        <w:r>
          <w:rPr>
            <w:rFonts w:eastAsia="MS Mincho"/>
            <w:b/>
            <w:bCs w:val="false"/>
            <w:i/>
            <w:iCs/>
          </w:rPr>
          <w:delText>paper title</w:delText>
        </w:r>
      </w:del>
      <w:del w:id="5" w:author="Unknown Author" w:date="2019-05-11T12:12:36Z">
        <w:r>
          <w:rPr>
            <w:rFonts w:eastAsia="MS Mincho"/>
          </w:rPr>
          <w:delText>)</w:delText>
        </w:r>
      </w:del>
      <w:ins w:id="6" w:author="Unknown Author" w:date="2019-05-11T12:12:36Z">
        <w:r>
          <w:rPr>
            <w:rFonts w:eastAsia="MS Mincho"/>
          </w:rPr>
          <w:t>Case Study: A MOOC About MOOCs</w:t>
        </w:r>
      </w:ins>
    </w:p>
    <w:p>
      <w:pPr>
        <w:pStyle w:val="Normal"/>
        <w:rPr>
          <w:rFonts w:eastAsia="MS Mincho"/>
        </w:rPr>
      </w:pPr>
      <w:r>
        <w:rPr>
          <w:rFonts w:eastAsia="MS Mincho"/>
        </w:rPr>
      </w:r>
    </w:p>
    <w:p>
      <w:pPr>
        <w:pStyle w:val="Normal"/>
        <w:rPr>
          <w:rFonts w:eastAsia="MS Mincho"/>
        </w:rPr>
      </w:pPr>
      <w:r>
        <w:rPr>
          <w:rFonts w:eastAsia="MS Mincho"/>
        </w:rPr>
      </w:r>
    </w:p>
    <w:p>
      <w:pPr>
        <w:pStyle w:val="Normal"/>
        <w:rPr>
          <w:rFonts w:eastAsia="MS Mincho"/>
        </w:rPr>
      </w:pPr>
      <w:r>
        <w:rPr>
          <w:rFonts w:eastAsia="MS Mincho"/>
        </w:rPr>
      </w:r>
    </w:p>
    <w:p>
      <w:pPr>
        <w:sectPr>
          <w:type w:val="nextPage"/>
          <w:pgSz w:w="11906" w:h="16838"/>
          <w:pgMar w:left="734" w:right="734" w:header="0" w:top="1080" w:footer="0" w:bottom="2434" w:gutter="0"/>
          <w:pgNumType w:fmt="decimal"/>
          <w:formProt w:val="false"/>
          <w:textDirection w:val="lrTb"/>
          <w:docGrid w:type="default" w:linePitch="600" w:charSpace="40960"/>
        </w:sectPr>
      </w:pPr>
    </w:p>
    <w:p>
      <w:pPr>
        <w:pStyle w:val="Heading1"/>
        <w:numPr>
          <w:ilvl w:val="0"/>
          <w:numId w:val="3"/>
        </w:numPr>
        <w:rPr/>
      </w:pPr>
      <w:r>
        <w:rPr>
          <w:rFonts w:eastAsia="MS Mincho"/>
        </w:rPr>
        <w:t>Introduction</w:t>
      </w:r>
    </w:p>
    <w:p>
      <w:pPr>
        <w:pStyle w:val="TextBody"/>
        <w:rPr/>
      </w:pPr>
      <w:r>
        <w:rPr/>
        <w:t>Traditional on-campus education is often prohibitive for people with physical or mental disabilities. The increasing availability of online courses makes it possible for previously marginalized students to attain higher levels of education. The Georgia Institute of Technology (GA Tech) in the Online Master's of Science in Computer Science (OMS-CS) program is a perfect example . Their fully online, blended MOOC learning format makes postgraduate education possible. The low costs (currently $7000 for the full program) make it affordable.</w:t>
      </w:r>
    </w:p>
    <w:p>
      <w:pPr>
        <w:pStyle w:val="TextBody"/>
        <w:rPr/>
      </w:pPr>
      <w:r>
        <w:rPr/>
        <w:t>In this case study, we describe a project that started with two goals. These both involved building a MOOC on an open source platform. After several iterations of researching MOOCs, we chose the Moodle platform and implemented it on Amazon Web Services (AWS). Because this was a semester-long project for a Computer Science graduate course, the primary functional requirement was to limit costs – AWS' so-called free tier is not always free! Because the project was a prototype, specific considerations customarily needed for a highly scalable MOOC were not a requirement. Proof of concept was the goal.</w:t>
      </w:r>
    </w:p>
    <w:p>
      <w:pPr>
        <w:pStyle w:val="Heading1"/>
        <w:numPr>
          <w:ilvl w:val="0"/>
          <w:numId w:val="3"/>
        </w:numPr>
        <w:rPr/>
      </w:pPr>
      <w:r>
        <w:rPr>
          <w:rFonts w:eastAsia="MS Mincho"/>
        </w:rPr>
        <w:t>A MOOC about MOOCs</w:t>
      </w:r>
    </w:p>
    <w:p>
      <w:pPr>
        <w:pStyle w:val="Heading2"/>
        <w:numPr>
          <w:ilvl w:val="1"/>
          <w:numId w:val="4"/>
        </w:numPr>
        <w:rPr/>
      </w:pPr>
      <w:r>
        <w:rPr/>
        <w:t>Documenting the Process of Building the MOOC on AWS</w:t>
      </w:r>
    </w:p>
    <w:p>
      <w:pPr>
        <w:pStyle w:val="TextBody"/>
        <w:rPr/>
      </w:pPr>
      <w:r>
        <w:rPr/>
        <w:t>The first part of the project was to build "a MOOC about MOOCs." Because we were going to perform all the Linux systems administration steps to set up and launch the MOOC instance, those steps were documented in a MOOC. One video in that MOOC shows how to launch "5-minute Moodle" using the Bitnami Moodle Amazon Machine Image (AMI). This simple approach bypasses hours of Linux command line tasks, yet leaves the student without the knowledge of the Linux command line interface (CLI) environment. Because Moodle is not a "set and forget" application, learners will benefit from the DIY approach.</w:t>
      </w:r>
    </w:p>
    <w:p>
      <w:pPr>
        <w:pStyle w:val="Heading2"/>
        <w:numPr>
          <w:ilvl w:val="1"/>
          <w:numId w:val="4"/>
        </w:numPr>
        <w:rPr/>
      </w:pPr>
      <w:r>
        <w:rPr/>
        <w:t>Analyzing MOOC Log Data: Focus on At-Risk Students</w:t>
      </w:r>
    </w:p>
    <w:p>
      <w:pPr>
        <w:pStyle w:val="TextBody"/>
        <w:rPr/>
      </w:pPr>
      <w:r>
        <w:rPr/>
        <w:t>The second part of the project was initially planned to be a new analysis of MOOC log data using machine learning and statistical libraries. A common goal in this type of analysis is identifying "at-risk" students who are not likely to pass a course. Some learners will sign up for MOOCs never intending to finish all the material – it is not worth expending effort to retain them. The MOOC manager will want to focus on the students who sign up with a full intent to finish. Tracking students manually is an impossible task in a well-subscribed MOOC – automated tools must be applied.</w:t>
        <w:br/>
        <w:br/>
        <w:t xml:space="preserve">After reviewing available research in this area, it became evident that nearly all published research is done </w:t>
      </w:r>
      <w:r>
        <w:rPr/>
        <w:t>b</w:t>
      </w:r>
      <w:r>
        <w:rPr/>
        <w:t xml:space="preserve">y researchers using data from their own companies or universities. There have been several attempts to share MOOC log data publicly, but the challenge in terms of legal risk and standardizing a schema have been a barrier. This new knowledge led to a different approach where </w:t>
      </w:r>
      <w:r>
        <w:rPr/>
        <w:t xml:space="preserve">we documented </w:t>
      </w:r>
      <w:r>
        <w:rPr/>
        <w:t xml:space="preserve">the various ways of sharing MOOC data </w:t>
      </w:r>
      <w:r>
        <w:rPr/>
        <w:t>i</w:t>
      </w:r>
      <w:r>
        <w:rPr/>
        <w:t>n a MOO</w:t>
      </w:r>
      <w:r>
        <w:rPr/>
        <w:t>C. T</w:t>
      </w:r>
      <w:r>
        <w:rPr/>
        <w:t xml:space="preserve">he successful </w:t>
      </w:r>
      <w:r>
        <w:rPr/>
        <w:t>approaches were</w:t>
      </w:r>
      <w:r>
        <w:rPr/>
        <w:t xml:space="preserve"> highlighted.</w:t>
      </w:r>
    </w:p>
    <w:p>
      <w:pPr>
        <w:pStyle w:val="Heading1"/>
        <w:numPr>
          <w:ilvl w:val="0"/>
          <w:numId w:val="3"/>
        </w:numPr>
        <w:rPr>
          <w:rFonts w:eastAsia="MS Mincho"/>
        </w:rPr>
      </w:pPr>
      <w:r>
        <w:rPr>
          <w:rFonts w:eastAsia="MS Mincho"/>
        </w:rPr>
        <w:t>Prepare Your Paper Before Styling</w:t>
      </w:r>
    </w:p>
    <w:p>
      <w:pPr>
        <w:pStyle w:val="TextBody"/>
        <w:rPr/>
      </w:pPr>
      <w:r>
        <w:rPr/>
        <w:t>The multiMOOC Moodle instance successfully applies Agile and Just-in-time Teaching (JITT). As noted, we started out planning to obtain a publicly available anonymized data set. Based on press releases from the early 2010s, the Harvard/MIT Person-Course database looked like the right candidate. Once we realized this data set was not available, the search for publicly available data sets began. As it became apparent that properly anonymized MOOC data sets are the exception, not the rule, the project focus shifted.</w:t>
        <w:br/>
        <w:t>There are now four MOOCs in the multiMOOC Moodle instance:</w:t>
      </w:r>
    </w:p>
    <w:p>
      <w:pPr>
        <w:pStyle w:val="TextBody"/>
        <w:numPr>
          <w:ilvl w:val="0"/>
          <w:numId w:val="6"/>
        </w:numPr>
        <w:rPr/>
      </w:pPr>
      <w:r>
        <w:rPr/>
        <w:t>metaMOOC – The original "MOOC about MOOCs" teaching how to set up a Moodle instance on AWS</w:t>
      </w:r>
    </w:p>
    <w:p>
      <w:pPr>
        <w:pStyle w:val="TextBody"/>
        <w:numPr>
          <w:ilvl w:val="0"/>
          <w:numId w:val="6"/>
        </w:numPr>
        <w:rPr/>
      </w:pPr>
      <w:r>
        <w:rPr/>
        <w:t>maintMOOC – An ad-hoc MOOC documenting maintenance tasks as they come up</w:t>
      </w:r>
    </w:p>
    <w:p>
      <w:pPr>
        <w:pStyle w:val="TextBody"/>
        <w:numPr>
          <w:ilvl w:val="0"/>
          <w:numId w:val="6"/>
        </w:numPr>
        <w:rPr/>
      </w:pPr>
      <w:r>
        <w:rPr/>
        <w:t>buildMOOC – A MOOC showing how to build out content in a Moodle instance</w:t>
      </w:r>
    </w:p>
    <w:p>
      <w:pPr>
        <w:pStyle w:val="TextBody"/>
        <w:numPr>
          <w:ilvl w:val="0"/>
          <w:numId w:val="6"/>
        </w:numPr>
        <w:rPr/>
      </w:pPr>
      <w:r>
        <w:rPr/>
        <w:t>dataMOOC – A MOOC about the various MOOC platforms, highlighting an R-based analysis of a publicly available MOOC log data set</w:t>
      </w:r>
    </w:p>
    <w:p>
      <w:pPr>
        <w:pStyle w:val="Heading1"/>
        <w:numPr>
          <w:ilvl w:val="0"/>
          <w:numId w:val="3"/>
        </w:numPr>
        <w:rPr/>
      </w:pPr>
      <w:r>
        <w:rPr>
          <w:rFonts w:eastAsia="MS Mincho"/>
        </w:rPr>
        <w:t>Lessons Learned</w:t>
      </w:r>
    </w:p>
    <w:p>
      <w:pPr>
        <w:pStyle w:val="Heading2"/>
        <w:rPr/>
      </w:pPr>
      <w:r>
        <w:rPr/>
        <w:t>Increasing Diversity Through Educational Access</w:t>
      </w:r>
    </w:p>
    <w:p>
      <w:pPr>
        <w:pStyle w:val="TextBody"/>
        <w:rPr/>
      </w:pPr>
      <w:r>
        <w:rPr/>
        <w:t>Several valuable lessons have been learned along the way. As noted in the introduction, MOOCs are leveling the playing field for learners. People with medical, geographical or financial challenges now have a wide range of choices from free MOOCs to nano-degree programs to blended MOOCs. Blended MOOCs involve traditional enrollment at a university that teaches part or all of the courses over the internet. This leads to a traditional degree. In the case of OMS-CS, it is the same degree and diploma as the on-campus version of the Computer Science program.</w:t>
      </w:r>
    </w:p>
    <w:p>
      <w:pPr>
        <w:pStyle w:val="Heading2"/>
        <w:rPr/>
      </w:pPr>
      <w:r>
        <w:rPr/>
        <w:t>Expanding Learner Community Through MOOCs</w:t>
      </w:r>
    </w:p>
    <w:p>
      <w:pPr>
        <w:pStyle w:val="TextBody"/>
        <w:rPr/>
      </w:pPr>
      <w:r>
        <w:rPr/>
        <w:t>Talk about ww search stats vs US-based, history of reaching only developed world</w:t>
      </w:r>
    </w:p>
    <w:p>
      <w:pPr>
        <w:pStyle w:val="TextBody"/>
        <w:rPr/>
      </w:pPr>
      <w:r>
        <w:rPr/>
        <w:t>Coursera financial aid, GA Tech student loans</w:t>
      </w:r>
    </w:p>
    <w:p>
      <w:pPr>
        <w:pStyle w:val="Heading2"/>
        <w:rPr/>
      </w:pPr>
      <w:r>
        <w:rPr/>
        <w:t>Just-in-time Teaching Techniques</w:t>
      </w:r>
    </w:p>
    <w:p>
      <w:pPr>
        <w:pStyle w:val="TextBody"/>
        <w:rPr/>
      </w:pPr>
      <w:r>
        <w:rPr/>
        <w:t>Because someone who takes this MOOC has an understanding of managing content and the under-the-hood…</w:t>
      </w:r>
    </w:p>
    <w:p>
      <w:pPr>
        <w:pStyle w:val="Heading2"/>
        <w:rPr/>
      </w:pPr>
      <w:r>
        <w:rPr/>
        <w:t>Open Educational Resources and MOOC Licensing</w:t>
      </w:r>
    </w:p>
    <w:p>
      <w:pPr>
        <w:pStyle w:val="TextBody"/>
        <w:rPr/>
      </w:pPr>
      <w:r>
        <w:rPr/>
        <w:t>Just like it sounds</w:t>
      </w:r>
    </w:p>
    <w:p>
      <w:pPr>
        <w:pStyle w:val="Heading2"/>
        <w:rPr/>
      </w:pPr>
      <w:r>
        <w:rPr/>
        <w:t>International Cooperation in MOOC Projects</w:t>
      </w:r>
    </w:p>
    <w:p>
      <w:pPr>
        <w:pStyle w:val="TextBody"/>
        <w:rPr/>
      </w:pPr>
      <w:r>
        <w:rPr/>
        <w:t>Because someone who takes this MOOC has an understanding of managing content and the under-the-hood…</w:t>
      </w:r>
    </w:p>
    <w:p>
      <w:pPr>
        <w:pStyle w:val="Heading2"/>
        <w:rPr/>
      </w:pPr>
      <w:r>
        <w:rPr/>
        <w:t>Using MOOCs in Employee Training</w:t>
      </w:r>
    </w:p>
    <w:p>
      <w:pPr>
        <w:pStyle w:val="TextBody"/>
        <w:rPr/>
      </w:pPr>
      <w:r>
        <w:rPr/>
        <w:t>Because someone who takes this MOOC has an understanding of managing content and the under-the-hood…</w:t>
      </w:r>
    </w:p>
    <w:p>
      <w:pPr>
        <w:pStyle w:val="Heading2"/>
        <w:rPr/>
      </w:pPr>
      <w:r>
        <w:rPr/>
        <w:t>Learning Analytics in MOOC Courses</w:t>
      </w:r>
    </w:p>
    <w:p>
      <w:pPr>
        <w:pStyle w:val="TextBody"/>
        <w:rPr/>
      </w:pPr>
      <w:r>
        <w:rPr/>
        <w:t>This is a challenging area due to lack of both public data sets and common standards / schemas</w:t>
      </w:r>
    </w:p>
    <w:p>
      <w:pPr>
        <w:pStyle w:val="Heading2"/>
        <w:rPr/>
      </w:pPr>
      <w:r>
        <w:rPr/>
        <w:t>Learning Theories Applied in MOOCs</w:t>
      </w:r>
    </w:p>
    <w:p>
      <w:pPr>
        <w:pStyle w:val="TextBody"/>
        <w:rPr/>
      </w:pPr>
      <w:r>
        <w:rPr/>
        <w:t>This is a challenging area due to lack of both public data sets and common standards / schemas</w:t>
      </w:r>
    </w:p>
    <w:p>
      <w:pPr>
        <w:pStyle w:val="Heading2"/>
        <w:rPr/>
      </w:pPr>
      <w:r>
        <w:rPr/>
        <w:t>Learning Analytics in MOOC Courses</w:t>
      </w:r>
    </w:p>
    <w:p>
      <w:pPr>
        <w:pStyle w:val="TextBody"/>
        <w:rPr/>
      </w:pPr>
      <w:r>
        <w:rPr/>
        <w:t>This is a challenging area due to lack of both public data sets and common standards / schemas</w:t>
      </w:r>
    </w:p>
    <w:p>
      <w:pPr>
        <w:pStyle w:val="Heading2"/>
        <w:rPr/>
      </w:pPr>
      <w:r>
        <w:rPr/>
        <w:t>Learning science and educational research models</w:t>
      </w:r>
    </w:p>
    <w:p>
      <w:pPr>
        <w:pStyle w:val="TextBody"/>
        <w:rPr/>
      </w:pPr>
      <w:r>
        <w:rPr/>
        <w:t>MOOCs allow greater flexibility in applying learning theories and, for group projects, team dynamics. I just learned about “Just in Time Teaching” (JITT) mentioned above, this is right inline with my own interests in Lean/Agile/teams which are already in my paper.</w:t>
      </w:r>
    </w:p>
    <w:p>
      <w:pPr>
        <w:pStyle w:val="Heading2"/>
        <w:rPr/>
      </w:pPr>
      <w:r>
        <w:rPr/>
        <w:t>Applying sound science with Machine Learning</w:t>
      </w:r>
    </w:p>
    <w:p>
      <w:pPr>
        <w:pStyle w:val="TextBody"/>
        <w:rPr/>
      </w:pPr>
      <w:r>
        <w:rPr/>
        <w:t>Most common example, well covered in MOOC-based research, are attempts to analyze MOOC data and identify at-risk students. These students can be targeted with automated methods, leading to a more efficient use of resources.</w:t>
      </w:r>
    </w:p>
    <w:p>
      <w:pPr>
        <w:pStyle w:val="Heading1"/>
        <w:numPr>
          <w:ilvl w:val="0"/>
          <w:numId w:val="3"/>
        </w:numPr>
        <w:rPr/>
      </w:pPr>
      <w:ins w:id="7" w:author="Unknown Author" w:date="2019-05-11T12:11:01Z">
        <w:r>
          <w:rPr>
            <w:rFonts w:eastAsia="MS Mincho"/>
          </w:rPr>
          <w:t>Conclusion</w:t>
        </w:r>
      </w:ins>
      <w:del w:id="8" w:author="Unknown Author" w:date="2019-05-11T12:11:48Z">
        <w:r>
          <w:rPr>
            <w:rFonts w:eastAsia="MS Mincho"/>
          </w:rPr>
          <w:delText>C</w:delText>
        </w:r>
      </w:del>
    </w:p>
    <w:p>
      <w:pPr>
        <w:pStyle w:val="TextBody"/>
        <w:numPr>
          <w:ilvl w:val="0"/>
          <w:numId w:val="0"/>
        </w:numPr>
        <w:ind w:left="0" w:hanging="0"/>
        <w:rPr>
          <w:del w:id="11" w:author="Unknown Author" w:date="2019-05-11T12:11:32Z"/>
        </w:rPr>
      </w:pPr>
      <w:ins w:id="9" w:author="Unknown Author" w:date="2019-05-11T12:12:04Z">
        <w:r>
          <w:rPr/>
          <w:t>Several valuable lessons have been learned along the way. As noted in the introduction, MOOCs are leveling the playing field for learners. People with medical, geographical or financial challenges now have a wide range of choices from free MOOCs to nano-degree programs to blended MOOCs. Blended MOOCs involve traditional enrollment at a university that teaches part or all of the courses over the internet. This leads to a traditional degree. In the case of OMS-CS, it is the same degree and diploma as the on-campus version of the Computer Science program.</w:t>
        </w:r>
      </w:ins>
      <w:del w:id="10" w:author="Unknown Author" w:date="2019-05-11T12:11:32Z">
        <w:r>
          <w:rPr/>
          <w:delText>Selecting a Template (Heading 2)</w:delText>
        </w:r>
      </w:del>
    </w:p>
    <w:p>
      <w:pPr>
        <w:pStyle w:val="TextBody"/>
        <w:rPr>
          <w:del w:id="13" w:author="Unknown Author" w:date="2019-05-11T12:11:32Z"/>
        </w:rPr>
      </w:pPr>
      <w:del w:id="12" w:author="Unknown Author" w:date="2019-05-11T12:11:32Z">
        <w:r>
          <w:rPr/>
          <w:delText>First, confirm that you have the correct template for your paper size. This template has been tailored for output on the A4 paper size. If you are using US letter-sized paper, please close this file and download the file “MSW_USltr_format”.</w:delText>
        </w:r>
      </w:del>
    </w:p>
    <w:p>
      <w:pPr>
        <w:pStyle w:val="Heading2"/>
        <w:numPr>
          <w:ilvl w:val="1"/>
          <w:numId w:val="4"/>
        </w:numPr>
        <w:rPr>
          <w:del w:id="15" w:author="Unknown Author" w:date="2019-05-11T12:11:32Z"/>
        </w:rPr>
      </w:pPr>
      <w:del w:id="14" w:author="Unknown Author" w:date="2019-05-11T12:11:32Z">
        <w:r>
          <w:rPr/>
          <w:delText>Maintaining the Integrity of the Specifications</w:delText>
        </w:r>
      </w:del>
    </w:p>
    <w:p>
      <w:pPr>
        <w:pStyle w:val="TextBody"/>
        <w:rPr>
          <w:del w:id="17" w:author="Unknown Author" w:date="2019-05-11T12:11:32Z"/>
        </w:rPr>
      </w:pPr>
      <w:del w:id="16" w:author="Unknown Author" w:date="2019-05-11T12:11:32Z">
        <w:r>
          <w:rPr/>
          <w:delTex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delText>
        </w:r>
      </w:del>
    </w:p>
    <w:p>
      <w:pPr>
        <w:pStyle w:val="Heading1"/>
        <w:numPr>
          <w:ilvl w:val="0"/>
          <w:numId w:val="3"/>
        </w:numPr>
        <w:rPr>
          <w:del w:id="19" w:author="Unknown Author" w:date="2019-05-11T12:11:32Z"/>
        </w:rPr>
      </w:pPr>
      <w:del w:id="18" w:author="Unknown Author" w:date="2019-05-11T12:11:32Z">
        <w:r>
          <w:rPr>
            <w:rFonts w:eastAsia="MS Mincho"/>
          </w:rPr>
          <w:delText>Prepare Your Paper Before Styling</w:delText>
        </w:r>
      </w:del>
    </w:p>
    <w:p>
      <w:pPr>
        <w:pStyle w:val="TextBody"/>
        <w:rPr>
          <w:del w:id="21" w:author="Unknown Author" w:date="2019-05-11T12:11:32Z"/>
        </w:rPr>
      </w:pPr>
      <w:del w:id="20" w:author="Unknown Author" w:date="2019-05-11T12:11:32Z">
        <w:r>
          <w:rPr/>
          <w:delTex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delText>
        </w:r>
      </w:del>
    </w:p>
    <w:p>
      <w:pPr>
        <w:pStyle w:val="TextBody"/>
        <w:rPr>
          <w:del w:id="23" w:author="Unknown Author" w:date="2019-05-11T12:11:32Z"/>
        </w:rPr>
      </w:pPr>
      <w:del w:id="22" w:author="Unknown Author" w:date="2019-05-11T12:11:32Z">
        <w:r>
          <w:rPr/>
          <w:delText>Finally, complete content and organizational editing before formatting. Please take note of the following items when proofreading spelling and grammar:</w:delText>
        </w:r>
      </w:del>
    </w:p>
    <w:p>
      <w:pPr>
        <w:pStyle w:val="Heading2"/>
        <w:numPr>
          <w:ilvl w:val="1"/>
          <w:numId w:val="4"/>
        </w:numPr>
        <w:rPr>
          <w:del w:id="25" w:author="Unknown Author" w:date="2019-05-11T12:11:32Z"/>
        </w:rPr>
      </w:pPr>
      <w:del w:id="24" w:author="Unknown Author" w:date="2019-05-11T12:11:32Z">
        <w:r>
          <w:rPr/>
          <w:delText>Abbreviations and Acronyms</w:delText>
        </w:r>
      </w:del>
    </w:p>
    <w:p>
      <w:pPr>
        <w:pStyle w:val="TextBody"/>
        <w:rPr>
          <w:del w:id="27" w:author="Unknown Author" w:date="2019-05-11T12:11:32Z"/>
        </w:rPr>
      </w:pPr>
      <w:del w:id="26" w:author="Unknown Author" w:date="2019-05-11T12:11:32Z">
        <w:r>
          <w:rPr/>
          <w:delText>Define abbreviations and acronyms the first time they are used in the text, even after they have been defined in the abstract. Abbreviations such as IEEE, SI, MKS, CGS, sc, dc, and rms do not have to be defined. Do not use abbreviations in the title or heads unless they are unavoidable.</w:delText>
        </w:r>
      </w:del>
    </w:p>
    <w:p>
      <w:pPr>
        <w:pStyle w:val="Heading1"/>
        <w:numPr>
          <w:ilvl w:val="0"/>
          <w:numId w:val="3"/>
        </w:numPr>
        <w:spacing w:before="120" w:after="80"/>
        <w:rPr>
          <w:del w:id="29" w:author="Unknown Author" w:date="2019-05-11T12:11:32Z"/>
        </w:rPr>
      </w:pPr>
      <w:del w:id="28" w:author="Unknown Author" w:date="2019-05-11T12:11:32Z">
        <w:r>
          <w:rPr>
            <w:rFonts w:eastAsia="MS Mincho"/>
          </w:rPr>
          <w:delText>Using the Template</w:delText>
        </w:r>
      </w:del>
    </w:p>
    <w:p>
      <w:pPr>
        <w:pStyle w:val="TextBody"/>
        <w:rPr>
          <w:del w:id="31" w:author="Unknown Author" w:date="2019-05-11T12:11:32Z"/>
        </w:rPr>
      </w:pPr>
      <w:del w:id="30" w:author="Unknown Author" w:date="2019-05-11T12:11:32Z">
        <w:r>
          <w:rPr/>
          <w:delTex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delText>
        </w:r>
      </w:del>
    </w:p>
    <w:p>
      <w:pPr>
        <w:pStyle w:val="Heading2"/>
        <w:numPr>
          <w:ilvl w:val="1"/>
          <w:numId w:val="4"/>
        </w:numPr>
        <w:rPr>
          <w:del w:id="33" w:author="Unknown Author" w:date="2019-05-11T12:11:32Z"/>
        </w:rPr>
      </w:pPr>
      <w:del w:id="32" w:author="Unknown Author" w:date="2019-05-11T12:11:32Z">
        <w:r>
          <w:rPr/>
          <w:delText>Units</w:delText>
        </w:r>
      </w:del>
    </w:p>
    <w:p>
      <w:pPr>
        <w:pStyle w:val="Bulletlist"/>
        <w:numPr>
          <w:ilvl w:val="0"/>
          <w:numId w:val="2"/>
        </w:numPr>
        <w:ind w:left="576" w:hanging="288"/>
        <w:rPr>
          <w:del w:id="35" w:author="Unknown Author" w:date="2019-05-11T12:11:32Z"/>
        </w:rPr>
      </w:pPr>
      <w:del w:id="34" w:author="Unknown Author" w:date="2019-05-11T12:11:32Z">
        <w:r>
          <w:rPr/>
          <w:delText>Use either SI (MKS) or CGS as primary units. (SI units are encouraged.) English units may be used as secondary units (in parentheses). An exception would be the use of English units as identifiers in trade, such as “3.5-inch disk drive.”</w:delText>
        </w:r>
      </w:del>
    </w:p>
    <w:p>
      <w:pPr>
        <w:pStyle w:val="Bulletlist"/>
        <w:numPr>
          <w:ilvl w:val="0"/>
          <w:numId w:val="2"/>
        </w:numPr>
        <w:ind w:left="576" w:hanging="288"/>
        <w:rPr>
          <w:del w:id="37" w:author="Unknown Author" w:date="2019-05-11T12:11:32Z"/>
        </w:rPr>
      </w:pPr>
      <w:del w:id="36" w:author="Unknown Author" w:date="2019-05-11T12:11:32Z">
        <w:r>
          <w:rPr/>
          <w:delText>Avoid combining SI and CGS units, such as current in amperes and magnetic field in oersteds. This often leads to confusion because equations do not balance dimensionally. If you must use mixed units, clearly state the units for each quantity that you use in an equation.</w:delText>
        </w:r>
      </w:del>
    </w:p>
    <w:p>
      <w:pPr>
        <w:pStyle w:val="Bulletlist"/>
        <w:numPr>
          <w:ilvl w:val="0"/>
          <w:numId w:val="2"/>
        </w:numPr>
        <w:ind w:left="576" w:hanging="288"/>
        <w:rPr>
          <w:del w:id="39" w:author="Unknown Author" w:date="2019-05-11T12:11:32Z"/>
        </w:rPr>
      </w:pPr>
      <w:del w:id="38" w:author="Unknown Author" w:date="2019-05-11T12:11:32Z">
        <w:r>
          <w:rPr/>
          <w:delText>Do not mix complete spellings and abbreviations of units: “Wb/m2” or “webers per square meter,” not “webers/m2.” Spell units when they appear in text: “...a few henries,” not “...a few H.”</w:delText>
        </w:r>
      </w:del>
    </w:p>
    <w:p>
      <w:pPr>
        <w:pStyle w:val="Bulletlist"/>
        <w:numPr>
          <w:ilvl w:val="0"/>
          <w:numId w:val="2"/>
        </w:numPr>
        <w:ind w:left="576" w:hanging="288"/>
        <w:rPr>
          <w:del w:id="43" w:author="Unknown Author" w:date="2019-05-11T12:11:32Z"/>
        </w:rPr>
      </w:pPr>
      <w:del w:id="40" w:author="Unknown Author" w:date="2019-05-11T12:11:32Z">
        <w:r>
          <w:rPr/>
          <w:delText>Use a zero before decimal points: “0.25,” not “.25.” Use “cm3,” not “cc.” (</w:delText>
        </w:r>
      </w:del>
      <w:del w:id="41" w:author="Unknown Author" w:date="2019-05-11T12:11:32Z">
        <w:r>
          <w:rPr>
            <w:i/>
            <w:iCs/>
          </w:rPr>
          <w:delText>bullet list</w:delText>
        </w:r>
      </w:del>
      <w:del w:id="42" w:author="Unknown Author" w:date="2019-05-11T12:11:32Z">
        <w:r>
          <w:rPr/>
          <w:delText>)</w:delText>
        </w:r>
      </w:del>
    </w:p>
    <w:p>
      <w:pPr>
        <w:pStyle w:val="Heading2"/>
        <w:numPr>
          <w:ilvl w:val="1"/>
          <w:numId w:val="4"/>
        </w:numPr>
        <w:rPr>
          <w:del w:id="45" w:author="Unknown Author" w:date="2019-05-11T12:11:32Z"/>
        </w:rPr>
      </w:pPr>
      <w:del w:id="44" w:author="Unknown Author" w:date="2019-05-11T12:11:32Z">
        <w:r>
          <w:rPr/>
          <w:delText>Equations</w:delText>
        </w:r>
      </w:del>
    </w:p>
    <w:p>
      <w:pPr>
        <w:pStyle w:val="TextBody"/>
        <w:rPr>
          <w:del w:id="47" w:author="Unknown Author" w:date="2019-05-11T12:11:32Z"/>
        </w:rPr>
      </w:pPr>
      <w:del w:id="46" w:author="Unknown Author" w:date="2019-05-11T12:11:32Z">
        <w:r>
          <w:rPr/>
          <w:delTex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delText>
        </w:r>
      </w:del>
    </w:p>
    <w:p>
      <w:pPr>
        <w:pStyle w:val="TextBody"/>
        <w:rPr>
          <w:del w:id="49" w:author="Unknown Author" w:date="2019-05-11T12:11:32Z"/>
        </w:rPr>
      </w:pPr>
      <w:del w:id="48" w:author="Unknown Author" w:date="2019-05-11T12:11:32Z">
        <w:r>
          <w:rPr/>
          <w:delTex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delText>
        </w:r>
      </w:del>
    </w:p>
    <w:p>
      <w:pPr>
        <w:pStyle w:val="Equation"/>
        <w:rPr>
          <w:del w:id="55" w:author="Unknown Author" w:date="2019-05-11T12:11:32Z"/>
        </w:rPr>
      </w:pPr>
      <w:del w:id="50" w:author="Unknown Author" w:date="2019-05-11T12:11:32Z">
        <w:r>
          <w:rPr>
            <w:rFonts w:eastAsia="MS Mincho"/>
          </w:rPr>
          <w:tab/>
        </w:r>
      </w:del>
      <w:del w:id="51" w:author="Unknown Author" w:date="2019-05-11T12:11:32Z">
        <w:r>
          <w:rPr>
            <w:rFonts w:cs="Times New Roman" w:ascii="Times New Roman" w:hAnsi="Times New Roman"/>
            <w:i/>
          </w:rPr>
          <w:delText>a</w:delText>
        </w:r>
      </w:del>
      <w:del w:id="52" w:author="Unknown Author" w:date="2019-05-11T12:11:32Z">
        <w:r>
          <w:rPr/>
          <w:delText></w:delText>
        </w:r>
      </w:del>
      <w:del w:id="53" w:author="Unknown Author" w:date="2019-05-11T12:11:32Z">
        <w:r>
          <w:rPr>
            <w:rFonts w:cs="Times New Roman" w:ascii="Times New Roman" w:hAnsi="Times New Roman"/>
            <w:i/>
          </w:rPr>
          <w:delText>b</w:delText>
        </w:r>
      </w:del>
      <w:del w:id="54" w:author="Unknown Author" w:date="2019-05-11T12:11:32Z">
        <w:r>
          <w:rPr/>
          <w:delText></w:delText>
          <w:tab/>
          <w:delText></w:delText>
        </w:r>
      </w:del>
    </w:p>
    <w:p>
      <w:pPr>
        <w:pStyle w:val="TextBody"/>
        <w:rPr>
          <w:del w:id="57" w:author="Unknown Author" w:date="2019-05-11T12:11:32Z"/>
        </w:rPr>
      </w:pPr>
      <w:del w:id="56" w:author="Unknown Author" w:date="2019-05-11T12:11:32Z">
        <w:r>
          <w:rPr/>
          <w:delText>Note that the equation is centered using a center tab stop. Be sure that the symbols in your equation have been defined before or immediately following the equation. Use “(1),” not “Eq. (1)” or “equation (1),” except at the beginning of a sentence: “Equation (1) is ...”</w:delText>
        </w:r>
      </w:del>
    </w:p>
    <w:p>
      <w:pPr>
        <w:pStyle w:val="Heading2"/>
        <w:numPr>
          <w:ilvl w:val="1"/>
          <w:numId w:val="4"/>
        </w:numPr>
        <w:rPr>
          <w:del w:id="59" w:author="Unknown Author" w:date="2019-05-11T12:11:32Z"/>
        </w:rPr>
      </w:pPr>
      <w:del w:id="58" w:author="Unknown Author" w:date="2019-05-11T12:11:32Z">
        <w:r>
          <w:rPr/>
          <w:delText>Some Common Mistakes</w:delText>
        </w:r>
      </w:del>
    </w:p>
    <w:p>
      <w:pPr>
        <w:pStyle w:val="Bulletlist"/>
        <w:numPr>
          <w:ilvl w:val="0"/>
          <w:numId w:val="2"/>
        </w:numPr>
        <w:ind w:left="576" w:hanging="288"/>
        <w:rPr>
          <w:del w:id="61" w:author="Unknown Author" w:date="2019-05-11T12:11:32Z"/>
        </w:rPr>
      </w:pPr>
      <w:del w:id="60" w:author="Unknown Author" w:date="2019-05-11T12:11:32Z">
        <w:r>
          <w:rPr/>
          <w:delText>The word “data” is plural, not singular.</w:delText>
        </w:r>
      </w:del>
    </w:p>
    <w:p>
      <w:pPr>
        <w:pStyle w:val="Bulletlist"/>
        <w:numPr>
          <w:ilvl w:val="0"/>
          <w:numId w:val="2"/>
        </w:numPr>
        <w:ind w:left="576" w:hanging="288"/>
        <w:rPr>
          <w:del w:id="66" w:author="Unknown Author" w:date="2019-05-11T12:11:32Z"/>
        </w:rPr>
      </w:pPr>
      <w:del w:id="62" w:author="Unknown Author" w:date="2019-05-11T12:11:32Z">
        <w:r>
          <w:rPr/>
          <w:delText xml:space="preserve">The subscript for the permeability of vacuum </w:delText>
        </w:r>
      </w:del>
      <w:del w:id="63" w:author="Unknown Author" w:date="2019-05-11T12:11:32Z">
        <w:r>
          <w:rPr>
            <w:rFonts w:cs="Symbol" w:ascii="Symbol" w:hAnsi="Symbol"/>
            <w:i/>
            <w:iCs/>
          </w:rPr>
          <w:delText></w:delText>
        </w:r>
      </w:del>
      <w:del w:id="64" w:author="Unknown Author" w:date="2019-05-11T12:11:32Z">
        <w:r>
          <w:rPr>
            <w:vertAlign w:val="subscript"/>
          </w:rPr>
          <w:delText>0</w:delText>
        </w:r>
      </w:del>
      <w:del w:id="65" w:author="Unknown Author" w:date="2019-05-11T12:11:32Z">
        <w:r>
          <w:rPr/>
          <w:delText>, and other common scientific constants, is zero with subscript formatting, not a lowercase letter “o.”</w:delText>
        </w:r>
      </w:del>
    </w:p>
    <w:p>
      <w:pPr>
        <w:pStyle w:val="Bulletlist"/>
        <w:numPr>
          <w:ilvl w:val="0"/>
          <w:numId w:val="2"/>
        </w:numPr>
        <w:ind w:left="576" w:hanging="288"/>
        <w:rPr>
          <w:del w:id="68" w:author="Unknown Author" w:date="2019-05-11T12:11:32Z"/>
        </w:rPr>
      </w:pPr>
      <w:del w:id="67" w:author="Unknown Author" w:date="2019-05-11T12:11:32Z">
        <w:r>
          <w:rPr/>
          <w:delTex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delText>
        </w:r>
      </w:del>
    </w:p>
    <w:p>
      <w:pPr>
        <w:pStyle w:val="Bulletlist"/>
        <w:numPr>
          <w:ilvl w:val="0"/>
          <w:numId w:val="2"/>
        </w:numPr>
        <w:ind w:left="576" w:hanging="288"/>
        <w:rPr>
          <w:del w:id="70" w:author="Unknown Author" w:date="2019-05-11T12:11:32Z"/>
        </w:rPr>
      </w:pPr>
      <w:del w:id="69" w:author="Unknown Author" w:date="2019-05-11T12:11:32Z">
        <w:r>
          <w:rPr/>
          <w:delText>A graph within a graph is an “inset,” not an “insert.” The word alternatively is preferred to the word “alternately” (unless you really mean something that alternates).</w:delText>
        </w:r>
      </w:del>
    </w:p>
    <w:p>
      <w:pPr>
        <w:pStyle w:val="Bulletlist"/>
        <w:numPr>
          <w:ilvl w:val="0"/>
          <w:numId w:val="2"/>
        </w:numPr>
        <w:ind w:left="576" w:hanging="288"/>
        <w:rPr>
          <w:del w:id="72" w:author="Unknown Author" w:date="2019-05-11T12:11:32Z"/>
        </w:rPr>
      </w:pPr>
      <w:del w:id="71" w:author="Unknown Author" w:date="2019-05-11T12:11:32Z">
        <w:r>
          <w:rPr/>
          <w:delText>Do not use the word “essentially” to mean “approximately” or “effectively.”</w:delText>
        </w:r>
      </w:del>
    </w:p>
    <w:p>
      <w:pPr>
        <w:pStyle w:val="Bulletlist"/>
        <w:numPr>
          <w:ilvl w:val="0"/>
          <w:numId w:val="2"/>
        </w:numPr>
        <w:ind w:left="576" w:hanging="288"/>
        <w:rPr>
          <w:del w:id="74" w:author="Unknown Author" w:date="2019-05-11T12:11:32Z"/>
        </w:rPr>
      </w:pPr>
      <w:del w:id="73" w:author="Unknown Author" w:date="2019-05-11T12:11:32Z">
        <w:r>
          <w:rPr/>
          <w:delText>In your paper title, if the words “that uses” can accurately replace the word using, capitalize the “u”; if not, keep using lower-cased.</w:delText>
        </w:r>
      </w:del>
    </w:p>
    <w:p>
      <w:pPr>
        <w:pStyle w:val="Bulletlist"/>
        <w:numPr>
          <w:ilvl w:val="0"/>
          <w:numId w:val="2"/>
        </w:numPr>
        <w:ind w:left="576" w:hanging="288"/>
        <w:rPr>
          <w:del w:id="76" w:author="Unknown Author" w:date="2019-05-11T12:11:32Z"/>
        </w:rPr>
      </w:pPr>
      <w:del w:id="75" w:author="Unknown Author" w:date="2019-05-11T12:11:32Z">
        <w:r>
          <w:rPr/>
          <w:delText>Be aware of the different meanings of the homophones “affect” and “effect,” “complement” and “compliment,” “discreet” and “discrete,” “principal” and “principle.”</w:delText>
        </w:r>
      </w:del>
    </w:p>
    <w:p>
      <w:pPr>
        <w:pStyle w:val="Bulletlist"/>
        <w:numPr>
          <w:ilvl w:val="0"/>
          <w:numId w:val="2"/>
        </w:numPr>
        <w:ind w:left="576" w:hanging="288"/>
        <w:rPr>
          <w:del w:id="78" w:author="Unknown Author" w:date="2019-05-11T12:11:32Z"/>
        </w:rPr>
      </w:pPr>
      <w:del w:id="77" w:author="Unknown Author" w:date="2019-05-11T12:11:32Z">
        <w:r>
          <w:rPr/>
          <w:delText>Do not confuse “imply” and “infer.”</w:delText>
        </w:r>
      </w:del>
    </w:p>
    <w:p>
      <w:pPr>
        <w:pStyle w:val="Bulletlist"/>
        <w:numPr>
          <w:ilvl w:val="0"/>
          <w:numId w:val="2"/>
        </w:numPr>
        <w:ind w:left="576" w:hanging="288"/>
        <w:rPr>
          <w:del w:id="80" w:author="Unknown Author" w:date="2019-05-11T12:11:32Z"/>
        </w:rPr>
      </w:pPr>
      <w:del w:id="79" w:author="Unknown Author" w:date="2019-05-11T12:11:32Z">
        <w:r>
          <w:rPr/>
          <w:delText>The prefix “non” is not a word; it should be joined to the word it modifies, usually without a hyphen.</w:delText>
        </w:r>
      </w:del>
    </w:p>
    <w:p>
      <w:pPr>
        <w:pStyle w:val="Bulletlist"/>
        <w:numPr>
          <w:ilvl w:val="0"/>
          <w:numId w:val="2"/>
        </w:numPr>
        <w:ind w:left="576" w:hanging="288"/>
        <w:rPr>
          <w:del w:id="82" w:author="Unknown Author" w:date="2019-05-11T12:11:32Z"/>
        </w:rPr>
      </w:pPr>
      <w:del w:id="81" w:author="Unknown Author" w:date="2019-05-11T12:11:32Z">
        <w:r>
          <w:rPr/>
          <w:delText>There is no period after the “et” in the Latin abbreviation “et al.”</w:delText>
        </w:r>
      </w:del>
    </w:p>
    <w:p>
      <w:pPr>
        <w:pStyle w:val="Bulletlist"/>
        <w:numPr>
          <w:ilvl w:val="0"/>
          <w:numId w:val="2"/>
        </w:numPr>
        <w:ind w:left="576" w:hanging="288"/>
        <w:rPr>
          <w:del w:id="84" w:author="Unknown Author" w:date="2019-05-11T12:11:32Z"/>
        </w:rPr>
      </w:pPr>
      <w:del w:id="83" w:author="Unknown Author" w:date="2019-05-11T12:11:32Z">
        <w:r>
          <w:rPr/>
          <w:delText>The abbreviation “i.e.” means “that is,” and the abbreviation “e.g.” means “for example.”</w:delText>
        </w:r>
      </w:del>
    </w:p>
    <w:p>
      <w:pPr>
        <w:pStyle w:val="TextBody"/>
        <w:rPr>
          <w:del w:id="86" w:author="Unknown Author" w:date="2019-05-11T12:11:32Z"/>
        </w:rPr>
      </w:pPr>
      <w:del w:id="85" w:author="Unknown Author" w:date="2019-05-11T12:11:32Z">
        <w:r>
          <w:rPr/>
          <w:delText>An excellent style manual for science writers is [7].</w:delText>
        </w:r>
      </w:del>
    </w:p>
    <w:p>
      <w:pPr>
        <w:pStyle w:val="Heading1"/>
        <w:numPr>
          <w:ilvl w:val="0"/>
          <w:numId w:val="3"/>
        </w:numPr>
        <w:spacing w:before="120" w:after="80"/>
        <w:rPr>
          <w:del w:id="88" w:author="Unknown Author" w:date="2019-05-11T12:11:32Z"/>
        </w:rPr>
      </w:pPr>
      <w:del w:id="87" w:author="Unknown Author" w:date="2019-05-11T12:11:32Z">
        <w:r>
          <w:rPr>
            <w:rFonts w:eastAsia="MS Mincho"/>
          </w:rPr>
          <w:delText>Using the Template</w:delText>
        </w:r>
      </w:del>
    </w:p>
    <w:p>
      <w:pPr>
        <w:pStyle w:val="TextBody"/>
        <w:rPr>
          <w:del w:id="90" w:author="Unknown Author" w:date="2019-05-11T12:11:32Z"/>
        </w:rPr>
      </w:pPr>
      <w:del w:id="89" w:author="Unknown Author" w:date="2019-05-11T12:11:32Z">
        <w:r>
          <w:rPr/>
          <w:delTex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delText>
        </w:r>
      </w:del>
    </w:p>
    <w:p>
      <w:pPr>
        <w:pStyle w:val="Heading2"/>
        <w:numPr>
          <w:ilvl w:val="1"/>
          <w:numId w:val="4"/>
        </w:numPr>
        <w:rPr>
          <w:del w:id="92" w:author="Unknown Author" w:date="2019-05-11T12:11:32Z"/>
        </w:rPr>
      </w:pPr>
      <w:del w:id="91" w:author="Unknown Author" w:date="2019-05-11T12:11:32Z">
        <w:r>
          <w:rPr/>
          <w:delText>Identify the Headings</w:delText>
        </w:r>
      </w:del>
    </w:p>
    <w:p>
      <w:pPr>
        <w:pStyle w:val="TextBody"/>
        <w:rPr>
          <w:del w:id="94" w:author="Unknown Author" w:date="2019-05-11T12:11:32Z"/>
        </w:rPr>
      </w:pPr>
      <w:del w:id="93" w:author="Unknown Author" w:date="2019-05-11T12:11:32Z">
        <w:r>
          <w:rPr/>
          <w:delText>Headings, or heads, are organizational devices that guide the reader through your paper. There are two types: component heads and text heads.</w:delText>
        </w:r>
      </w:del>
    </w:p>
    <w:p>
      <w:pPr>
        <w:pStyle w:val="TextBody"/>
        <w:rPr>
          <w:del w:id="96" w:author="Unknown Author" w:date="2019-05-11T12:11:32Z"/>
        </w:rPr>
      </w:pPr>
      <w:del w:id="95" w:author="Unknown Author" w:date="2019-05-11T12:11:32Z">
        <w:r>
          <w:rPr/>
          <w:delTex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delText>
        </w:r>
      </w:del>
    </w:p>
    <w:p>
      <w:pPr>
        <w:pStyle w:val="TextBody"/>
        <w:rPr/>
      </w:pPr>
      <w:del w:id="97" w:author="Unknown Author" w:date="2019-05-11T12:11:32Z">
        <w:r>
          <w:rPr/>
          <w:delTex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delText>
        </w:r>
      </w:del>
    </w:p>
    <w:p>
      <w:pPr>
        <w:pStyle w:val="Heading5"/>
        <w:rPr>
          <w:rFonts w:eastAsia="MS Mincho"/>
        </w:rPr>
      </w:pPr>
      <w:r>
        <w:rPr>
          <w:rFonts w:eastAsia="MS Mincho"/>
        </w:rPr>
        <w:t>References</w:t>
      </w:r>
    </w:p>
    <w:p>
      <w:pPr>
        <w:pStyle w:val="TextBody"/>
        <w:rPr/>
      </w:pPr>
      <w:r>
        <w:rPr/>
        <w:t>The template will number citations consecutively within brackets [1]. The sentence punctuation follows the bracket [2]. Refer simply to the reference number, as in [3]—do not use “Ref. [3]” or “reference [3]” except at the beginning of a sentence: “Reference [3] was the first ...”</w:t>
      </w:r>
    </w:p>
    <w:p>
      <w:pPr>
        <w:pStyle w:val="TextBody"/>
        <w:rPr/>
      </w:pPr>
      <w:r>
        <w:rP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TextBody"/>
        <w:rPr/>
      </w:pPr>
      <w:r>
        <w:rPr/>
        <w:t>For papers published in translation journals, please give the English citation first, followed by the original foreign-language citation [6].</w:t>
      </w:r>
    </w:p>
    <w:p>
      <w:pPr>
        <w:pStyle w:val="References"/>
        <w:numPr>
          <w:ilvl w:val="0"/>
          <w:numId w:val="5"/>
        </w:numPr>
        <w:rPr>
          <w:rFonts w:eastAsia="MS Mincho"/>
        </w:rPr>
      </w:pPr>
      <w:r>
        <w:rPr>
          <w:rFonts w:eastAsia="MS Mincho"/>
        </w:rPr>
        <w:t>G. Eason, B. Noble, and I.N. Sneddon, “On certain integrals of Lipschitz-Hankel type involving products of Bessel functions,” Phil. Trans. Roy. Soc. London, vol. A247, pp. 529-551, April 1955. (</w:t>
      </w:r>
      <w:r>
        <w:rPr>
          <w:rFonts w:eastAsia="MS Mincho"/>
          <w:i/>
        </w:rPr>
        <w:t>references</w:t>
      </w:r>
      <w:r>
        <w:rPr>
          <w:rFonts w:eastAsia="MS Mincho"/>
        </w:rPr>
        <w:t>)</w:t>
      </w:r>
    </w:p>
    <w:p>
      <w:pPr>
        <w:pStyle w:val="References"/>
        <w:numPr>
          <w:ilvl w:val="0"/>
          <w:numId w:val="5"/>
        </w:numPr>
        <w:rPr>
          <w:rFonts w:eastAsia="MS Mincho"/>
        </w:rPr>
      </w:pPr>
      <w:r>
        <w:rPr>
          <w:rFonts w:eastAsia="MS Mincho"/>
        </w:rPr>
        <w:t>J. Clerk Maxwell, A Treatise on Electricity and Magnetism, 3rd ed., vol. 2. Oxford: Clarendon, 1892, pp.68-73.</w:t>
      </w:r>
    </w:p>
    <w:p>
      <w:pPr>
        <w:pStyle w:val="References"/>
        <w:numPr>
          <w:ilvl w:val="0"/>
          <w:numId w:val="5"/>
        </w:numPr>
        <w:rPr>
          <w:rFonts w:eastAsia="MS Mincho"/>
        </w:rPr>
      </w:pPr>
      <w:r>
        <w:rPr>
          <w:rFonts w:eastAsia="MS Mincho"/>
        </w:rPr>
        <w:t>I.S. Jacobs and C.P. Bean, “Fine particles, thin films and exchange anisotropy,” in Magnetism, vol. III, G.T. Rado and H. Suhl, Eds. New York: Academic, 1963, pp. 271-350.</w:t>
      </w:r>
    </w:p>
    <w:p>
      <w:pPr>
        <w:pStyle w:val="References"/>
        <w:numPr>
          <w:ilvl w:val="0"/>
          <w:numId w:val="5"/>
        </w:numPr>
        <w:rPr>
          <w:rFonts w:eastAsia="MS Mincho"/>
        </w:rPr>
      </w:pPr>
      <w:r>
        <w:rPr>
          <w:rFonts w:eastAsia="MS Mincho"/>
        </w:rPr>
        <w:t>K. Elissa, “Title of paper if known,” unpublished.</w:t>
      </w:r>
    </w:p>
    <w:p>
      <w:pPr>
        <w:pStyle w:val="References"/>
        <w:numPr>
          <w:ilvl w:val="0"/>
          <w:numId w:val="5"/>
        </w:numPr>
        <w:rPr>
          <w:rFonts w:eastAsia="MS Mincho"/>
        </w:rPr>
      </w:pPr>
      <w:r>
        <w:rPr>
          <w:rFonts w:eastAsia="MS Mincho"/>
        </w:rPr>
        <w:t>R. Nicole, “Title of paper with only first word capitalized,” J. Name Stand. Abbrev., in press.</w:t>
      </w:r>
    </w:p>
    <w:p>
      <w:pPr>
        <w:pStyle w:val="References"/>
        <w:numPr>
          <w:ilvl w:val="0"/>
          <w:numId w:val="5"/>
        </w:numPr>
        <w:rPr>
          <w:rFonts w:eastAsia="MS Mincho"/>
        </w:rPr>
      </w:pPr>
      <w:r>
        <w:rPr>
          <w:rFonts w:eastAsia="MS Mincho"/>
        </w:rPr>
        <w:t>Y. Yorozu, M. Hirano, K. Oka, and Y. Tagawa, “Electron spectroscopy studies on magneto-optical media and plastic substrate interface,” IEEE Transl. J. Magn. Japan, vol. 2, pp. 740-741, August 1987 [Digests 9th Annual Conf. Magnetics Japan, p. 301, 1982].</w:t>
      </w:r>
    </w:p>
    <w:p>
      <w:pPr>
        <w:pStyle w:val="References"/>
        <w:numPr>
          <w:ilvl w:val="0"/>
          <w:numId w:val="5"/>
        </w:numPr>
        <w:rPr>
          <w:rFonts w:eastAsia="MS Mincho"/>
        </w:rPr>
      </w:pPr>
      <w:r>
        <w:rPr>
          <w:rFonts w:eastAsia="MS Mincho"/>
        </w:rPr>
        <w:t>M. Young, The Technical Writer’s Handbook. Mill Valley, CA: University Science, 1989.</w:t>
      </w:r>
    </w:p>
    <w:p>
      <w:pPr>
        <w:sectPr>
          <w:type w:val="continuous"/>
          <w:pgSz w:w="11906" w:h="16838"/>
          <w:pgMar w:left="734" w:right="734" w:header="0" w:top="1080" w:footer="0" w:bottom="2434" w:gutter="0"/>
          <w:cols w:num="2" w:space="340" w:equalWidth="true" w:sep="false"/>
          <w:formProt w:val="false"/>
          <w:textDirection w:val="lrTb"/>
          <w:docGrid w:type="default" w:linePitch="600" w:charSpace="40960"/>
        </w:sectPr>
      </w:pPr>
    </w:p>
    <w:p>
      <w:pPr>
        <w:pStyle w:val="Normal"/>
        <w:jc w:val="both"/>
        <w:rPr/>
      </w:pPr>
      <w:r>
        <w:rPr/>
      </w:r>
    </w:p>
    <w:sectPr>
      <w:type w:val="continuous"/>
      <w:pgSz w:w="11906" w:h="16838"/>
      <w:pgMar w:left="734" w:right="734" w:header="0" w:top="1080" w:footer="0" w:bottom="2434" w:gutter="0"/>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Symbol">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cs="Times New Roman"/>
        <w:color w:val="auto"/>
      </w:rPr>
    </w:lvl>
    <w:lvl w:ilvl="1">
      <w:start w:val="1"/>
      <w:pStyle w:val="Heading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Heading4"/>
      <w:numFmt w:val="lowerLetter"/>
      <w:lvlText w:val="%4)"/>
      <w:lvlJc w:val="left"/>
      <w:pPr>
        <w:tabs>
          <w:tab w:val="num" w:pos="720"/>
        </w:tabs>
        <w:ind w:left="0" w:firstLine="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648"/>
        </w:tabs>
        <w:ind w:left="648"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720"/>
        </w:tabs>
        <w:ind w:left="0" w:firstLine="360"/>
      </w:pPr>
      <w:rPr>
        <w:sz w:val="20"/>
        <w:i/>
        <w:b w:val="false"/>
        <w:szCs w:val="20"/>
        <w:iCs/>
        <w:bCs w:val="false"/>
        <w:rFonts w:cs="Times New Roman"/>
      </w:rPr>
    </w:lvl>
    <w:lvl w:ilvl="4">
      <w:start w:val="1"/>
      <w:numFmt w:val="none"/>
      <w:suff w:val="nothing"/>
      <w:lvlText w:val=""/>
      <w:lvlJc w:val="left"/>
      <w:pPr>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4">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720"/>
        </w:tabs>
        <w:ind w:left="0" w:firstLine="360"/>
      </w:pPr>
      <w:rPr>
        <w:sz w:val="20"/>
        <w:i/>
        <w:b w:val="false"/>
        <w:szCs w:val="20"/>
        <w:iCs/>
        <w:bCs w:val="false"/>
        <w:rFonts w:cs="Times New Roman"/>
      </w:rPr>
    </w:lvl>
    <w:lvl w:ilvl="4">
      <w:start w:val="1"/>
      <w:numFmt w:val="none"/>
      <w:suff w:val="nothing"/>
      <w:lvlText w:val=""/>
      <w:lvlJc w:val="left"/>
      <w:pPr>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5">
    <w:lvl w:ilvl="0">
      <w:start w:val="1"/>
      <w:numFmt w:val="decimal"/>
      <w:lvlText w:val="[%1]"/>
      <w:lvlJc w:val="left"/>
      <w:pPr>
        <w:tabs>
          <w:tab w:val="num" w:pos="360"/>
        </w:tabs>
        <w:ind w:left="36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trackRevisions/>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de-DE" w:eastAsia="fr-FR" w:bidi="ar-SA"/>
      </w:rPr>
    </w:rPrDefault>
    <w:pPrDefault>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b535b"/>
    <w:pPr>
      <w:widowControl/>
      <w:bidi w:val="0"/>
      <w:jc w:val="center"/>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uiPriority w:val="99"/>
    <w:qFormat/>
    <w:pPr>
      <w:keepNext w:val="true"/>
      <w:keepLines/>
      <w:numPr>
        <w:ilvl w:val="0"/>
        <w:numId w:val="1"/>
      </w:numPr>
      <w:tabs>
        <w:tab w:val="clear" w:pos="720"/>
        <w:tab w:val="left" w:pos="216" w:leader="none"/>
      </w:tabs>
      <w:spacing w:before="160" w:after="80"/>
      <w:outlineLvl w:val="0"/>
    </w:pPr>
    <w:rPr>
      <w:smallCaps/>
    </w:rPr>
  </w:style>
  <w:style w:type="paragraph" w:styleId="Heading2">
    <w:name w:val="Heading 2"/>
    <w:basedOn w:val="Normal"/>
    <w:next w:val="Normal"/>
    <w:link w:val="Heading2Char"/>
    <w:uiPriority w:val="99"/>
    <w:qFormat/>
    <w:rsid w:val="00ef3a1a"/>
    <w:pPr>
      <w:keepNext w:val="true"/>
      <w:keepLines/>
      <w:numPr>
        <w:ilvl w:val="1"/>
        <w:numId w:val="1"/>
      </w:numPr>
      <w:tabs>
        <w:tab w:val="clear" w:pos="720"/>
        <w:tab w:val="left" w:pos="288" w:leader="none"/>
      </w:tabs>
      <w:spacing w:before="120" w:after="60"/>
      <w:jc w:val="left"/>
      <w:outlineLvl w:val="1"/>
    </w:pPr>
    <w:rPr>
      <w:rFonts w:eastAsia="MS Mincho"/>
      <w:i/>
      <w:iCs/>
    </w:rPr>
  </w:style>
  <w:style w:type="paragraph" w:styleId="Heading3">
    <w:name w:val="Heading 3"/>
    <w:basedOn w:val="Normal"/>
    <w:next w:val="Normal"/>
    <w:link w:val="Heading3Char"/>
    <w:uiPriority w:val="99"/>
    <w:qFormat/>
    <w:rsid w:val="004059fe"/>
    <w:pPr>
      <w:numPr>
        <w:ilvl w:val="2"/>
        <w:numId w:val="1"/>
      </w:numPr>
      <w:spacing w:lineRule="exact" w:line="240"/>
      <w:ind w:firstLine="288"/>
      <w:jc w:val="both"/>
      <w:outlineLvl w:val="2"/>
    </w:pPr>
    <w:rPr>
      <w:rFonts w:eastAsia="MS Mincho"/>
      <w:i/>
      <w:iCs/>
    </w:rPr>
  </w:style>
  <w:style w:type="paragraph" w:styleId="Heading4">
    <w:name w:val="Heading 4"/>
    <w:basedOn w:val="Normal"/>
    <w:next w:val="Normal"/>
    <w:link w:val="Heading4Char"/>
    <w:uiPriority w:val="99"/>
    <w:qFormat/>
    <w:rsid w:val="004059fe"/>
    <w:pPr>
      <w:numPr>
        <w:ilvl w:val="3"/>
        <w:numId w:val="1"/>
      </w:numPr>
      <w:tabs>
        <w:tab w:val="clear" w:pos="720"/>
        <w:tab w:val="left" w:pos="821" w:leader="none"/>
      </w:tabs>
      <w:spacing w:before="40" w:after="40"/>
      <w:ind w:firstLine="504"/>
      <w:jc w:val="both"/>
      <w:outlineLvl w:val="3"/>
    </w:pPr>
    <w:rPr>
      <w:rFonts w:eastAsia="MS Mincho"/>
      <w:i/>
      <w:iCs/>
    </w:rPr>
  </w:style>
  <w:style w:type="paragraph" w:styleId="Heading5">
    <w:name w:val="Heading 5"/>
    <w:basedOn w:val="Normal"/>
    <w:next w:val="Normal"/>
    <w:link w:val="Heading5Char"/>
    <w:uiPriority w:val="99"/>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locked/>
    <w:rPr>
      <w:rFonts w:ascii="Cambria" w:hAnsi="Cambria" w:eastAsia="Times New Roman" w:cs="Times New Roman"/>
      <w:b/>
      <w:bCs/>
      <w:kern w:val="2"/>
      <w:sz w:val="32"/>
      <w:szCs w:val="32"/>
    </w:rPr>
  </w:style>
  <w:style w:type="character" w:styleId="Heading2Char" w:customStyle="1">
    <w:name w:val="Heading 2 Char"/>
    <w:basedOn w:val="DefaultParagraphFont"/>
    <w:link w:val="Heading2"/>
    <w:uiPriority w:val="99"/>
    <w:qFormat/>
    <w:locked/>
    <w:rsid w:val="00ef3a1a"/>
    <w:rPr>
      <w:rFonts w:ascii="Times New Roman" w:hAnsi="Times New Roman" w:eastAsia="MS Mincho" w:cs="Times New Roman"/>
      <w:i/>
      <w:iCs/>
      <w:sz w:val="20"/>
      <w:szCs w:val="20"/>
    </w:rPr>
  </w:style>
  <w:style w:type="character" w:styleId="Heading3Char" w:customStyle="1">
    <w:name w:val="Heading 3 Char"/>
    <w:basedOn w:val="DefaultParagraphFont"/>
    <w:link w:val="Heading3"/>
    <w:uiPriority w:val="99"/>
    <w:qFormat/>
    <w:locked/>
    <w:rsid w:val="004059fe"/>
    <w:rPr>
      <w:rFonts w:ascii="Times New Roman" w:hAnsi="Times New Roman" w:eastAsia="MS Mincho" w:cs="Times New Roman"/>
      <w:i/>
      <w:iCs/>
      <w:sz w:val="20"/>
      <w:szCs w:val="20"/>
    </w:rPr>
  </w:style>
  <w:style w:type="character" w:styleId="Heading4Char" w:customStyle="1">
    <w:name w:val="Heading 4 Char"/>
    <w:basedOn w:val="DefaultParagraphFont"/>
    <w:link w:val="Heading4"/>
    <w:uiPriority w:val="99"/>
    <w:qFormat/>
    <w:locked/>
    <w:rsid w:val="004059fe"/>
    <w:rPr>
      <w:rFonts w:ascii="Times New Roman" w:hAnsi="Times New Roman" w:eastAsia="MS Mincho" w:cs="Times New Roman"/>
      <w:i/>
      <w:iCs/>
      <w:sz w:val="20"/>
      <w:szCs w:val="20"/>
    </w:rPr>
  </w:style>
  <w:style w:type="character" w:styleId="Heading5Char" w:customStyle="1">
    <w:name w:val="Heading 5 Char"/>
    <w:basedOn w:val="DefaultParagraphFont"/>
    <w:link w:val="Heading5"/>
    <w:uiPriority w:val="9"/>
    <w:semiHidden/>
    <w:qFormat/>
    <w:locked/>
    <w:rPr>
      <w:rFonts w:cs="Times New Roman"/>
      <w:b/>
      <w:bCs/>
      <w:i/>
      <w:iCs/>
      <w:sz w:val="26"/>
      <w:szCs w:val="26"/>
    </w:rPr>
  </w:style>
  <w:style w:type="character" w:styleId="BodyTextChar" w:customStyle="1">
    <w:name w:val="Body Text Char"/>
    <w:basedOn w:val="DefaultParagraphFont"/>
    <w:link w:val="BodyText"/>
    <w:uiPriority w:val="99"/>
    <w:qFormat/>
    <w:locked/>
    <w:rsid w:val="00753f7b"/>
    <w:rPr>
      <w:rFonts w:ascii="Times New Roman" w:hAnsi="Times New Roman" w:eastAsia="MS Mincho" w:cs="Times New Roman"/>
      <w:sz w:val="20"/>
      <w:szCs w:val="20"/>
    </w:rPr>
  </w:style>
  <w:style w:type="character" w:styleId="ListLabel1">
    <w:name w:val="ListLabel 1"/>
    <w:qFormat/>
    <w:rPr>
      <w:rFonts w:cs="Times New Roman"/>
      <w:b w:val="false"/>
      <w:bCs w:val="false"/>
      <w:i w:val="false"/>
      <w:iCs w:val="false"/>
      <w:color w:val="auto"/>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auto"/>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auto"/>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auto"/>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auto"/>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b w:val="false"/>
      <w:i w:val="false"/>
      <w:caps w:val="false"/>
      <w:smallCaps w:val="false"/>
      <w:strike w:val="false"/>
      <w:dstrike w:val="false"/>
      <w:vanish w:val="false"/>
      <w:color w:val="auto"/>
      <w:spacing w:val="0"/>
      <w:w w:val="100"/>
      <w:kern w:val="0"/>
      <w:sz w:val="16"/>
      <w:vertAlign w:val="superscript"/>
    </w:rPr>
  </w:style>
  <w:style w:type="character" w:styleId="ListLabel68">
    <w:name w:val="ListLabel 68"/>
    <w:qFormat/>
    <w:rPr>
      <w:rFonts w:cs="Times New Roman"/>
      <w:caps w:val="false"/>
      <w:smallCaps w:val="false"/>
      <w:strike w:val="false"/>
      <w:dstrike w:val="false"/>
      <w:vanish w:val="false"/>
      <w:color w:val="auto"/>
      <w:position w:val="0"/>
      <w:sz w:val="20"/>
      <w:sz w:val="20"/>
      <w:szCs w:val="20"/>
      <w:vertAlign w:val="baseline"/>
    </w:rPr>
  </w:style>
  <w:style w:type="character" w:styleId="ListLabel69">
    <w:name w:val="ListLabel 6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70">
    <w:name w:val="ListLabel 7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71">
    <w:name w:val="ListLabel 71"/>
    <w:qFormat/>
    <w:rPr>
      <w:rFonts w:cs="Times New Roman"/>
      <w:b w:val="false"/>
      <w:bCs w:val="false"/>
      <w:i/>
      <w:iCs/>
      <w:sz w:val="20"/>
      <w:szCs w:val="20"/>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Times New Roman"/>
      <w:caps w:val="false"/>
      <w:smallCaps w:val="false"/>
      <w:strike w:val="false"/>
      <w:dstrike w:val="false"/>
      <w:vanish w:val="false"/>
      <w:color w:val="auto"/>
      <w:position w:val="0"/>
      <w:sz w:val="20"/>
      <w:sz w:val="20"/>
      <w:szCs w:val="20"/>
      <w:vertAlign w:val="baseline"/>
    </w:rPr>
  </w:style>
  <w:style w:type="character" w:styleId="ListLabel82">
    <w:name w:val="ListLabel 8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83">
    <w:name w:val="ListLabel 8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84">
    <w:name w:val="ListLabel 84"/>
    <w:qFormat/>
    <w:rPr>
      <w:rFonts w:cs="Times New Roman"/>
      <w:b w:val="false"/>
      <w:bCs w:val="false"/>
      <w:i/>
      <w:iCs/>
      <w:sz w:val="20"/>
      <w:szCs w:val="20"/>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caps w:val="false"/>
      <w:smallCaps w:val="false"/>
      <w:strike w:val="false"/>
      <w:dstrike w:val="false"/>
      <w:vanish w:val="false"/>
      <w:color w:val="auto"/>
      <w:position w:val="0"/>
      <w:sz w:val="20"/>
      <w:sz w:val="20"/>
      <w:szCs w:val="20"/>
      <w:vertAlign w:val="baseline"/>
    </w:rPr>
  </w:style>
  <w:style w:type="character" w:styleId="ListLabel91">
    <w:name w:val="ListLabel 9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2">
    <w:name w:val="ListLabel 9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3">
    <w:name w:val="ListLabel 93"/>
    <w:qFormat/>
    <w:rPr>
      <w:rFonts w:cs="Times New Roman"/>
      <w:b w:val="false"/>
      <w:bCs w:val="false"/>
      <w:i/>
      <w:iCs/>
      <w:sz w:val="20"/>
      <w:szCs w:val="20"/>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b w:val="false"/>
      <w:bCs w:val="false"/>
      <w:i w:val="false"/>
      <w:iCs w:val="false"/>
      <w:sz w:val="16"/>
      <w:szCs w:val="16"/>
    </w:rPr>
  </w:style>
  <w:style w:type="character" w:styleId="ListLabel100">
    <w:name w:val="ListLabel 100"/>
    <w:qFormat/>
    <w:rPr>
      <w:rFonts w:cs="Times New Roman"/>
      <w:caps w:val="false"/>
      <w:smallCaps w:val="false"/>
      <w:strike w:val="false"/>
      <w:dstrike w:val="false"/>
      <w:vanish w:val="false"/>
      <w:color w:val="auto"/>
      <w:position w:val="0"/>
      <w:sz w:val="20"/>
      <w:sz w:val="20"/>
      <w:szCs w:val="20"/>
      <w:vertAlign w:val="baseline"/>
    </w:rPr>
  </w:style>
  <w:style w:type="character" w:styleId="ListLabel101">
    <w:name w:val="ListLabel 10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02">
    <w:name w:val="ListLabel 10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03">
    <w:name w:val="ListLabel 103"/>
    <w:qFormat/>
    <w:rPr>
      <w:rFonts w:cs="Times New Roman"/>
      <w:b w:val="false"/>
      <w:bCs w:val="false"/>
      <w:i/>
      <w:iCs/>
      <w:sz w:val="20"/>
      <w:szCs w:val="20"/>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Times New Roman"/>
      <w:caps w:val="false"/>
      <w:smallCaps w:val="false"/>
      <w:strike w:val="false"/>
      <w:dstrike w:val="false"/>
      <w:vanish w:val="false"/>
      <w:color w:val="auto"/>
      <w:position w:val="0"/>
      <w:sz w:val="20"/>
      <w:sz w:val="20"/>
      <w:szCs w:val="20"/>
      <w:vertAlign w:val="baseline"/>
    </w:rPr>
  </w:style>
  <w:style w:type="character" w:styleId="ListLabel114">
    <w:name w:val="ListLabel 11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15">
    <w:name w:val="ListLabel 11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16">
    <w:name w:val="ListLabel 116"/>
    <w:qFormat/>
    <w:rPr>
      <w:rFonts w:cs="Times New Roman"/>
      <w:b w:val="false"/>
      <w:bCs w:val="false"/>
      <w:i/>
      <w:iCs/>
      <w:sz w:val="20"/>
      <w:szCs w:val="20"/>
    </w:rPr>
  </w:style>
  <w:style w:type="character" w:styleId="ListLabel117">
    <w:name w:val="ListLabel 117"/>
    <w:qFormat/>
    <w:rPr>
      <w:rFonts w:cs="Times New Roman"/>
    </w:rPr>
  </w:style>
  <w:style w:type="character" w:styleId="ListLabel118">
    <w:name w:val="ListLabel 118"/>
    <w:qFormat/>
    <w:rPr>
      <w:rFonts w:cs="Times New Roman"/>
    </w:rPr>
  </w:style>
  <w:style w:type="character" w:styleId="ListLabel119">
    <w:name w:val="ListLabel 119"/>
    <w:qFormat/>
    <w:rPr>
      <w:rFonts w:cs="Times New Roman"/>
    </w:rPr>
  </w:style>
  <w:style w:type="character" w:styleId="ListLabel120">
    <w:name w:val="ListLabel 120"/>
    <w:qFormat/>
    <w:rPr>
      <w:rFonts w:cs="Times New Roman"/>
    </w:rPr>
  </w:style>
  <w:style w:type="character" w:styleId="ListLabel121">
    <w:name w:val="ListLabel 121"/>
    <w:qFormat/>
    <w:rPr>
      <w:rFonts w:cs="Times New Roman"/>
    </w:rPr>
  </w:style>
  <w:style w:type="character" w:styleId="ListLabel122">
    <w:name w:val="ListLabel 122"/>
    <w:qFormat/>
    <w:rPr>
      <w:rFonts w:cs="Times New Roman"/>
      <w:caps w:val="false"/>
      <w:smallCaps w:val="false"/>
      <w:strike w:val="false"/>
      <w:dstrike w:val="false"/>
      <w:vanish w:val="false"/>
      <w:color w:val="auto"/>
      <w:position w:val="0"/>
      <w:sz w:val="20"/>
      <w:sz w:val="20"/>
      <w:szCs w:val="20"/>
      <w:vertAlign w:val="baseline"/>
    </w:rPr>
  </w:style>
  <w:style w:type="character" w:styleId="ListLabel123">
    <w:name w:val="ListLabel 12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4">
    <w:name w:val="ListLabel 12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5">
    <w:name w:val="ListLabel 125"/>
    <w:qFormat/>
    <w:rPr>
      <w:rFonts w:cs="Times New Roman"/>
      <w:b w:val="false"/>
      <w:bCs w:val="false"/>
      <w:i/>
      <w:iCs/>
      <w:sz w:val="20"/>
      <w:szCs w:val="20"/>
    </w:rPr>
  </w:style>
  <w:style w:type="character" w:styleId="ListLabel126">
    <w:name w:val="ListLabel 126"/>
    <w:qFormat/>
    <w:rPr>
      <w:rFonts w:cs="Times New Roman"/>
    </w:rPr>
  </w:style>
  <w:style w:type="character" w:styleId="ListLabel127">
    <w:name w:val="ListLabel 127"/>
    <w:qFormat/>
    <w:rPr>
      <w:rFonts w:cs="Times New Roman"/>
    </w:rPr>
  </w:style>
  <w:style w:type="character" w:styleId="ListLabel128">
    <w:name w:val="ListLabel 128"/>
    <w:qFormat/>
    <w:rPr>
      <w:rFonts w:cs="Times New Roman"/>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cs="Times New Roman"/>
      <w:b w:val="false"/>
      <w:bCs w:val="false"/>
      <w:i w:val="false"/>
      <w:iCs w:val="false"/>
      <w:sz w:val="16"/>
      <w:szCs w:val="1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rsid w:val="00753f7b"/>
    <w:pPr>
      <w:tabs>
        <w:tab w:val="clear" w:pos="720"/>
        <w:tab w:val="left" w:pos="288" w:leader="none"/>
      </w:tabs>
      <w:spacing w:lineRule="auto" w:line="228" w:before="0" w:after="120"/>
      <w:ind w:firstLine="288"/>
      <w:jc w:val="both"/>
    </w:pPr>
    <w:rPr>
      <w:rFonts w:eastAsia="MS Mincho"/>
      <w:spacing w:val="-1"/>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bstract" w:customStyle="1">
    <w:name w:val="Abstract"/>
    <w:uiPriority w:val="99"/>
    <w:qFormat/>
    <w:rsid w:val="0097508d"/>
    <w:pPr>
      <w:widowControl/>
      <w:bidi w:val="0"/>
      <w:spacing w:before="0" w:after="200"/>
      <w:ind w:firstLine="274"/>
      <w:jc w:val="both"/>
    </w:pPr>
    <w:rPr>
      <w:rFonts w:ascii="Times New Roman" w:hAnsi="Times New Roman" w:eastAsia="Times New Roman" w:cs="Times New Roman"/>
      <w:b/>
      <w:bCs/>
      <w:color w:val="auto"/>
      <w:kern w:val="0"/>
      <w:sz w:val="18"/>
      <w:szCs w:val="18"/>
      <w:lang w:val="en-US" w:eastAsia="en-US" w:bidi="ar-SA"/>
    </w:rPr>
  </w:style>
  <w:style w:type="paragraph" w:styleId="Affiliation" w:customStyle="1">
    <w:name w:val="Affiliation"/>
    <w:uiPriority w:val="99"/>
    <w:qFormat/>
    <w:pPr>
      <w:widowControl/>
      <w:bidi w:val="0"/>
      <w:jc w:val="center"/>
    </w:pPr>
    <w:rPr>
      <w:rFonts w:ascii="Times New Roman" w:hAnsi="Times New Roman" w:eastAsia="Times New Roman" w:cs="Times New Roman"/>
      <w:color w:val="auto"/>
      <w:kern w:val="0"/>
      <w:sz w:val="20"/>
      <w:szCs w:val="20"/>
      <w:lang w:val="en-US" w:eastAsia="en-US" w:bidi="ar-SA"/>
    </w:rPr>
  </w:style>
  <w:style w:type="paragraph" w:styleId="Author" w:customStyle="1">
    <w:name w:val="Author"/>
    <w:uiPriority w:val="99"/>
    <w:qFormat/>
    <w:pPr>
      <w:widowControl/>
      <w:bidi w:val="0"/>
      <w:spacing w:before="360" w:after="40"/>
      <w:jc w:val="center"/>
    </w:pPr>
    <w:rPr>
      <w:rFonts w:ascii="Times New Roman" w:hAnsi="Times New Roman" w:eastAsia="Times New Roman" w:cs="Times New Roman"/>
      <w:color w:val="auto"/>
      <w:kern w:val="0"/>
      <w:sz w:val="22"/>
      <w:szCs w:val="22"/>
      <w:lang w:val="en-US" w:eastAsia="en-US" w:bidi="ar-SA"/>
    </w:rPr>
  </w:style>
  <w:style w:type="paragraph" w:styleId="Bulletlist" w:customStyle="1">
    <w:name w:val="bullet list"/>
    <w:basedOn w:val="TextBody"/>
    <w:qFormat/>
    <w:rsid w:val="008054bc"/>
    <w:pPr>
      <w:tabs>
        <w:tab w:val="left" w:pos="288" w:leader="none"/>
      </w:tabs>
      <w:ind w:left="576" w:hanging="288"/>
    </w:pPr>
    <w:rPr/>
  </w:style>
  <w:style w:type="paragraph" w:styleId="Equation" w:customStyle="1">
    <w:name w:val="equation"/>
    <w:basedOn w:val="Normal"/>
    <w:uiPriority w:val="99"/>
    <w:qFormat/>
    <w:rsid w:val="00127ed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3a47b5"/>
    <w:pPr>
      <w:widowControl/>
      <w:tabs>
        <w:tab w:val="clear" w:pos="720"/>
        <w:tab w:val="left" w:pos="533" w:leader="none"/>
      </w:tabs>
      <w:bidi w:val="0"/>
      <w:spacing w:before="80" w:after="200"/>
      <w:ind w:left="0" w:hanging="0"/>
      <w:jc w:val="both"/>
    </w:pPr>
    <w:rPr>
      <w:rFonts w:ascii="Times New Roman" w:hAnsi="Times New Roman" w:eastAsia="Times New Roman" w:cs="Times New Roman"/>
      <w:color w:val="auto"/>
      <w:kern w:val="0"/>
      <w:sz w:val="16"/>
      <w:szCs w:val="16"/>
      <w:lang w:val="en-US" w:eastAsia="en-US" w:bidi="ar-SA"/>
    </w:rPr>
  </w:style>
  <w:style w:type="paragraph" w:styleId="Footnote" w:customStyle="1">
    <w:name w:val="footnote"/>
    <w:uiPriority w:val="99"/>
    <w:qFormat/>
    <w:pPr>
      <w:widowControl/>
      <w:bidi w:val="0"/>
      <w:spacing w:before="0" w:after="40"/>
      <w:jc w:val="left"/>
    </w:pPr>
    <w:rPr>
      <w:rFonts w:ascii="Times New Roman" w:hAnsi="Times New Roman" w:eastAsia="Times New Roman" w:cs="Times New Roman"/>
      <w:color w:val="auto"/>
      <w:kern w:val="0"/>
      <w:sz w:val="16"/>
      <w:szCs w:val="16"/>
      <w:lang w:val="en-US" w:eastAsia="en-US" w:bidi="ar-SA"/>
    </w:rPr>
  </w:style>
  <w:style w:type="paragraph" w:styleId="Keywords" w:customStyle="1">
    <w:name w:val="key words"/>
    <w:uiPriority w:val="99"/>
    <w:qFormat/>
    <w:rsid w:val="0097508d"/>
    <w:pPr>
      <w:widowControl/>
      <w:bidi w:val="0"/>
      <w:spacing w:before="0" w:after="120"/>
      <w:ind w:firstLine="274"/>
      <w:jc w:val="both"/>
    </w:pPr>
    <w:rPr>
      <w:rFonts w:ascii="Times New Roman" w:hAnsi="Times New Roman" w:eastAsia="Times New Roman" w:cs="Times New Roman"/>
      <w:b/>
      <w:bCs/>
      <w:i/>
      <w:iCs/>
      <w:color w:val="auto"/>
      <w:kern w:val="0"/>
      <w:sz w:val="18"/>
      <w:szCs w:val="18"/>
      <w:lang w:val="en-US" w:eastAsia="en-US" w:bidi="ar-SA"/>
    </w:rPr>
  </w:style>
  <w:style w:type="paragraph" w:styleId="Papersubtitle" w:customStyle="1">
    <w:name w:val="paper subtitle"/>
    <w:uiPriority w:val="99"/>
    <w:qFormat/>
    <w:rsid w:val="0097508d"/>
    <w:pPr>
      <w:widowControl/>
      <w:bidi w:val="0"/>
      <w:spacing w:before="0" w:after="120"/>
      <w:jc w:val="center"/>
    </w:pPr>
    <w:rPr>
      <w:rFonts w:ascii="Times New Roman" w:hAnsi="Times New Roman" w:eastAsia="Times New Roman" w:cs="Times New Roman"/>
      <w:bCs/>
      <w:color w:val="auto"/>
      <w:kern w:val="0"/>
      <w:sz w:val="28"/>
      <w:szCs w:val="28"/>
      <w:lang w:val="en-US" w:eastAsia="en-US" w:bidi="ar-SA"/>
    </w:rPr>
  </w:style>
  <w:style w:type="paragraph" w:styleId="Papertitle" w:customStyle="1">
    <w:name w:val="paper title"/>
    <w:uiPriority w:val="99"/>
    <w:qFormat/>
    <w:rsid w:val="0097508d"/>
    <w:pPr>
      <w:widowControl/>
      <w:bidi w:val="0"/>
      <w:spacing w:before="0" w:after="120"/>
      <w:jc w:val="center"/>
    </w:pPr>
    <w:rPr>
      <w:rFonts w:ascii="Times New Roman" w:hAnsi="Times New Roman" w:eastAsia="Times New Roman" w:cs="Times New Roman"/>
      <w:bCs/>
      <w:color w:val="auto"/>
      <w:kern w:val="0"/>
      <w:sz w:val="48"/>
      <w:szCs w:val="48"/>
      <w:lang w:val="en-US" w:eastAsia="en-US" w:bidi="ar-SA"/>
    </w:rPr>
  </w:style>
  <w:style w:type="paragraph" w:styleId="References" w:customStyle="1">
    <w:name w:val="references"/>
    <w:uiPriority w:val="99"/>
    <w:qFormat/>
    <w:rsid w:val="004445b3"/>
    <w:pPr>
      <w:widowControl/>
      <w:bidi w:val="0"/>
      <w:spacing w:lineRule="exact" w:line="180" w:before="0" w:after="50"/>
      <w:jc w:val="both"/>
    </w:pPr>
    <w:rPr>
      <w:rFonts w:ascii="Times New Roman" w:hAnsi="Times New Roman" w:eastAsia="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Times New Roman" w:cs="Times New Roman"/>
      <w:color w:val="auto"/>
      <w:kern w:val="0"/>
      <w:sz w:val="16"/>
      <w:szCs w:val="16"/>
      <w:lang w:val="en-US" w:eastAsia="en-US" w:bidi="ar-SA"/>
    </w:rPr>
  </w:style>
  <w:style w:type="paragraph" w:styleId="Tablecolhead" w:customStyle="1">
    <w:name w:val="table col head"/>
    <w:basedOn w:val="Normal"/>
    <w:uiPriority w:val="99"/>
    <w:qFormat/>
    <w:pPr/>
    <w:rPr>
      <w:b/>
      <w:bCs/>
      <w:sz w:val="16"/>
      <w:szCs w:val="16"/>
    </w:rPr>
  </w:style>
  <w:style w:type="paragraph" w:styleId="Tablecolsubhead" w:customStyle="1">
    <w:name w:val="table col subhead"/>
    <w:basedOn w:val="Tablecolhead"/>
    <w:uiPriority w:val="99"/>
    <w:qFormat/>
    <w:pPr/>
    <w:rPr>
      <w:i/>
      <w:iCs/>
      <w:sz w:val="15"/>
      <w:szCs w:val="15"/>
    </w:rPr>
  </w:style>
  <w:style w:type="paragraph" w:styleId="Tablecopy" w:customStyle="1">
    <w:name w:val="table copy"/>
    <w:uiPriority w:val="99"/>
    <w:qFormat/>
    <w:pPr>
      <w:widowControl/>
      <w:bidi w:val="0"/>
      <w:jc w:val="both"/>
    </w:pPr>
    <w:rPr>
      <w:rFonts w:ascii="Times New Roman" w:hAnsi="Times New Roman" w:eastAsia="Times New Roman" w:cs="Times New Roman"/>
      <w:color w:val="auto"/>
      <w:kern w:val="0"/>
      <w:sz w:val="16"/>
      <w:szCs w:val="16"/>
      <w:lang w:val="en-US" w:eastAsia="en-US" w:bidi="ar-SA"/>
    </w:rPr>
  </w:style>
  <w:style w:type="paragraph" w:styleId="Tablefootnote" w:customStyle="1">
    <w:name w:val="table footnote"/>
    <w:uiPriority w:val="99"/>
    <w:qFormat/>
    <w:rsid w:val="00cb66e6"/>
    <w:pPr>
      <w:widowControl/>
      <w:tabs>
        <w:tab w:val="clear" w:pos="720"/>
        <w:tab w:val="left" w:pos="29" w:leader="none"/>
      </w:tabs>
      <w:bidi w:val="0"/>
      <w:spacing w:before="60" w:after="30"/>
      <w:ind w:left="360" w:hanging="0"/>
      <w:jc w:val="right"/>
    </w:pPr>
    <w:rPr>
      <w:rFonts w:ascii="Times New Roman" w:hAnsi="Times New Roman" w:eastAsia="MS Mincho" w:cs="Times New Roman"/>
      <w:color w:val="auto"/>
      <w:kern w:val="0"/>
      <w:sz w:val="12"/>
      <w:szCs w:val="12"/>
      <w:lang w:val="en-US" w:eastAsia="en-US" w:bidi="ar-SA"/>
    </w:rPr>
  </w:style>
  <w:style w:type="paragraph" w:styleId="Tablehead" w:customStyle="1">
    <w:name w:val="table head"/>
    <w:uiPriority w:val="99"/>
    <w:qFormat/>
    <w:pPr>
      <w:widowControl/>
      <w:bidi w:val="0"/>
      <w:spacing w:lineRule="auto" w:line="216" w:before="240" w:after="120"/>
      <w:jc w:val="center"/>
    </w:pPr>
    <w:rPr>
      <w:rFonts w:ascii="Times New Roman" w:hAnsi="Times New Roman" w:eastAsia="Times New Roman" w:cs="Times New Roman"/>
      <w:smallCaps/>
      <w:color w:val="auto"/>
      <w:kern w:val="0"/>
      <w:sz w:val="16"/>
      <w:szCs w:val="16"/>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843</TotalTime>
  <Application>LibreOffice/6.2.2.2$Windows_X86_64 LibreOffice_project/2b840030fec2aae0fd2658d8d4f9548af4e3518d</Application>
  <Pages>2</Pages>
  <Words>1412</Words>
  <Characters>7312</Characters>
  <CharactersWithSpaces>8626</CharactersWithSpaces>
  <Paragraphs>91</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2019-05-08T16:16:00Z</dcterms:created>
  <dc:creator>IEEE</dc:creator>
  <dc:description/>
  <dc:language>en-US</dc:language>
  <cp:lastModifiedBy/>
  <dcterms:modified xsi:type="dcterms:W3CDTF">2019-05-11T12:12:40Z</dcterms:modified>
  <cp:revision>6</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