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024DC" w14:textId="77777777" w:rsidR="0045369C" w:rsidRDefault="00000000">
      <w:r>
        <w:pict w14:anchorId="4AA0253D">
          <v:rect id="_x0000_i1025" style="width:0;height:1.5pt" o:hralign="center" o:hrstd="t" o:hr="t" fillcolor="#a0a0a0" stroked="f"/>
        </w:pict>
      </w:r>
    </w:p>
    <w:p w14:paraId="4AA024DD" w14:textId="77777777" w:rsidR="0045369C" w:rsidRDefault="00DD0B02">
      <w:pPr>
        <w:spacing w:before="240" w:after="240"/>
        <w:rPr>
          <w:b/>
          <w:bCs/>
        </w:rPr>
      </w:pPr>
      <w:r>
        <w:rPr>
          <w:b/>
          <w:bCs/>
        </w:rPr>
        <w:t>Twins Are Birds: Essay Brief</w:t>
      </w:r>
    </w:p>
    <w:p w14:paraId="4AA024DE" w14:textId="77777777" w:rsidR="0045369C" w:rsidRDefault="00DD0B02">
      <w:pPr>
        <w:spacing w:before="240" w:after="240"/>
        <w:rPr>
          <w:i/>
          <w:iCs/>
        </w:rPr>
      </w:pPr>
      <w:r>
        <w:rPr>
          <w:i/>
          <w:iCs/>
        </w:rPr>
        <w:t>An instruction manual for the writer and the critical editor</w:t>
      </w:r>
    </w:p>
    <w:p w14:paraId="4AA024DF" w14:textId="77777777" w:rsidR="0045369C" w:rsidRDefault="00000000">
      <w:r>
        <w:pict w14:anchorId="4AA0253E">
          <v:rect id="_x0000_i1026" style="width:0;height:1.5pt" o:hralign="center" o:hrstd="t" o:hr="t" fillcolor="#a0a0a0" stroked="f"/>
        </w:pict>
      </w:r>
    </w:p>
    <w:p w14:paraId="4AA024E0" w14:textId="77777777" w:rsidR="0045369C" w:rsidRDefault="00DD0B02">
      <w:pPr>
        <w:spacing w:before="240" w:after="240"/>
        <w:rPr>
          <w:b/>
          <w:bCs/>
        </w:rPr>
      </w:pPr>
      <w:r>
        <w:rPr>
          <w:b/>
          <w:bCs/>
        </w:rPr>
        <w:t>What a Twins Are Birds essay is</w:t>
      </w:r>
    </w:p>
    <w:p w14:paraId="4AA024E1" w14:textId="77777777" w:rsidR="0045369C" w:rsidRDefault="00DD0B02">
      <w:pPr>
        <w:spacing w:before="240" w:after="240"/>
      </w:pPr>
      <w:r>
        <w:t>A Twins Are Birds essay is a short, image-led, eight-to-twelve-page zine that uses an anthropological or continental-theoretical frame to produce a non-obvious reading of a contemporary cultural-commercial object. The reading must work as cultural criticism, as creative-strategic provocation, and as a portable analytic tool simultaneously.</w:t>
      </w:r>
    </w:p>
    <w:p w14:paraId="4AA024E2" w14:textId="77777777" w:rsidR="0045369C" w:rsidRDefault="00DD0B02">
      <w:pPr>
        <w:spacing w:before="240" w:after="240"/>
      </w:pPr>
      <w:r>
        <w:t>The essay's job is to demonstrate, in compressed form, a professional capability the author can bring to commissioned work at scale. Each essay must stand as evidence that the author can: identify objects worth thinking about, bring real theory to bear on them, specify how the reading works in transferable terms, and leave the frame open enough that creatives or researchers can take it further.</w:t>
      </w:r>
    </w:p>
    <w:p w14:paraId="4AA024E3" w14:textId="77777777" w:rsidR="0045369C" w:rsidRDefault="00000000">
      <w:r>
        <w:pict w14:anchorId="4AA0253F">
          <v:rect id="_x0000_i1027" style="width:0;height:1.5pt" o:hralign="center" o:hrstd="t" o:hr="t" fillcolor="#a0a0a0" stroked="f"/>
        </w:pict>
      </w:r>
    </w:p>
    <w:p w14:paraId="4AA024E4" w14:textId="77777777" w:rsidR="0045369C" w:rsidRDefault="00DD0B02">
      <w:pPr>
        <w:spacing w:before="240" w:after="240"/>
        <w:rPr>
          <w:b/>
          <w:bCs/>
        </w:rPr>
      </w:pPr>
      <w:r>
        <w:rPr>
          <w:b/>
          <w:bCs/>
        </w:rPr>
        <w:t>The question-pair structure</w:t>
      </w:r>
    </w:p>
    <w:p w14:paraId="4AA024E5" w14:textId="77777777" w:rsidR="0045369C" w:rsidRDefault="00DD0B02">
      <w:pPr>
        <w:spacing w:before="240" w:after="240"/>
      </w:pPr>
      <w:r>
        <w:t>Every essay has two paired questions in its title.</w:t>
      </w:r>
    </w:p>
    <w:p w14:paraId="4AA024E6" w14:textId="77777777" w:rsidR="0045369C" w:rsidRDefault="00DD0B02">
      <w:pPr>
        <w:spacing w:before="240" w:after="240"/>
        <w:rPr>
          <w:i/>
          <w:iCs/>
        </w:rPr>
      </w:pPr>
      <w:r>
        <w:rPr>
          <w:i/>
          <w:iCs/>
        </w:rPr>
        <w:t>The first question</w:t>
      </w:r>
      <w:r>
        <w:t xml:space="preserve"> is an apparently strange question about the source material — the anthropological or theoretical case the essay introduces. </w:t>
      </w:r>
      <w:r>
        <w:rPr>
          <w:i/>
          <w:iCs/>
        </w:rPr>
        <w:t>Why are twins birds? Why did Aramis die? Why is generosity violent? Why is reaching thinking?</w:t>
      </w:r>
    </w:p>
    <w:p w14:paraId="4AA024E7" w14:textId="77777777" w:rsidR="0045369C" w:rsidRDefault="00DD0B02">
      <w:pPr>
        <w:spacing w:before="240" w:after="240"/>
        <w:rPr>
          <w:i/>
          <w:iCs/>
        </w:rPr>
      </w:pPr>
      <w:r>
        <w:rPr>
          <w:i/>
          <w:iCs/>
        </w:rPr>
        <w:t>The second question</w:t>
      </w:r>
      <w:r>
        <w:t xml:space="preserve"> is a contemporary cultural-commercial puzzle. </w:t>
      </w:r>
      <w:r>
        <w:rPr>
          <w:i/>
          <w:iCs/>
        </w:rPr>
        <w:t>Why is Nike losing the streets? Why is home printing so painful? Why did Cortiez take it all away? Why do people pay to sit in silence?</w:t>
      </w:r>
    </w:p>
    <w:p w14:paraId="4AA024E8" w14:textId="77777777" w:rsidR="0045369C" w:rsidRDefault="00DD0B02">
      <w:pPr>
        <w:spacing w:before="240" w:after="240"/>
      </w:pPr>
      <w:r>
        <w:t>The two questions must illuminate each other. The theoretical case is not metaphor for the contemporary case; the two share a structural feature that the essay will name. The titular question-pair is the first signal of the essay's analytic move and should be honest about what's coming.</w:t>
      </w:r>
    </w:p>
    <w:p w14:paraId="4AA024E9" w14:textId="77777777" w:rsidR="0045369C" w:rsidRDefault="00000000">
      <w:r>
        <w:pict w14:anchorId="4AA02540">
          <v:rect id="_x0000_i1028" style="width:0;height:1.5pt" o:hralign="center" o:hrstd="t" o:hr="t" fillcolor="#a0a0a0" stroked="f"/>
        </w:pict>
      </w:r>
    </w:p>
    <w:p w14:paraId="4AA024EA" w14:textId="77777777" w:rsidR="0045369C" w:rsidRDefault="00DD0B02">
      <w:pPr>
        <w:spacing w:before="240" w:after="240"/>
        <w:rPr>
          <w:b/>
          <w:bCs/>
        </w:rPr>
      </w:pPr>
      <w:r>
        <w:rPr>
          <w:b/>
          <w:bCs/>
        </w:rPr>
        <w:t>Architecture: the four moves</w:t>
      </w:r>
    </w:p>
    <w:p w14:paraId="4AA024EB" w14:textId="77777777" w:rsidR="0045369C" w:rsidRDefault="00DD0B02">
      <w:pPr>
        <w:spacing w:before="240" w:after="240"/>
      </w:pPr>
      <w:r>
        <w:t>Every essay executes four moves in order. Each move is assessable. Missing or weak moves are named and either fixed or the essay is shelved.</w:t>
      </w:r>
    </w:p>
    <w:p w14:paraId="4AA024EC" w14:textId="77777777" w:rsidR="0045369C" w:rsidRDefault="00DD0B02">
      <w:pPr>
        <w:spacing w:before="240" w:after="240"/>
      </w:pPr>
      <w:r>
        <w:rPr>
          <w:b/>
          <w:bCs/>
        </w:rPr>
        <w:lastRenderedPageBreak/>
        <w:t>Move one — Cultural object and frame.</w:t>
      </w:r>
      <w:r>
        <w:t xml:space="preserve"> Identify a specific, real, contemporary cultural-commercial object. Specificity is mandatory: </w:t>
      </w:r>
      <w:r>
        <w:rPr>
          <w:i/>
          <w:iCs/>
        </w:rPr>
        <w:t>Cortiez at Wormwood Scrubs in 2022</w:t>
      </w:r>
      <w:r>
        <w:t>, not "streetwear brands". Bring a named theoretical frame from a named source. The frame must be load-bearing — meaning the reading produced is not available without it.</w:t>
      </w:r>
    </w:p>
    <w:p w14:paraId="4AA024ED" w14:textId="77777777" w:rsidR="0045369C" w:rsidRDefault="00DD0B02">
      <w:pPr>
        <w:spacing w:before="240" w:after="240"/>
      </w:pPr>
      <w:r>
        <w:rPr>
          <w:b/>
          <w:bCs/>
        </w:rPr>
        <w:t>Move two — Mechanism.</w:t>
      </w:r>
      <w:r>
        <w:t xml:space="preserve"> Specify how the reading works. Not what is happening but the structure that produces it. The mechanism must be statable in one sentence that would apply to a different case.</w:t>
      </w:r>
    </w:p>
    <w:p w14:paraId="4AA024EE" w14:textId="77777777" w:rsidR="0045369C" w:rsidRDefault="00DD0B02">
      <w:pPr>
        <w:spacing w:before="240" w:after="240"/>
      </w:pPr>
      <w:r>
        <w:rPr>
          <w:b/>
          <w:bCs/>
        </w:rPr>
        <w:t>Move three — Conditions and boundary.</w:t>
      </w:r>
      <w:r>
        <w:t xml:space="preserve"> State when the mechanism applies and when it fails. Name at least one counterexample or boundary case. This converts cultural reading into strategic frame.</w:t>
      </w:r>
    </w:p>
    <w:p w14:paraId="4AA024EF" w14:textId="77777777" w:rsidR="0045369C" w:rsidRDefault="00DD0B02">
      <w:pPr>
        <w:spacing w:before="240" w:after="240"/>
      </w:pPr>
      <w:r>
        <w:rPr>
          <w:b/>
          <w:bCs/>
        </w:rPr>
        <w:t>Move four — Open frame.</w:t>
      </w:r>
      <w:r>
        <w:t xml:space="preserve"> The specification in moves two and three must deepen the frame, not close it. The reading must remain generative — a creative team or research team could take it somewhere the essay didn't go.</w:t>
      </w:r>
    </w:p>
    <w:p w14:paraId="4AA024F0" w14:textId="77777777" w:rsidR="0045369C" w:rsidRDefault="00000000">
      <w:r>
        <w:pict w14:anchorId="4AA02541">
          <v:rect id="_x0000_i1029" style="width:0;height:1.5pt" o:hralign="center" o:hrstd="t" o:hr="t" fillcolor="#a0a0a0" stroked="f"/>
        </w:pict>
      </w:r>
    </w:p>
    <w:p w14:paraId="4AA024F1" w14:textId="77777777" w:rsidR="0045369C" w:rsidRDefault="00DD0B02">
      <w:pPr>
        <w:spacing w:before="240" w:after="240"/>
        <w:rPr>
          <w:b/>
          <w:bCs/>
        </w:rPr>
      </w:pPr>
      <w:r>
        <w:rPr>
          <w:b/>
          <w:bCs/>
        </w:rPr>
        <w:t>Spread architecture</w:t>
      </w:r>
    </w:p>
    <w:p w14:paraId="4AA024F2" w14:textId="77777777" w:rsidR="0045369C" w:rsidRDefault="00DD0B02">
      <w:pPr>
        <w:spacing w:before="240" w:after="240"/>
      </w:pPr>
      <w:r>
        <w:t>Eight pages is the floor. Twelve is the ceiling. Past twelve, the artefact stops being a Twins Are Birds zine and becomes something else.</w:t>
      </w:r>
    </w:p>
    <w:p w14:paraId="4AA024F3" w14:textId="77777777" w:rsidR="0045369C" w:rsidRDefault="00DD0B02">
      <w:pPr>
        <w:spacing w:before="240" w:after="240"/>
      </w:pPr>
      <w:r>
        <w:t>Working spread allocation for an eight-page essay:</w:t>
      </w:r>
    </w:p>
    <w:p w14:paraId="4AA024F4" w14:textId="77777777" w:rsidR="0045369C" w:rsidRDefault="00DD0B02">
      <w:pPr>
        <w:numPr>
          <w:ilvl w:val="0"/>
          <w:numId w:val="1"/>
        </w:numPr>
        <w:spacing w:before="240"/>
      </w:pPr>
      <w:r>
        <w:t>One spread: problem (the contemporary puzzle, posed)</w:t>
      </w:r>
    </w:p>
    <w:p w14:paraId="4AA024F5" w14:textId="77777777" w:rsidR="0045369C" w:rsidRDefault="00DD0B02">
      <w:pPr>
        <w:numPr>
          <w:ilvl w:val="0"/>
          <w:numId w:val="1"/>
        </w:numPr>
      </w:pPr>
      <w:r>
        <w:t>Two spreads: theoretical case (the source material doing its work)</w:t>
      </w:r>
    </w:p>
    <w:p w14:paraId="4AA024F6" w14:textId="77777777" w:rsidR="0045369C" w:rsidRDefault="00DD0B02">
      <w:pPr>
        <w:numPr>
          <w:ilvl w:val="0"/>
          <w:numId w:val="1"/>
        </w:numPr>
      </w:pPr>
      <w:r>
        <w:t>Two spreads: contemporary case (the puzzle analysed at full strength)</w:t>
      </w:r>
    </w:p>
    <w:p w14:paraId="4AA024F7" w14:textId="77777777" w:rsidR="0045369C" w:rsidRDefault="00DD0B02">
      <w:pPr>
        <w:numPr>
          <w:ilvl w:val="0"/>
          <w:numId w:val="1"/>
        </w:numPr>
      </w:pPr>
      <w:r>
        <w:t>One spread: synthesis and mechanism (the move stated, conditions named)</w:t>
      </w:r>
    </w:p>
    <w:p w14:paraId="4AA024F8" w14:textId="77777777" w:rsidR="0045369C" w:rsidRDefault="00DD0B02">
      <w:pPr>
        <w:numPr>
          <w:ilvl w:val="0"/>
          <w:numId w:val="1"/>
        </w:numPr>
        <w:spacing w:after="240"/>
      </w:pPr>
      <w:r>
        <w:t>One spread: afterword (personal reflection, source acknowledgement)</w:t>
      </w:r>
    </w:p>
    <w:p w14:paraId="4AA024F9" w14:textId="77777777" w:rsidR="0045369C" w:rsidRDefault="00DD0B02">
      <w:pPr>
        <w:spacing w:before="240" w:after="240"/>
      </w:pPr>
      <w:r>
        <w:t>For ten to twelve pages, additional spreads go to the contemporary case, mechanism specification, or conditions-and-boundary work — never to additional theoretical exposition, texture, or rhetorical flight.</w:t>
      </w:r>
    </w:p>
    <w:p w14:paraId="4AA024FA" w14:textId="77777777" w:rsidR="0045369C" w:rsidRDefault="00DD0B02">
      <w:pPr>
        <w:spacing w:before="240" w:after="240"/>
      </w:pPr>
      <w:r>
        <w:t>The contemporary case must bear at least equal analytic weight to the theoretical case. If the theoretical material is using more spreads than the contemporary material, the essay is misweighted.</w:t>
      </w:r>
    </w:p>
    <w:p w14:paraId="4AA024FB" w14:textId="77777777" w:rsidR="0045369C" w:rsidRDefault="00000000">
      <w:r>
        <w:pict w14:anchorId="4AA02542">
          <v:rect id="_x0000_i1030" style="width:0;height:1.5pt" o:hralign="center" o:hrstd="t" o:hr="t" fillcolor="#a0a0a0" stroked="f"/>
        </w:pict>
      </w:r>
    </w:p>
    <w:p w14:paraId="4AA024FC" w14:textId="77777777" w:rsidR="0045369C" w:rsidRDefault="00DD0B02">
      <w:pPr>
        <w:spacing w:before="240" w:after="240"/>
        <w:rPr>
          <w:b/>
          <w:bCs/>
        </w:rPr>
      </w:pPr>
      <w:r>
        <w:rPr>
          <w:b/>
          <w:bCs/>
        </w:rPr>
        <w:t>The redistribution principle</w:t>
      </w:r>
    </w:p>
    <w:p w14:paraId="4AA024FD" w14:textId="77777777" w:rsidR="0045369C" w:rsidRDefault="00DD0B02">
      <w:pPr>
        <w:spacing w:before="240" w:after="240"/>
      </w:pPr>
      <w:r>
        <w:lastRenderedPageBreak/>
        <w:t>The strongest temptation in writing a Twins Are Birds essay is to spend the essay's analytic energy on the theoretical material — because the theoretical material is more pleasurable to research, write, and quote — and to land the contemporary case with metaphorical flourish.</w:t>
      </w:r>
    </w:p>
    <w:p w14:paraId="4AA024FE" w14:textId="77777777" w:rsidR="0045369C" w:rsidRDefault="00DD0B02">
      <w:pPr>
        <w:spacing w:before="240" w:after="240"/>
      </w:pPr>
      <w:r>
        <w:t xml:space="preserve">This is the failure mode. The contemporary case is what the essay is </w:t>
      </w:r>
      <w:r>
        <w:rPr>
          <w:i/>
          <w:iCs/>
        </w:rPr>
        <w:t>for</w:t>
      </w:r>
      <w:r>
        <w:t>. The thinker is the lens; the case is what the lens clarifies. When the case is handled at lower strength than the theory, the theory looks like the point and the case looks like the pretext. The reader comes away knowing the thinker, not seeing the world.</w:t>
      </w:r>
    </w:p>
    <w:p w14:paraId="4AA024FF" w14:textId="77777777" w:rsidR="0045369C" w:rsidRDefault="00DD0B02">
      <w:pPr>
        <w:spacing w:before="240" w:after="240"/>
      </w:pPr>
      <w:r>
        <w:t>The fix: redistribute analytic weight before expanding page count. Compress the theoretical material to make room for the contemporary material doing equivalent work. Choose fewer theoretical quotes; let them do more. Spend the recovered space specifying the mechanism in the contemporary case.</w:t>
      </w:r>
    </w:p>
    <w:p w14:paraId="4AA02500" w14:textId="77777777" w:rsidR="0045369C" w:rsidRDefault="00000000">
      <w:r>
        <w:pict w14:anchorId="4AA02543">
          <v:rect id="_x0000_i1031" style="width:0;height:1.5pt" o:hralign="center" o:hrstd="t" o:hr="t" fillcolor="#a0a0a0" stroked="f"/>
        </w:pict>
      </w:r>
    </w:p>
    <w:p w14:paraId="4AA02501" w14:textId="77777777" w:rsidR="0045369C" w:rsidRDefault="00DD0B02">
      <w:pPr>
        <w:spacing w:before="240" w:after="240"/>
        <w:rPr>
          <w:b/>
          <w:bCs/>
        </w:rPr>
      </w:pPr>
      <w:r>
        <w:rPr>
          <w:b/>
          <w:bCs/>
        </w:rPr>
        <w:t>Voice and form</w:t>
      </w:r>
    </w:p>
    <w:p w14:paraId="4AA02502" w14:textId="77777777" w:rsidR="0045369C" w:rsidRDefault="00DD0B02">
      <w:pPr>
        <w:spacing w:before="240" w:after="240"/>
      </w:pPr>
      <w:r>
        <w:t>Non-negotiable elements:</w:t>
      </w:r>
    </w:p>
    <w:p w14:paraId="4AA02503" w14:textId="77777777" w:rsidR="0045369C" w:rsidRDefault="00DD0B02">
      <w:pPr>
        <w:numPr>
          <w:ilvl w:val="0"/>
          <w:numId w:val="5"/>
        </w:numPr>
        <w:spacing w:before="240"/>
      </w:pPr>
      <w:r>
        <w:t>The British prose register</w:t>
      </w:r>
    </w:p>
    <w:p w14:paraId="4AA02504" w14:textId="77777777" w:rsidR="0045369C" w:rsidRDefault="00DD0B02">
      <w:pPr>
        <w:numPr>
          <w:ilvl w:val="0"/>
          <w:numId w:val="5"/>
        </w:numPr>
      </w:pPr>
      <w:r>
        <w:t>The question-pair titling</w:t>
      </w:r>
    </w:p>
    <w:p w14:paraId="4AA02505" w14:textId="77777777" w:rsidR="0045369C" w:rsidRDefault="00DD0B02">
      <w:pPr>
        <w:numPr>
          <w:ilvl w:val="0"/>
          <w:numId w:val="5"/>
        </w:numPr>
      </w:pPr>
      <w:r>
        <w:t>The visual identity (black backgrounds, Josefin Sans and Amatic SC, torn-paper collage aesthetic, surrealist cover image)</w:t>
      </w:r>
    </w:p>
    <w:p w14:paraId="4AA02506" w14:textId="77777777" w:rsidR="0045369C" w:rsidRDefault="00DD0B02">
      <w:pPr>
        <w:numPr>
          <w:ilvl w:val="0"/>
          <w:numId w:val="5"/>
        </w:numPr>
      </w:pPr>
      <w:r>
        <w:t>The image-quote-text rhythm, with one major quote per spread on quote pages</w:t>
      </w:r>
    </w:p>
    <w:p w14:paraId="4AA02507" w14:textId="77777777" w:rsidR="0045369C" w:rsidRDefault="00DD0B02">
      <w:pPr>
        <w:numPr>
          <w:ilvl w:val="0"/>
          <w:numId w:val="5"/>
        </w:numPr>
        <w:spacing w:after="240"/>
      </w:pPr>
      <w:r>
        <w:t>The afterword as personal-reflective coda</w:t>
      </w:r>
    </w:p>
    <w:p w14:paraId="4AA02508" w14:textId="77777777" w:rsidR="0045369C" w:rsidRDefault="00DD0B02">
      <w:pPr>
        <w:spacing w:before="240" w:after="240"/>
      </w:pPr>
      <w:r>
        <w:t xml:space="preserve">The afterword is where the author appears as a thinker rather than a performer. It can be looser, more autobiographical, more fallible than the body of the essay. </w:t>
      </w:r>
      <w:r>
        <w:rPr>
          <w:i/>
          <w:iCs/>
        </w:rPr>
        <w:t>The Merleau-Ponty afterword — garden, cat, coffee — is the model.</w:t>
      </w:r>
      <w:r>
        <w:t xml:space="preserve"> The afterword is not a place to launder problems the essay should have addressed structurally. Acknowledgment of methodological or political problems with a source must be integrated into the body of the essay; reflection and personal voice belong in the afterword.</w:t>
      </w:r>
    </w:p>
    <w:p w14:paraId="4AA02509" w14:textId="77777777" w:rsidR="0045369C" w:rsidRDefault="00000000">
      <w:r>
        <w:pict w14:anchorId="4AA02544">
          <v:rect id="_x0000_i1032" style="width:0;height:1.5pt" o:hralign="center" o:hrstd="t" o:hr="t" fillcolor="#a0a0a0" stroked="f"/>
        </w:pict>
      </w:r>
    </w:p>
    <w:p w14:paraId="4AA0250A" w14:textId="77777777" w:rsidR="0045369C" w:rsidRDefault="00DD0B02">
      <w:pPr>
        <w:spacing w:before="240" w:after="240"/>
        <w:rPr>
          <w:b/>
          <w:bCs/>
        </w:rPr>
      </w:pPr>
      <w:r>
        <w:rPr>
          <w:b/>
          <w:bCs/>
        </w:rPr>
        <w:t>Failure modes — the editor's checklist</w:t>
      </w:r>
    </w:p>
    <w:p w14:paraId="4AA0250B" w14:textId="77777777" w:rsidR="0045369C" w:rsidRDefault="00DD0B02">
      <w:pPr>
        <w:spacing w:before="240" w:after="240"/>
      </w:pPr>
      <w:r>
        <w:t>Every draft must be read against these. Each is diagnostic of a structural problem, not a stylistic preference.</w:t>
      </w:r>
    </w:p>
    <w:p w14:paraId="4AA0250C" w14:textId="3424534B" w:rsidR="0045369C" w:rsidRDefault="00DD0B02">
      <w:pPr>
        <w:spacing w:before="240" w:after="240"/>
        <w:rPr>
          <w:i/>
          <w:iCs/>
        </w:rPr>
      </w:pPr>
      <w:r>
        <w:rPr>
          <w:b/>
          <w:bCs/>
        </w:rPr>
        <w:t>Theory-heavy / case-light asymmetry.</w:t>
      </w:r>
      <w:r>
        <w:t xml:space="preserve"> The contemporary case gets a metaphorical landing where the theoretical case got full analytic weight. </w:t>
      </w:r>
      <w:r>
        <w:rPr>
          <w:i/>
          <w:iCs/>
        </w:rPr>
        <w:t xml:space="preserve">Test: count the </w:t>
      </w:r>
      <w:r w:rsidR="009F68D1">
        <w:rPr>
          <w:i/>
          <w:iCs/>
        </w:rPr>
        <w:t>words</w:t>
      </w:r>
      <w:r>
        <w:rPr>
          <w:i/>
          <w:iCs/>
        </w:rPr>
        <w:t xml:space="preserve"> given to each. If the theory has more, the essay is misweighted.</w:t>
      </w:r>
    </w:p>
    <w:p w14:paraId="4AA0250D" w14:textId="77777777" w:rsidR="0045369C" w:rsidRDefault="00DD0B02">
      <w:pPr>
        <w:spacing w:before="240" w:after="240"/>
        <w:rPr>
          <w:i/>
          <w:iCs/>
        </w:rPr>
      </w:pPr>
      <w:r>
        <w:rPr>
          <w:b/>
          <w:bCs/>
        </w:rPr>
        <w:lastRenderedPageBreak/>
        <w:t>Decorative frame.</w:t>
      </w:r>
      <w:r>
        <w:t xml:space="preserve"> The theoretical apparatus is impressive but not load-bearing. </w:t>
      </w:r>
      <w:r>
        <w:rPr>
          <w:i/>
          <w:iCs/>
        </w:rPr>
        <w:t>Test: rewrite the essay's central claim without naming the theorist. If the claim survives intact, the frame was decoration.</w:t>
      </w:r>
    </w:p>
    <w:p w14:paraId="4AA0250E" w14:textId="77777777" w:rsidR="0045369C" w:rsidRDefault="00DD0B02">
      <w:pPr>
        <w:spacing w:before="240" w:after="240"/>
        <w:rPr>
          <w:i/>
          <w:iCs/>
        </w:rPr>
      </w:pPr>
      <w:r>
        <w:rPr>
          <w:b/>
          <w:bCs/>
        </w:rPr>
        <w:t>Analogy substitution.</w:t>
      </w:r>
      <w:r>
        <w:t xml:space="preserve"> The essay restates one case in another case's vocabulary without showing the structural identity holds. </w:t>
      </w:r>
      <w:r>
        <w:rPr>
          <w:i/>
          <w:iCs/>
        </w:rPr>
        <w:t>Test: name the structural feature both cases share. If you can't name it in one sentence, the analogy is doing the work the argument should be doing.</w:t>
      </w:r>
    </w:p>
    <w:p w14:paraId="4AA0250F" w14:textId="77777777" w:rsidR="0045369C" w:rsidRDefault="00DD0B02">
      <w:pPr>
        <w:spacing w:before="240" w:after="240"/>
        <w:rPr>
          <w:i/>
          <w:iCs/>
        </w:rPr>
      </w:pPr>
      <w:r>
        <w:rPr>
          <w:b/>
          <w:bCs/>
        </w:rPr>
        <w:t>Decorative ethnography.</w:t>
      </w:r>
      <w:r>
        <w:t xml:space="preserve"> Exoticised source material as rhetorical prop. </w:t>
      </w:r>
      <w:r>
        <w:rPr>
          <w:i/>
          <w:iCs/>
        </w:rPr>
        <w:t>Test: would a less exotic source illustrate the same structural point? If yes, the exoticism is doing aesthetic, not analytic, work.</w:t>
      </w:r>
    </w:p>
    <w:p w14:paraId="4AA02510" w14:textId="77777777" w:rsidR="0045369C" w:rsidRDefault="00DD0B02">
      <w:pPr>
        <w:spacing w:before="240" w:after="240"/>
      </w:pPr>
      <w:r>
        <w:rPr>
          <w:b/>
          <w:bCs/>
        </w:rPr>
        <w:t>Symmetric structure as argument.</w:t>
      </w:r>
      <w:r>
        <w:t xml:space="preserve"> "As X relates to Y through Z, so A relates to B through C." A metaphor, not a proof. Triangular diagrams must signal real structural work, not gesture at it.</w:t>
      </w:r>
    </w:p>
    <w:p w14:paraId="4AA02511" w14:textId="77777777" w:rsidR="0045369C" w:rsidRDefault="00DD0B02">
      <w:pPr>
        <w:spacing w:before="240" w:after="240"/>
        <w:rPr>
          <w:i/>
          <w:iCs/>
        </w:rPr>
      </w:pPr>
      <w:r>
        <w:rPr>
          <w:b/>
          <w:bCs/>
        </w:rPr>
        <w:t>The list-of-cool-nouns reflex.</w:t>
      </w:r>
      <w:r>
        <w:t xml:space="preserve"> Piles of brand names, cultural references, and proper nouns substituting for analysis. </w:t>
      </w:r>
      <w:r>
        <w:rPr>
          <w:i/>
          <w:iCs/>
        </w:rPr>
        <w:t>Test: cut the list. Does the argument suffer? If no, the list was texture-in-place-of-thought.</w:t>
      </w:r>
    </w:p>
    <w:p w14:paraId="4AA02512" w14:textId="77777777" w:rsidR="0045369C" w:rsidRDefault="00DD0B02">
      <w:pPr>
        <w:spacing w:before="240" w:after="240"/>
        <w:rPr>
          <w:i/>
          <w:iCs/>
        </w:rPr>
      </w:pPr>
      <w:r>
        <w:rPr>
          <w:b/>
          <w:bCs/>
        </w:rPr>
        <w:t>Overclaiming closure.</w:t>
      </w:r>
      <w:r>
        <w:t xml:space="preserve"> The "SOLUTION" section delivers a packaged answer the essay hasn't earned. </w:t>
      </w:r>
      <w:r>
        <w:rPr>
          <w:i/>
          <w:iCs/>
        </w:rPr>
        <w:t>Test: could a creative team take this somewhere the essay didn't go? If no, the frame has been closed rather than opened.</w:t>
      </w:r>
    </w:p>
    <w:p w14:paraId="4AA02513" w14:textId="77777777" w:rsidR="0045369C" w:rsidRDefault="00DD0B02">
      <w:pPr>
        <w:spacing w:before="240" w:after="240"/>
        <w:rPr>
          <w:i/>
          <w:iCs/>
        </w:rPr>
      </w:pPr>
      <w:r>
        <w:rPr>
          <w:b/>
          <w:bCs/>
        </w:rPr>
        <w:t>Self-aware swagger.</w:t>
      </w:r>
      <w:r>
        <w:t xml:space="preserve"> Performative self-awareness substituting for the critical reflection it pretends to enact. </w:t>
      </w:r>
      <w:r>
        <w:rPr>
          <w:i/>
          <w:iCs/>
        </w:rPr>
        <w:t>Test: does the line do critical work, or does it just signal that the writer knows what critical work would look like?</w:t>
      </w:r>
    </w:p>
    <w:p w14:paraId="4AA02514" w14:textId="77777777" w:rsidR="0045369C" w:rsidRDefault="00DD0B02">
      <w:pPr>
        <w:spacing w:before="240" w:after="240"/>
        <w:rPr>
          <w:i/>
          <w:iCs/>
        </w:rPr>
      </w:pPr>
      <w:r>
        <w:rPr>
          <w:b/>
          <w:bCs/>
        </w:rPr>
        <w:t>Unintegrated afterword.</w:t>
      </w:r>
      <w:r>
        <w:t xml:space="preserve"> The afterword acknowledges colonial, political, or methodological problems the body of the essay ignored. </w:t>
      </w:r>
      <w:r>
        <w:rPr>
          <w:i/>
          <w:iCs/>
        </w:rPr>
        <w:t>Test: does the body of the essay engage with the source's complications, or does the afterword apologise for not engaging with them?</w:t>
      </w:r>
    </w:p>
    <w:p w14:paraId="4AA02515" w14:textId="77777777" w:rsidR="0045369C" w:rsidRDefault="00000000">
      <w:r>
        <w:pict w14:anchorId="4AA02545">
          <v:rect id="_x0000_i1033" style="width:0;height:1.5pt" o:hralign="center" o:hrstd="t" o:hr="t" fillcolor="#a0a0a0" stroked="f"/>
        </w:pict>
      </w:r>
    </w:p>
    <w:p w14:paraId="4AA02516" w14:textId="77777777" w:rsidR="0045369C" w:rsidRDefault="00DD0B02">
      <w:pPr>
        <w:spacing w:before="240" w:after="240"/>
        <w:rPr>
          <w:b/>
          <w:bCs/>
        </w:rPr>
      </w:pPr>
      <w:r>
        <w:rPr>
          <w:b/>
          <w:bCs/>
        </w:rPr>
        <w:t>The five publication tests</w:t>
      </w:r>
    </w:p>
    <w:p w14:paraId="4AA02517" w14:textId="77777777" w:rsidR="0045369C" w:rsidRDefault="00DD0B02">
      <w:pPr>
        <w:spacing w:before="240" w:after="240"/>
      </w:pPr>
      <w:r>
        <w:t>Before any essay is published, it must pass the following. Failure at two or more means the essay is not ready.</w:t>
      </w:r>
    </w:p>
    <w:p w14:paraId="4AA02518" w14:textId="77777777" w:rsidR="0045369C" w:rsidRDefault="00DD0B02">
      <w:pPr>
        <w:spacing w:before="240" w:after="240"/>
      </w:pPr>
      <w:r>
        <w:rPr>
          <w:b/>
          <w:bCs/>
        </w:rPr>
        <w:t>The four-move test.</w:t>
      </w:r>
      <w:r>
        <w:t xml:space="preserve"> Each of the four mandatory moves is present and executed. If a move is missing or weak, name which one and either fix it or shelve the essay.</w:t>
      </w:r>
    </w:p>
    <w:p w14:paraId="4AA02519" w14:textId="77777777" w:rsidR="0045369C" w:rsidRDefault="00DD0B02">
      <w:pPr>
        <w:spacing w:before="240" w:after="240"/>
      </w:pPr>
      <w:r>
        <w:rPr>
          <w:b/>
          <w:bCs/>
        </w:rPr>
        <w:t>The hostile reader test.</w:t>
      </w:r>
      <w:r>
        <w:t xml:space="preserve"> Read the essay against three hostile readers:</w:t>
      </w:r>
    </w:p>
    <w:p w14:paraId="4AA0251A" w14:textId="77777777" w:rsidR="0045369C" w:rsidRDefault="00DD0B02">
      <w:pPr>
        <w:numPr>
          <w:ilvl w:val="0"/>
          <w:numId w:val="3"/>
        </w:numPr>
        <w:spacing w:before="240"/>
      </w:pPr>
      <w:r>
        <w:rPr>
          <w:i/>
          <w:iCs/>
        </w:rPr>
        <w:t>A senior strategist asks: what changes on Monday?</w:t>
      </w:r>
      <w:r>
        <w:t xml:space="preserve"> The essay must have an answer, even if the answer is "the way you frame the category."</w:t>
      </w:r>
    </w:p>
    <w:p w14:paraId="4AA0251B" w14:textId="77777777" w:rsidR="0045369C" w:rsidRDefault="00DD0B02">
      <w:pPr>
        <w:numPr>
          <w:ilvl w:val="0"/>
          <w:numId w:val="3"/>
        </w:numPr>
      </w:pPr>
      <w:r>
        <w:rPr>
          <w:i/>
          <w:iCs/>
        </w:rPr>
        <w:lastRenderedPageBreak/>
        <w:t>A senior planner asks: can I brief creatives from this?</w:t>
      </w:r>
      <w:r>
        <w:t xml:space="preserve"> The essay must offer territory, not just diagnosis.</w:t>
      </w:r>
    </w:p>
    <w:p w14:paraId="4AA0251C" w14:textId="77777777" w:rsidR="0045369C" w:rsidRDefault="00DD0B02">
      <w:pPr>
        <w:numPr>
          <w:ilvl w:val="0"/>
          <w:numId w:val="3"/>
        </w:numPr>
        <w:spacing w:after="240"/>
      </w:pPr>
      <w:r>
        <w:rPr>
          <w:i/>
          <w:iCs/>
        </w:rPr>
        <w:t>A senior researcher asks: could this person run a project?</w:t>
      </w:r>
      <w:r>
        <w:t xml:space="preserve"> The essay must signal methodological seriousness, even at zine length.</w:t>
      </w:r>
    </w:p>
    <w:p w14:paraId="4AA0251D" w14:textId="77777777" w:rsidR="0045369C" w:rsidRDefault="00DD0B02">
      <w:pPr>
        <w:spacing w:before="240" w:after="240"/>
      </w:pPr>
      <w:r>
        <w:t>If the essay fails two of three, it is not ready.</w:t>
      </w:r>
    </w:p>
    <w:p w14:paraId="4AA0251E" w14:textId="77777777" w:rsidR="0045369C" w:rsidRDefault="00DD0B02">
      <w:pPr>
        <w:spacing w:before="240" w:after="240"/>
      </w:pPr>
      <w:r>
        <w:rPr>
          <w:b/>
          <w:bCs/>
        </w:rPr>
        <w:t>The substitution test.</w:t>
      </w:r>
      <w:r>
        <w:t xml:space="preserve"> Replace the central theoretical frame with a generic equivalent (</w:t>
      </w:r>
      <w:r>
        <w:rPr>
          <w:i/>
          <w:iCs/>
        </w:rPr>
        <w:t>recognition, exchange, embodiment</w:t>
      </w:r>
      <w:r>
        <w:t>). If the essay's claims survive substitution unchanged, the frame was decorative and must either be deepened or removed.</w:t>
      </w:r>
    </w:p>
    <w:p w14:paraId="4AA0251F" w14:textId="77777777" w:rsidR="0045369C" w:rsidRDefault="00DD0B02">
      <w:pPr>
        <w:spacing w:before="240" w:after="240"/>
      </w:pPr>
      <w:r>
        <w:rPr>
          <w:b/>
          <w:bCs/>
        </w:rPr>
        <w:t>The counterexample test.</w:t>
      </w:r>
      <w:r>
        <w:t xml:space="preserve"> Name the case the frame would predict wrongly. If no counterexample can be produced, the frame has not been specified tightly enough to be useful.</w:t>
      </w:r>
    </w:p>
    <w:p w14:paraId="4AA02520" w14:textId="77777777" w:rsidR="0045369C" w:rsidRDefault="00DD0B02">
      <w:pPr>
        <w:spacing w:before="240" w:after="240"/>
      </w:pPr>
      <w:r>
        <w:rPr>
          <w:b/>
          <w:bCs/>
        </w:rPr>
        <w:t>The common-sense test.</w:t>
      </w:r>
      <w:r>
        <w:t xml:space="preserve"> State the boring, structural, non-theoretical explanation a sceptical reader would offer. The essay must show what the frame adds beyond it. If the frame adds nothing the boring explanation didn't already provide, the essay is not earning its theoretical apparatus.</w:t>
      </w:r>
    </w:p>
    <w:p w14:paraId="4AA02521" w14:textId="77777777" w:rsidR="0045369C" w:rsidRDefault="00000000">
      <w:r>
        <w:pict w14:anchorId="4AA02546">
          <v:rect id="_x0000_i1034" style="width:0;height:1.5pt" o:hralign="center" o:hrstd="t" o:hr="t" fillcolor="#a0a0a0" stroked="f"/>
        </w:pict>
      </w:r>
    </w:p>
    <w:p w14:paraId="4AA02522" w14:textId="77777777" w:rsidR="0045369C" w:rsidRDefault="00DD0B02">
      <w:pPr>
        <w:spacing w:before="240" w:after="240"/>
        <w:rPr>
          <w:b/>
          <w:bCs/>
        </w:rPr>
      </w:pPr>
      <w:r>
        <w:rPr>
          <w:b/>
          <w:bCs/>
        </w:rPr>
        <w:t>Pre-write checklist</w:t>
      </w:r>
    </w:p>
    <w:p w14:paraId="4AA02523" w14:textId="77777777" w:rsidR="0045369C" w:rsidRDefault="00DD0B02">
      <w:pPr>
        <w:spacing w:before="240" w:after="240"/>
      </w:pPr>
      <w:r>
        <w:t>Before drafting, the writer should be able to answer all of these in one sentence each. If any answer is missing or vague, the essay is not ready to write.</w:t>
      </w:r>
    </w:p>
    <w:p w14:paraId="4AA02524" w14:textId="77777777" w:rsidR="0045369C" w:rsidRDefault="00DD0B02">
      <w:pPr>
        <w:numPr>
          <w:ilvl w:val="0"/>
          <w:numId w:val="4"/>
        </w:numPr>
        <w:spacing w:before="240"/>
      </w:pPr>
      <w:r>
        <w:t>What is the contemporary cultural-commercial object?</w:t>
      </w:r>
    </w:p>
    <w:p w14:paraId="4AA02525" w14:textId="77777777" w:rsidR="0045369C" w:rsidRDefault="00DD0B02">
      <w:pPr>
        <w:numPr>
          <w:ilvl w:val="0"/>
          <w:numId w:val="4"/>
        </w:numPr>
      </w:pPr>
      <w:r>
        <w:t>What is the theoretical frame, named to a specific source?</w:t>
      </w:r>
    </w:p>
    <w:p w14:paraId="4AA02526" w14:textId="77777777" w:rsidR="0045369C" w:rsidRDefault="00DD0B02">
      <w:pPr>
        <w:numPr>
          <w:ilvl w:val="0"/>
          <w:numId w:val="4"/>
        </w:numPr>
      </w:pPr>
      <w:r>
        <w:t>What structural feature do the theoretical case and the contemporary case share?</w:t>
      </w:r>
    </w:p>
    <w:p w14:paraId="4AA02527" w14:textId="77777777" w:rsidR="0045369C" w:rsidRDefault="00DD0B02">
      <w:pPr>
        <w:numPr>
          <w:ilvl w:val="0"/>
          <w:numId w:val="4"/>
        </w:numPr>
      </w:pPr>
      <w:r>
        <w:t>What is the mechanism, statable in one sentence portable to other cases?</w:t>
      </w:r>
    </w:p>
    <w:p w14:paraId="4AA02528" w14:textId="77777777" w:rsidR="0045369C" w:rsidRDefault="00DD0B02">
      <w:pPr>
        <w:numPr>
          <w:ilvl w:val="0"/>
          <w:numId w:val="4"/>
        </w:numPr>
      </w:pPr>
      <w:r>
        <w:t>What is the named counterexample or boundary case?</w:t>
      </w:r>
    </w:p>
    <w:p w14:paraId="4AA02529" w14:textId="77777777" w:rsidR="0045369C" w:rsidRDefault="00DD0B02">
      <w:pPr>
        <w:numPr>
          <w:ilvl w:val="0"/>
          <w:numId w:val="4"/>
        </w:numPr>
      </w:pPr>
      <w:r>
        <w:t>What does this essay leave open for a creative or research team to develop?</w:t>
      </w:r>
    </w:p>
    <w:p w14:paraId="4AA0252A" w14:textId="77777777" w:rsidR="0045369C" w:rsidRDefault="00DD0B02">
      <w:pPr>
        <w:numPr>
          <w:ilvl w:val="0"/>
          <w:numId w:val="4"/>
        </w:numPr>
        <w:spacing w:after="240"/>
      </w:pPr>
      <w:r>
        <w:t>What is the boring explanation a sceptic would offer, and what does the frame add beyond it?</w:t>
      </w:r>
    </w:p>
    <w:p w14:paraId="4AA0252B" w14:textId="77777777" w:rsidR="0045369C" w:rsidRDefault="00DD0B02">
      <w:pPr>
        <w:spacing w:before="240" w:after="240"/>
      </w:pPr>
      <w:r>
        <w:t>If the writer can answer all seven, the essay can be drafted.</w:t>
      </w:r>
    </w:p>
    <w:p w14:paraId="4AA0252C" w14:textId="77777777" w:rsidR="0045369C" w:rsidRDefault="00000000">
      <w:r>
        <w:pict w14:anchorId="4AA02547">
          <v:rect id="_x0000_i1035" style="width:0;height:1.5pt" o:hralign="center" o:hrstd="t" o:hr="t" fillcolor="#a0a0a0" stroked="f"/>
        </w:pict>
      </w:r>
    </w:p>
    <w:p w14:paraId="4AA0252D" w14:textId="77777777" w:rsidR="0045369C" w:rsidRDefault="00DD0B02">
      <w:pPr>
        <w:spacing w:before="240" w:after="240"/>
        <w:rPr>
          <w:b/>
          <w:bCs/>
        </w:rPr>
      </w:pPr>
      <w:r>
        <w:rPr>
          <w:b/>
          <w:bCs/>
        </w:rPr>
        <w:t>Post-draft checklist (the editor's pass)</w:t>
      </w:r>
    </w:p>
    <w:p w14:paraId="4AA0252E" w14:textId="77777777" w:rsidR="0045369C" w:rsidRDefault="00DD0B02">
      <w:pPr>
        <w:numPr>
          <w:ilvl w:val="0"/>
          <w:numId w:val="2"/>
        </w:numPr>
        <w:spacing w:before="240"/>
      </w:pPr>
      <w:r>
        <w:t>Are the four moves present and in order?</w:t>
      </w:r>
    </w:p>
    <w:p w14:paraId="4AA0252F" w14:textId="77777777" w:rsidR="0045369C" w:rsidRDefault="00DD0B02">
      <w:pPr>
        <w:numPr>
          <w:ilvl w:val="0"/>
          <w:numId w:val="2"/>
        </w:numPr>
      </w:pPr>
      <w:r>
        <w:t>Does the contemporary case bear at least equal analytic weight to the theoretical case?</w:t>
      </w:r>
    </w:p>
    <w:p w14:paraId="4AA02530" w14:textId="77777777" w:rsidR="0045369C" w:rsidRDefault="00DD0B02">
      <w:pPr>
        <w:numPr>
          <w:ilvl w:val="0"/>
          <w:numId w:val="2"/>
        </w:numPr>
      </w:pPr>
      <w:r>
        <w:t>Does the essay pass the substitution test?</w:t>
      </w:r>
    </w:p>
    <w:p w14:paraId="4AA02531" w14:textId="77777777" w:rsidR="0045369C" w:rsidRDefault="00DD0B02">
      <w:pPr>
        <w:numPr>
          <w:ilvl w:val="0"/>
          <w:numId w:val="2"/>
        </w:numPr>
      </w:pPr>
      <w:r>
        <w:t>Does the essay pass the counterexample test?</w:t>
      </w:r>
    </w:p>
    <w:p w14:paraId="4AA02532" w14:textId="77777777" w:rsidR="0045369C" w:rsidRDefault="00DD0B02">
      <w:pPr>
        <w:numPr>
          <w:ilvl w:val="0"/>
          <w:numId w:val="2"/>
        </w:numPr>
      </w:pPr>
      <w:r>
        <w:t>Does the essay pass the common-sense test?</w:t>
      </w:r>
    </w:p>
    <w:p w14:paraId="4AA02533" w14:textId="77777777" w:rsidR="0045369C" w:rsidRDefault="00DD0B02">
      <w:pPr>
        <w:numPr>
          <w:ilvl w:val="0"/>
          <w:numId w:val="2"/>
        </w:numPr>
      </w:pPr>
      <w:r>
        <w:lastRenderedPageBreak/>
        <w:t>Does the essay survive all three hostile readers?</w:t>
      </w:r>
    </w:p>
    <w:p w14:paraId="4AA02534" w14:textId="77777777" w:rsidR="0045369C" w:rsidRDefault="00DD0B02">
      <w:pPr>
        <w:numPr>
          <w:ilvl w:val="0"/>
          <w:numId w:val="2"/>
        </w:numPr>
      </w:pPr>
      <w:r>
        <w:t>Are the failure modes — theory-heavy asymmetry, decorative frame, analogy substitution, decorative ethnography, symmetric structure, list-of-cool-nouns, overclaiming closure, self-aware swagger, unintegrated afterword — actively guarded against?</w:t>
      </w:r>
    </w:p>
    <w:p w14:paraId="4AA02535" w14:textId="77777777" w:rsidR="0045369C" w:rsidRDefault="00DD0B02">
      <w:pPr>
        <w:numPr>
          <w:ilvl w:val="0"/>
          <w:numId w:val="2"/>
        </w:numPr>
      </w:pPr>
      <w:r>
        <w:t>Is the page count between eight and twelve, with each spread doing structural work?</w:t>
      </w:r>
    </w:p>
    <w:p w14:paraId="4AA02536" w14:textId="77777777" w:rsidR="0045369C" w:rsidRDefault="00DD0B02">
      <w:pPr>
        <w:numPr>
          <w:ilvl w:val="0"/>
          <w:numId w:val="2"/>
        </w:numPr>
        <w:spacing w:after="240"/>
      </w:pPr>
      <w:r>
        <w:t>Does the afterword reflect rather than perform?</w:t>
      </w:r>
    </w:p>
    <w:p w14:paraId="4AA02537" w14:textId="77777777" w:rsidR="0045369C" w:rsidRDefault="00DD0B02">
      <w:pPr>
        <w:spacing w:before="240" w:after="240"/>
      </w:pPr>
      <w:r>
        <w:t>Any "no" is a problem to be fixed before publication. More than two is a draft that should be reworked rather than tweaked.</w:t>
      </w:r>
    </w:p>
    <w:p w14:paraId="4AA02538" w14:textId="77777777" w:rsidR="0045369C" w:rsidRDefault="00000000">
      <w:r>
        <w:pict w14:anchorId="4AA02548">
          <v:rect id="_x0000_i1036" style="width:0;height:1.5pt" o:hralign="center" o:hrstd="t" o:hr="t" fillcolor="#a0a0a0" stroked="f"/>
        </w:pict>
      </w:r>
    </w:p>
    <w:p w14:paraId="4AA02539" w14:textId="77777777" w:rsidR="0045369C" w:rsidRDefault="00DD0B02">
      <w:pPr>
        <w:spacing w:before="240" w:after="240"/>
        <w:rPr>
          <w:b/>
          <w:bCs/>
        </w:rPr>
      </w:pPr>
      <w:r>
        <w:rPr>
          <w:b/>
          <w:bCs/>
        </w:rPr>
        <w:t>Success condition</w:t>
      </w:r>
    </w:p>
    <w:p w14:paraId="4AA0253A" w14:textId="77777777" w:rsidR="0045369C" w:rsidRDefault="00DD0B02">
      <w:pPr>
        <w:spacing w:before="240" w:after="240"/>
      </w:pPr>
      <w:r>
        <w:t>A reader who is the kind of person the author would want to be commissioned by — a senior planner, a research lead, a strategy director — closes the essay and is more curious about the author than they were before reading. They can imagine the kind of brief on which they might commission the author. They have at least one analytic move they could use in their own work tomorrow. They want to read the next one.</w:t>
      </w:r>
    </w:p>
    <w:p w14:paraId="4AA0253B" w14:textId="77777777" w:rsidR="0045369C" w:rsidRDefault="00DD0B02">
      <w:pPr>
        <w:spacing w:before="240" w:after="240"/>
      </w:pPr>
      <w:r>
        <w:t>The essay strengthens conviction. It does not have to be the artefact on which someone is hired. It has to be the artefact that makes hiring more likely than not encountering it at all.</w:t>
      </w:r>
    </w:p>
    <w:p w14:paraId="4AA0253C" w14:textId="77777777" w:rsidR="0045369C" w:rsidRDefault="0045369C"/>
    <w:sectPr w:rsidR="004536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35274D3-FA2F-4CEA-8AF3-CECD80F97EFA}"/>
  </w:font>
  <w:font w:name="Cambria">
    <w:panose1 w:val="02040503050406030204"/>
    <w:charset w:val="00"/>
    <w:family w:val="roman"/>
    <w:pitch w:val="variable"/>
    <w:sig w:usb0="E00006FF" w:usb1="420024FF" w:usb2="02000000" w:usb3="00000000" w:csb0="0000019F" w:csb1="00000000"/>
    <w:embedRegular r:id="rId2" w:fontKey="{1C0C3377-9769-4A91-A27A-53878E2A11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237F0"/>
    <w:multiLevelType w:val="multilevel"/>
    <w:tmpl w:val="8138B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103364"/>
    <w:multiLevelType w:val="multilevel"/>
    <w:tmpl w:val="A50C5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1F72A4"/>
    <w:multiLevelType w:val="multilevel"/>
    <w:tmpl w:val="F43EB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6A6DEC"/>
    <w:multiLevelType w:val="multilevel"/>
    <w:tmpl w:val="B06A8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107C81"/>
    <w:multiLevelType w:val="multilevel"/>
    <w:tmpl w:val="4EC44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6886524">
    <w:abstractNumId w:val="2"/>
  </w:num>
  <w:num w:numId="2" w16cid:durableId="953486481">
    <w:abstractNumId w:val="0"/>
  </w:num>
  <w:num w:numId="3" w16cid:durableId="1744454138">
    <w:abstractNumId w:val="4"/>
  </w:num>
  <w:num w:numId="4" w16cid:durableId="736628417">
    <w:abstractNumId w:val="1"/>
  </w:num>
  <w:num w:numId="5" w16cid:durableId="5592872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69C"/>
    <w:rsid w:val="0045369C"/>
    <w:rsid w:val="004778E8"/>
    <w:rsid w:val="009F68D1"/>
    <w:rsid w:val="00D56A70"/>
    <w:rsid w:val="00DD0B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024DC"/>
  <w15:docId w15:val="{016E705E-FEED-4674-AAA1-E757ACFA2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1698</Words>
  <Characters>9684</Characters>
  <Application>Microsoft Office Word</Application>
  <DocSecurity>0</DocSecurity>
  <Lines>80</Lines>
  <Paragraphs>22</Paragraphs>
  <ScaleCrop>false</ScaleCrop>
  <Company/>
  <LinksUpToDate>false</LinksUpToDate>
  <CharactersWithSpaces>11360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Jamie Mott</cp:lastModifiedBy>
  <cp:revision>3</cp:revision>
  <dcterms:created xsi:type="dcterms:W3CDTF">2026-05-08T08:48:00Z</dcterms:created>
  <dcterms:modified xsi:type="dcterms:W3CDTF">2026-05-27T13:22:00Z</dcterms:modified>
</cp:coreProperties>
</file>