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Twins Are Birds: Essay Brief</w:t>
      </w:r>
    </w:p>
    <w:p>
      <w:pPr>
        <w:pStyle w:val="Subtitle"/>
      </w:pPr>
      <w:r>
        <w:t xml:space="preserve">An instruction manual for the writer and the critical editor</w:t>
      </w:r>
    </w:p>
    <w:p>
      <w:pPr>
        <w:pStyle w:val="Heading1"/>
      </w:pPr>
      <w:r>
        <w:t xml:space="preserve">What a Twins Are Birds essay is</w:t>
      </w:r>
    </w:p>
    <w:p>
      <w:r>
        <w:t xml:space="preserve">A Twins Are Birds essay is a short, image-led, eight-to-twelve-page zine that uses an anthropological or continental-theoretical frame to produce a non-obvious reading of a contemporary cultural-commercial object. The reading must work as cultural criticism and as creative-strategic provocation, and must demonstrate the capacity to take the frame further in commissioned work.</w:t>
      </w:r>
    </w:p>
    <w:p>
      <w:r>
        <w:t xml:space="preserve">The essay's job is to demonstrate, in compressed form, a professional capability the author can bring to commissioned work at scale. Each essay must stand as evidence that the author can: identify objects worth thinking about, bring real theory to bear on them, and produce a reading that makes the object look different by the end — in a way a reader can carry.</w:t>
      </w:r>
    </w:p>
    <w:p>
      <w:pPr>
        <w:pStyle w:val="Heading1"/>
      </w:pPr>
      <w:r>
        <w:t xml:space="preserve">Audience</w:t>
      </w:r>
    </w:p>
    <w:p>
      <w:r>
        <w:t xml:space="preserve">Primary audience: commercial. Senior planners, research leads, strategy directors. The kind of reader the author would want to be commissioned by.</w:t>
      </w:r>
    </w:p>
    <w:p>
      <w:r>
        <w:t xml:space="preserve">Secondary audience: anthropologists or theorists who happen to read the work. The bar with this audience is respectability rather than persuasion — the essay should not embarrass itself in front of someone who knows the source well. Source selection, fidelity to the theoretical move, and the afterword's acknowledgement of complications are the structural features that do this work. The secondary audience is a constraint, not an objective.</w:t>
      </w:r>
    </w:p>
    <w:p>
      <w:pPr>
        <w:pStyle w:val="Heading1"/>
      </w:pPr>
      <w:r>
        <w:t xml:space="preserve">The central editorial discipline</w:t>
      </w:r>
    </w:p>
    <w:p>
      <w:r>
        <w:t xml:space="preserve">The contemporary case must do commercial work the reader could not have done without the frame.</w:t>
      </w:r>
    </w:p>
    <w:p>
      <w:r>
        <w:t xml:space="preserve">This is the click — the moment the theoretical frame snaps into the contemporary object and the reader sees it differently. Every editorial decision can be tested against whether it sharpens or dulls the click. If the frame is doing real commercial work in the reading, the essay is earning its theoretical apparatus. If the reading would survive replacing the frame with a generic equivalent, the frame is decorative and the essay is not ready.</w:t>
      </w:r>
    </w:p>
    <w:p>
      <w:r>
        <w:t xml:space="preserve">The click serves both audiences. Commercial readers see the frame earning its place. Theoretical readers see the source being used properly rather than mined for a quote.</w:t>
      </w:r>
    </w:p>
    <w:p>
      <w:pPr>
        <w:pStyle w:val="Heading1"/>
      </w:pPr>
      <w:r>
        <w:t xml:space="preserve">The question-pair structure</w:t>
      </w:r>
    </w:p>
    <w:p>
      <w:r>
        <w:t xml:space="preserve">Every essay has two paired questions in its title.</w:t>
      </w:r>
    </w:p>
    <w:p>
      <w:r>
        <w:rPr>
          <w:i/>
          <w:iCs/>
        </w:rPr>
        <w:t xml:space="preserve">The first question</w:t>
      </w:r>
      <w:r>
        <w:t xml:space="preserve"> is an apparently strange question about the source material — the anthropological or theoretical case the essay introduces. </w:t>
      </w:r>
      <w:r>
        <w:rPr>
          <w:i/>
          <w:iCs/>
        </w:rPr>
        <w:t xml:space="preserve">Why are twins birds? Why did Aramis die? Why is reaching thinking? Why did Corteiz take it all away?</w:t>
      </w:r>
    </w:p>
    <w:p>
      <w:r>
        <w:rPr>
          <w:i/>
          <w:iCs/>
        </w:rPr>
        <w:t xml:space="preserve">The second question</w:t>
      </w:r>
      <w:r>
        <w:t xml:space="preserve"> is a contemporary cultural-commercial puzzle. </w:t>
      </w:r>
      <w:r>
        <w:rPr>
          <w:i/>
          <w:iCs/>
        </w:rPr>
        <w:t xml:space="preserve">Why is Nike losing the streets? Why is home printing so painful? Why do people pay to sit in silence?</w:t>
      </w:r>
    </w:p>
    <w:p>
      <w:r>
        <w:t xml:space="preserve">The two questions must illuminate each other. The theoretical case is not metaphor for the contemporary case; the two share a structural feature that the essay will name. The titular question-pair is the first signal of the essay's analytic move and should be honest about what's coming.</w:t>
      </w:r>
    </w:p>
    <w:p>
      <w:pPr>
        <w:pStyle w:val="Heading1"/>
      </w:pPr>
      <w:r>
        <w:t xml:space="preserve">Architecture: the three moves</w:t>
      </w:r>
    </w:p>
    <w:p>
      <w:r>
        <w:t xml:space="preserve">Every essay executes three moves in order. Each move is assessable.</w:t>
      </w:r>
    </w:p>
    <w:p>
      <w:pPr>
        <w:pStyle w:val="Heading2"/>
      </w:pPr>
      <w:r>
        <w:t xml:space="preserve">Move one — Cultural object and frame</w:t>
      </w:r>
    </w:p>
    <w:p>
      <w:r>
        <w:t xml:space="preserve">Identify a specific, real, contemporary cultural-commercial object. Specificity is mandatory: Corteiz at Wormwood Scrubs in 2022, not "streetwear brands". Bring a named theoretical frame from a named source. The frame must be load-bearing — the reading produced is not available without it.</w:t>
      </w:r>
    </w:p>
    <w:p>
      <w:pPr>
        <w:pStyle w:val="Heading2"/>
      </w:pPr>
      <w:r>
        <w:t xml:space="preserve">Move two — The click</w:t>
      </w:r>
    </w:p>
    <w:p>
      <w:r>
        <w:t xml:space="preserve">Engineer the moment the frame snaps into the object. The reading produced must be non-obvious, specific to this object, and stated clearly enough that a reader could carry it. The click is the essay's central work. Other elements support it.</w:t>
      </w:r>
    </w:p>
    <w:p>
      <w:pPr>
        <w:pStyle w:val="Heading2"/>
      </w:pPr>
      <w:r>
        <w:t xml:space="preserve">Move three — Open frame</w:t>
      </w:r>
    </w:p>
    <w:p>
      <w:r>
        <w:t xml:space="preserve">The reading must remain generative. A creative team or research team should be able to take it somewhere the essay didn't go. The essay closes the case but opens the frame. Worked conditions, named counterexamples, and exhaustive mechanism specification are not required — these belong to the commissioned work that the essay evidences the capacity for, not to the essay itself. The frame must be tight enough to click, not tight enough to deploy against arbitrary cases.</w:t>
      </w:r>
    </w:p>
    <w:p>
      <w:pPr>
        <w:pStyle w:val="Heading1"/>
      </w:pPr>
      <w:r>
        <w:t xml:space="preserve">Spread architecture</w:t>
      </w:r>
    </w:p>
    <w:p>
      <w:r>
        <w:t xml:space="preserve">Eight pages is the floor. Twelve is the ceiling. Past twelve, the artefact stops being a Twins Are Birds zine.</w:t>
      </w:r>
    </w:p>
    <w:p>
      <w:r>
        <w:t xml:space="preserve">Working spread allocation for an eight-page essay:</w:t>
      </w:r>
    </w:p>
    <w:p>
      <w:r>
        <w:t xml:space="preserve">One spread: problem (the contemporary puzzle, posed)</w:t>
      </w:r>
    </w:p>
    <w:p>
      <w:r>
        <w:t xml:space="preserve">Two spreads: theoretical case (the source material doing its work)</w:t>
      </w:r>
    </w:p>
    <w:p>
      <w:r>
        <w:t xml:space="preserve">Two spreads: contemporary case (the puzzle read at full strength, with the click)</w:t>
      </w:r>
    </w:p>
    <w:p>
      <w:r>
        <w:t xml:space="preserve">One spread: synthesis (the reading stated cleanly)</w:t>
      </w:r>
    </w:p>
    <w:p>
      <w:r>
        <w:t xml:space="preserve">One spread: afterword (personal reflection, source acknowledgement)</w:t>
      </w:r>
    </w:p>
    <w:p>
      <w:r>
        <w:t xml:space="preserve">For ten to twelve pages, additional spreads go to the contemporary case — never to additional theoretical exposition or rhetorical flight.</w:t>
      </w:r>
    </w:p>
    <w:p>
      <w:pPr>
        <w:pStyle w:val="Heading1"/>
      </w:pPr>
      <w:r>
        <w:t xml:space="preserve">The redistribution principle</w:t>
      </w:r>
    </w:p>
    <w:p>
      <w:r>
        <w:t xml:space="preserve">The strongest temptation in writing a Twins Are Birds essay is to spend the essay's analytic energy on the theoretical material — because the theoretical material is more pleasurable to research, write, and quote — and to land the contemporary case with metaphorical flourish.</w:t>
      </w:r>
    </w:p>
    <w:p>
      <w:r>
        <w:t xml:space="preserve">This is the failure mode. The contemporary case is what the essay is for. The thinker is the lens; the case is what the lens clarifies. When the case is handled at lower strength than the theory, the theory looks like the point and the case looks like the pretext.</w:t>
      </w:r>
    </w:p>
    <w:p>
      <w:r>
        <w:t xml:space="preserve">The cases do not need equal word count. They need equal clarity. A sharp click in a short contemporary paragraph can carry equal weight to a longer theoretical setup. The test is whether the contemporary reading is as clearly stated as the theoretical setup, not whether it occupies as many words.</w:t>
      </w:r>
    </w:p>
    <w:p>
      <w:r>
        <w:t xml:space="preserve">The fix when the balance is wrong: compress the theoretical material to make room for the contemporary reading to land cleanly. Choose fewer theoretical quotes; let them do more.</w:t>
      </w:r>
    </w:p>
    <w:p>
      <w:pPr>
        <w:pStyle w:val="Heading1"/>
      </w:pPr>
      <w:r>
        <w:t xml:space="preserve">Voice and form</w:t>
      </w:r>
    </w:p>
    <w:p>
      <w:r>
        <w:t xml:space="preserve">Non-negotiable elements:</w:t>
      </w:r>
    </w:p>
    <w:p>
      <w:r>
        <w:t xml:space="preserve">The British prose register</w:t>
      </w:r>
    </w:p>
    <w:p>
      <w:r>
        <w:t xml:space="preserve">The question-pair titling</w:t>
      </w:r>
    </w:p>
    <w:p>
      <w:r>
        <w:t xml:space="preserve">The visual identity (black backgrounds, Josefin Sans and Amatic SC, torn-paper collage aesthetic, surrealist cover image)</w:t>
      </w:r>
    </w:p>
    <w:p>
      <w:r>
        <w:t xml:space="preserve">The image-quote-text rhythm, with one major quote per spread on quote pages</w:t>
      </w:r>
    </w:p>
    <w:p>
      <w:r>
        <w:t xml:space="preserve">The afterword as personal-reflective coda</w:t>
      </w:r>
    </w:p>
    <w:p>
      <w:r>
        <w:t xml:space="preserve">The afterword is where the author appears as a thinker rather than a performer. It can be looser, more autobiographical, more fallible than the body of the essay. </w:t>
      </w:r>
      <w:r>
        <w:rPr>
          <w:i/>
          <w:iCs/>
        </w:rPr>
        <w:t xml:space="preserve">The Merleau-Ponty afterword — garden, cat, coffee — is the model.</w:t>
      </w:r>
      <w:r>
        <w:t xml:space="preserve"> The afterword is also where the secondary audience is served: methodological and political complications with the source are acknowledged here, integrated into a personal reading rather than appended as disclaimer. The afterword is not a place to launder problems the essay should have addressed structurally.</w:t>
      </w:r>
    </w:p>
    <w:p>
      <w:pPr>
        <w:pStyle w:val="Heading1"/>
      </w:pPr>
      <w:r>
        <w:t xml:space="preserve">Failure modes — the editor's checklist</w:t>
      </w:r>
    </w:p>
    <w:p>
      <w:r>
        <w:t xml:space="preserve">Every draft must be read against these. Each is diagnostic of a structural problem, not a stylistic preference.</w:t>
      </w:r>
    </w:p>
    <w:p>
      <w:r>
        <w:rPr>
          <w:b/>
          <w:bCs/>
        </w:rPr>
        <w:t xml:space="preserve">Theory-heavy / case-light asymmetry.</w:t>
      </w:r>
      <w:r>
        <w:t xml:space="preserve"> The contemporary case lands with metaphorical flourish where the theoretical case got full analytic weight. </w:t>
      </w:r>
      <w:r>
        <w:rPr>
          <w:i/>
          <w:iCs/>
        </w:rPr>
        <w:t xml:space="preserve">Test: is the contemporary reading as clearly stated as the theoretical setup? If the reader could repeat the theoretical move but not the contemporary one, the essay is misweighted.</w:t>
      </w:r>
    </w:p>
    <w:p>
      <w:r>
        <w:rPr>
          <w:b/>
          <w:bCs/>
        </w:rPr>
        <w:t xml:space="preserve">Decorative frame.</w:t>
      </w:r>
      <w:r>
        <w:t xml:space="preserve"> The theoretical apparatus is impressive but not load-bearing. </w:t>
      </w:r>
      <w:r>
        <w:rPr>
          <w:i/>
          <w:iCs/>
        </w:rPr>
        <w:t xml:space="preserve">Test: rewrite the essay's central claim with a generic equivalent of the frame (recognition, exchange, embodiment). If the claim survives intact, the frame was decoration.</w:t>
      </w:r>
    </w:p>
    <w:p>
      <w:r>
        <w:rPr>
          <w:b/>
          <w:bCs/>
        </w:rPr>
        <w:t xml:space="preserve">Analogy substitution.</w:t>
      </w:r>
      <w:r>
        <w:t xml:space="preserve"> The essay restates one case in another case's vocabulary without showing the structural identity holds. </w:t>
      </w:r>
      <w:r>
        <w:rPr>
          <w:i/>
          <w:iCs/>
        </w:rPr>
        <w:t xml:space="preserve">Test: name the structural feature both cases share. If you can't name it in one sentence, the analogy is doing the work the argument should be doing.</w:t>
      </w:r>
    </w:p>
    <w:p>
      <w:r>
        <w:rPr>
          <w:b/>
          <w:bCs/>
        </w:rPr>
        <w:t xml:space="preserve">Decorative ethnography.</w:t>
      </w:r>
      <w:r>
        <w:t xml:space="preserve"> Exoticised source material as rhetorical prop. </w:t>
      </w:r>
      <w:r>
        <w:rPr>
          <w:i/>
          <w:iCs/>
        </w:rPr>
        <w:t xml:space="preserve">Test: would a less exotic source illustrate the same structural point? If yes, the exoticism is doing aesthetic, not analytic, work.</w:t>
      </w:r>
    </w:p>
    <w:p>
      <w:r>
        <w:rPr>
          <w:b/>
          <w:bCs/>
        </w:rPr>
        <w:t xml:space="preserve">The dulled click.</w:t>
      </w:r>
      <w:r>
        <w:t xml:space="preserve"> The contemporary reading is present but the moment of seeing the object differently doesn't land. </w:t>
      </w:r>
      <w:r>
        <w:rPr>
          <w:i/>
          <w:iCs/>
        </w:rPr>
        <w:t xml:space="preserve">Test: can a reader state, in one sentence, what they now see about the contemporary object that they didn't see before? If not, the click hasn't been engineered.</w:t>
      </w:r>
    </w:p>
    <w:p>
      <w:r>
        <w:rPr>
          <w:b/>
          <w:bCs/>
        </w:rPr>
        <w:t xml:space="preserve">The list-of-cool-nouns reflex.</w:t>
      </w:r>
      <w:r>
        <w:t xml:space="preserve"> Piles of brand names, cultural references, and proper nouns substituting for analysis. </w:t>
      </w:r>
      <w:r>
        <w:rPr>
          <w:i/>
          <w:iCs/>
        </w:rPr>
        <w:t xml:space="preserve">Test: cut the list. Does the argument suffer? If no, the list was texture-in-place-of-thought.</w:t>
      </w:r>
    </w:p>
    <w:p>
      <w:r>
        <w:rPr>
          <w:b/>
          <w:bCs/>
        </w:rPr>
        <w:t xml:space="preserve">Overclaiming closure.</w:t>
      </w:r>
      <w:r>
        <w:t xml:space="preserve"> The synthesis section delivers a packaged answer the essay hasn't earned, or converts the click into a slogan. </w:t>
      </w:r>
      <w:r>
        <w:rPr>
          <w:i/>
          <w:iCs/>
        </w:rPr>
        <w:t xml:space="preserve">Test: could a creative team take this somewhere the essay didn't go? If no, the frame has been closed rather than opened.</w:t>
      </w:r>
    </w:p>
    <w:p>
      <w:r>
        <w:rPr>
          <w:b/>
          <w:bCs/>
        </w:rPr>
        <w:t xml:space="preserve">Self-aware swagger.</w:t>
      </w:r>
      <w:r>
        <w:t xml:space="preserve"> Performative self-awareness substituting for the critical reflection it pretends to enact. </w:t>
      </w:r>
      <w:r>
        <w:rPr>
          <w:i/>
          <w:iCs/>
        </w:rPr>
        <w:t xml:space="preserve">Test: does the line do critical work, or does it just signal that the writer knows what critical work would look like?</w:t>
      </w:r>
    </w:p>
    <w:p>
      <w:r>
        <w:rPr>
          <w:b/>
          <w:bCs/>
        </w:rPr>
        <w:t xml:space="preserve">Unintegrated afterword.</w:t>
      </w:r>
      <w:r>
        <w:t xml:space="preserve"> The afterword acknowledges colonial, political, or methodological problems the body of the essay ignored. </w:t>
      </w:r>
      <w:r>
        <w:rPr>
          <w:i/>
          <w:iCs/>
        </w:rPr>
        <w:t xml:space="preserve">Test: does the body of the essay engage with the source's complications where relevant, or does the afterword apologise for not engaging with them?</w:t>
      </w:r>
    </w:p>
    <w:p>
      <w:pPr>
        <w:pStyle w:val="Heading1"/>
      </w:pPr>
      <w:r>
        <w:t xml:space="preserve">The three publication tests</w:t>
      </w:r>
    </w:p>
    <w:p>
      <w:r>
        <w:t xml:space="preserve">Before any essay is published, it must pass the following. Failure at two or more means the essay is not ready.</w:t>
      </w:r>
    </w:p>
    <w:p>
      <w:r>
        <w:rPr>
          <w:b/>
          <w:bCs/>
        </w:rPr>
        <w:t xml:space="preserve">The click test.</w:t>
      </w:r>
      <w:r>
        <w:t xml:space="preserve"> Can a reader state, in one sentence, what they now see about the contemporary object that they didn't see before reading? If not, the essay's central work isn't done.</w:t>
      </w:r>
    </w:p>
    <w:p>
      <w:r>
        <w:rPr>
          <w:b/>
          <w:bCs/>
        </w:rPr>
        <w:t xml:space="preserve">The substitution test.</w:t>
      </w:r>
      <w:r>
        <w:t xml:space="preserve"> Replace the central theoretical frame with a generic equivalent (recognition, exchange, embodiment). If the essay's claims survive substitution unchanged, the frame was decorative and must either be deepened or removed.</w:t>
      </w:r>
    </w:p>
    <w:p>
      <w:r>
        <w:rPr>
          <w:b/>
          <w:bCs/>
        </w:rPr>
        <w:t xml:space="preserve">The common-sense test.</w:t>
      </w:r>
      <w:r>
        <w:t xml:space="preserve"> State the boring, structural, non-theoretical explanation a sceptical reader would offer. The essay must show what the frame adds beyond it. If the frame adds nothing the boring explanation didn't already provide, the essay is not earning its theoretical apparatus.</w:t>
      </w:r>
    </w:p>
    <w:p>
      <w:r>
        <w:t xml:space="preserve">The hostile reader: a senior planner or strategy director closes the essay. They have at least one analytic move they could use in their own work. They can imagine the kind of brief on which they might commission the author. They want to read the next one. If the essay doesn't survive this reader, it isn't ready.</w:t>
      </w:r>
    </w:p>
    <w:p>
      <w:pPr>
        <w:pStyle w:val="Heading1"/>
      </w:pPr>
      <w:r>
        <w:t xml:space="preserve">Pre-write checklist</w:t>
      </w:r>
    </w:p>
    <w:p>
      <w:r>
        <w:t xml:space="preserve">Before drafting, the writer should be able to answer all of these in one sentence each. If any answer is missing or vague, the essay is not ready to write.</w:t>
      </w:r>
    </w:p>
    <w:p>
      <w:r>
        <w:t xml:space="preserve">What is the contemporary cultural-commercial object?</w:t>
      </w:r>
    </w:p>
    <w:p>
      <w:r>
        <w:t xml:space="preserve">What is the theoretical frame, named to a specific source?</w:t>
      </w:r>
    </w:p>
    <w:p>
      <w:r>
        <w:t xml:space="preserve">What structural feature do the theoretical case and the contemporary case share?</w:t>
      </w:r>
    </w:p>
    <w:p>
      <w:r>
        <w:t xml:space="preserve">What is the click — what does the reader see about the contemporary object that they didn't see before?</w:t>
      </w:r>
    </w:p>
    <w:p>
      <w:r>
        <w:t xml:space="preserve">What does this essay leave open for a creative or research team to develop?</w:t>
      </w:r>
    </w:p>
    <w:p>
      <w:r>
        <w:t xml:space="preserve">What is the boring explanation a sceptic would offer, and what does the frame add beyond it?</w:t>
      </w:r>
    </w:p>
    <w:p>
      <w:r>
        <w:t xml:space="preserve">If the writer can answer all six, the essay can be drafted.</w:t>
      </w:r>
    </w:p>
    <w:p>
      <w:pPr>
        <w:pStyle w:val="Heading1"/>
      </w:pPr>
      <w:r>
        <w:t xml:space="preserve">Post-draft checklist (the editor's pass)</w:t>
      </w:r>
    </w:p>
    <w:p>
      <w:r>
        <w:t xml:space="preserve">Are the three moves present and in order?</w:t>
      </w:r>
    </w:p>
    <w:p>
      <w:r>
        <w:t xml:space="preserve">Does the contemporary reading land as clearly as the theoretical setup?</w:t>
      </w:r>
    </w:p>
    <w:p>
      <w:r>
        <w:t xml:space="preserve">Does the essay pass the click test?</w:t>
      </w:r>
    </w:p>
    <w:p>
      <w:r>
        <w:t xml:space="preserve">Does the essay pass the substitution test?</w:t>
      </w:r>
    </w:p>
    <w:p>
      <w:r>
        <w:t xml:space="preserve">Does the essay pass the common-sense test?</w:t>
      </w:r>
    </w:p>
    <w:p>
      <w:r>
        <w:t xml:space="preserve">Does it survive the senior planner / strategy director reading?</w:t>
      </w:r>
    </w:p>
    <w:p>
      <w:r>
        <w:t xml:space="preserve">Are the failure modes — theory-heavy asymmetry, decorative frame, analogy substitution, decorative ethnography, dulled click, list-of-cool-nouns, overclaiming closure, self-aware swagger, unintegrated afterword — actively guarded against?</w:t>
      </w:r>
    </w:p>
    <w:p>
      <w:r>
        <w:t xml:space="preserve">Is the page count between eight and twelve, with each spread doing structural work?</w:t>
      </w:r>
    </w:p>
    <w:p>
      <w:r>
        <w:t xml:space="preserve">Does the afterword reflect rather than perform, and does it handle the source's complications honestly?</w:t>
      </w:r>
    </w:p>
    <w:p>
      <w:r>
        <w:t xml:space="preserve">Any "no" is a problem to be fixed before publication. More than two is a draft that should be reworked rather than tweaked.</w:t>
      </w:r>
    </w:p>
    <w:p>
      <w:pPr>
        <w:pStyle w:val="Heading1"/>
      </w:pPr>
      <w:r>
        <w:t xml:space="preserve">Success condition</w:t>
      </w:r>
    </w:p>
    <w:p>
      <w:r>
        <w:t xml:space="preserve">A senior planner, research lead, or strategy director closes the essay and is more curious about the author than they were before reading. They have seen the contemporary object in a way they hadn't before. They can imagine the kind of brief on which they might commission the author. They want to read the next one.</w:t>
      </w:r>
    </w:p>
    <w:p>
      <w:r>
        <w:t xml:space="preserve">An anthropologist or theorist who happens to read the essay closes it without wincing. They see their source being used with respect, the obvious complications acknowledged, and the move that has been borrowed handled honestly. They don't need to feel the essay has made a case for anthropology; they need to feel the writer hasn't embarrassed the discipline.</w:t>
      </w:r>
    </w:p>
    <w:p>
      <w:r>
        <w:t xml:space="preserve">The essay strengthens conviction. It does not have to be the artefact on which someone is hired. It has to be the artefact that makes hiring more likely than not encountering it at 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240"/>
    </w:pPr>
    <w:rPr>
      <w:rFonts w:ascii="Arial" w:cs="Arial" w:eastAsia="Arial" w:hAnsi="Arial"/>
      <w:b/>
      <w:bCs/>
      <w:sz w:val="36"/>
      <w:szCs w:val="36"/>
    </w:rPr>
  </w:style>
  <w:style w:type="paragraph" w:styleId="Subtitle">
    <w:name w:val="Subtitle"/>
    <w:basedOn w:val="Normal"/>
    <w:next w:val="Normal"/>
    <w:qFormat/>
    <w:pPr>
      <w:spacing w:after="360" w:before="0"/>
    </w:pPr>
    <w:rPr>
      <w:rFonts w:ascii="Arial" w:cs="Arial" w:eastAsia="Arial" w:hAnsi="Arial"/>
      <w:i/>
      <w:iCs/>
      <w:color w:val="555555"/>
      <w:sz w:val="24"/>
      <w:szCs w:val="24"/>
    </w:rPr>
  </w:style>
  <w:style w:type="paragraph" w:styleId="Heading1">
    <w:name w:val="Heading 1"/>
    <w:basedOn w:val="Normal"/>
    <w:next w:val="Normal"/>
    <w:qFormat/>
    <w:pPr>
      <w:spacing w:after="18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2026-05-27T20:12:58.810Z</dcterms:created>
  <dcterms:modified xsi:type="dcterms:W3CDTF">2026-05-27T20:12:58.822Z</dcterms:modified>
</cp:coreProperties>
</file>

<file path=docProps/custom.xml><?xml version="1.0" encoding="utf-8"?>
<Properties xmlns="http://schemas.openxmlformats.org/officeDocument/2006/custom-properties" xmlns:vt="http://schemas.openxmlformats.org/officeDocument/2006/docPropsVTypes"/>
</file>