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d4ed8"/>
          <w:sz w:val="36"/>
          <w:szCs w:val="36"/>
        </w:rPr>
        <w:t xml:space="preserve">COB Flow</w:t>
      </w:r>
    </w:p>
    <w:p>
      <w:pPr>
        <w:spacing w:after="60"/>
      </w:pPr>
      <w:r>
        <w:rPr>
          <w:rFonts w:ascii="Arial" w:cs="Arial" w:eastAsia="Arial" w:hAnsi="Arial"/>
          <w:b/>
          <w:bCs/>
          <w:color w:val="475569"/>
          <w:sz w:val="28"/>
          <w:szCs w:val="28"/>
        </w:rPr>
        <w:t xml:space="preserve">Onboarding &amp; Implementation Playbook</w:t>
      </w:r>
    </w:p>
    <w:p>
      <w:pPr>
        <w:spacing w:after="240"/>
      </w:pPr>
      <w:r>
        <w:rPr>
          <w:rFonts w:ascii="Arial" w:cs="Arial" w:eastAsia="Arial" w:hAnsi="Arial"/>
          <w:i/>
          <w:iCs/>
          <w:color w:val="94a3b8"/>
          <w:sz w:val="22"/>
          <w:szCs w:val="22"/>
        </w:rPr>
        <w:t xml:space="preserve">v0.1 · Wisconsin pilot · </w:t>
      </w:r>
      <w:r>
        <w:rPr>
          <w:rFonts w:ascii="Arial" w:cs="Arial" w:eastAsia="Arial" w:hAnsi="Arial"/>
          <w:i/>
          <w:iCs/>
          <w:color w:val="94a3b8"/>
          <w:sz w:val="22"/>
          <w:szCs w:val="22"/>
        </w:rPr>
        <w:t xml:space="preserve">All three deployment modes</w:t>
      </w:r>
    </w:p>
    <w:p>
      <w:pPr>
        <w:pStyle w:val="Heading1"/>
        <w:spacing w:after="140" w:before="280"/>
      </w:pPr>
      <w:r>
        <w:rPr>
          <w:rFonts w:ascii="Arial" w:cs="Arial" w:eastAsia="Arial" w:hAnsi="Arial"/>
          <w:b/>
          <w:bCs/>
          <w:color w:val="1d4ed8"/>
          <w:sz w:val="32"/>
          <w:szCs w:val="32"/>
        </w:rPr>
        <w:t xml:space="preserve">1. Purpose</w:t>
      </w:r>
    </w:p>
    <w:p>
      <w:pPr>
        <w:spacing w:after="100" w:before="0" w:line="280"/>
      </w:pPr>
      <w:r>
        <w:rPr>
          <w:rFonts w:ascii="Arial" w:cs="Arial" w:eastAsia="Arial" w:hAnsi="Arial"/>
          <w:sz w:val="22"/>
          <w:szCs w:val="22"/>
        </w:rPr>
        <w:t xml:space="preserve">This playbook documents the end-to-end process for bringing a new customer onto COB Flow — from first qualification call through ongoing operations. It is structured in two parts: an internal phase-by-phase playbook (Part I), and a customer-facing implementation guide that can be excerpted for sales and contracting conversations (Part II, appendix). The playbook covers all three deployment modes — carrier in-house, vendor/TPA, and independent vendor service — with mode-specific variations called out per phase and consolidated in a comparison table at the end.</w:t>
      </w:r>
    </w:p>
    <w:p>
      <w:pPr>
        <w:spacing w:after="100" w:before="0" w:line="280"/>
      </w:pPr>
      <w:r>
        <w:rPr>
          <w:rFonts w:ascii="Arial" w:cs="Arial" w:eastAsia="Arial" w:hAnsi="Arial"/>
          <w:sz w:val="22"/>
          <w:szCs w:val="22"/>
        </w:rPr>
        <w:t xml:space="preserve">This document is v0.1 and assumes the Wisconsin pilot configuration. Multi-state expansion adds state-specific overlay configuration to Phase 3 but does not change the phase structure itself.</w:t>
      </w:r>
    </w:p>
    <w:p>
      <w:pPr>
        <w:pStyle w:val="Heading1"/>
        <w:spacing w:after="140" w:before="280"/>
      </w:pPr>
      <w:r>
        <w:rPr>
          <w:rFonts w:ascii="Arial" w:cs="Arial" w:eastAsia="Arial" w:hAnsi="Arial"/>
          <w:b/>
          <w:bCs/>
          <w:color w:val="1d4ed8"/>
          <w:sz w:val="32"/>
          <w:szCs w:val="32"/>
        </w:rPr>
        <w:t xml:space="preserve">2. Deployment modes overview</w:t>
      </w:r>
    </w:p>
    <w:p>
      <w:pPr>
        <w:spacing w:after="100" w:before="0" w:line="280"/>
      </w:pPr>
      <w:r>
        <w:rPr>
          <w:rFonts w:ascii="Arial" w:cs="Arial" w:eastAsia="Arial" w:hAnsi="Arial"/>
          <w:sz w:val="22"/>
          <w:szCs w:val="22"/>
        </w:rPr>
        <w:t xml:space="preserve">Three modes determine how COB Flow integrates into the customer's stack. The choice affects contracting, pricing, data flow, and training. The qualification call in Phase 0 surfaces which mode fits the prospect; the SOW in Phase 1 commits to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tcPr>
          <w:p>
            <w:pPr>
              <w:spacing w:after="0" w:before="0" w:line="260"/>
            </w:pPr>
            <w:r>
              <w:rPr>
                <w:rFonts w:ascii="Arial" w:cs="Arial" w:eastAsia="Arial" w:hAnsi="Arial"/>
                <w:b/>
                <w:bCs/>
                <w:color w:val="1d4ed8"/>
                <w:sz w:val="20"/>
                <w:szCs w:val="20"/>
              </w:rPr>
              <w:t xml:space="preserve">Carrier in-house</w:t>
            </w:r>
          </w:p>
        </w:tc>
        <w:tc>
          <w:tcPr>
            <w:tcW w:type="dxa" w:w="312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tcPr>
          <w:p>
            <w:pPr>
              <w:spacing w:after="0" w:before="0" w:line="260"/>
            </w:pPr>
            <w:r>
              <w:rPr>
                <w:rFonts w:ascii="Arial" w:cs="Arial" w:eastAsia="Arial" w:hAnsi="Arial"/>
                <w:b/>
                <w:bCs/>
                <w:color w:val="1d4ed8"/>
                <w:sz w:val="20"/>
                <w:szCs w:val="20"/>
              </w:rPr>
              <w:t xml:space="preserve">Vendor / TPA</w:t>
            </w:r>
          </w:p>
        </w:tc>
        <w:tc>
          <w:tcPr>
            <w:tcW w:type="dxa" w:w="312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tcPr>
          <w:p>
            <w:pPr>
              <w:spacing w:after="0" w:before="0" w:line="260"/>
            </w:pPr>
            <w:r>
              <w:rPr>
                <w:rFonts w:ascii="Arial" w:cs="Arial" w:eastAsia="Arial" w:hAnsi="Arial"/>
                <w:b/>
                <w:bCs/>
                <w:color w:val="1d4ed8"/>
                <w:sz w:val="20"/>
                <w:szCs w:val="20"/>
              </w:rPr>
              <w:t xml:space="preserve">Independent vendor service</w:t>
            </w:r>
          </w:p>
        </w:tc>
      </w:tr>
      <w:tr>
        <w:tc>
          <w:tcPr>
            <w:tcW w:type="dxa" w:w="312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line="260"/>
            </w:pPr>
            <w:r>
              <w:rPr>
                <w:rFonts w:ascii="Arial" w:cs="Arial" w:eastAsia="Arial" w:hAnsi="Arial"/>
                <w:sz w:val="18"/>
                <w:szCs w:val="18"/>
              </w:rPr>
              <w:t xml:space="preserve">Customer is the health plan; COB Flow runs inside their stack with row-level data isolation.</w:t>
            </w:r>
          </w:p>
        </w:tc>
        <w:tc>
          <w:tcPr>
            <w:tcW w:type="dxa" w:w="312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line="260"/>
            </w:pPr>
            <w:r>
              <w:rPr>
                <w:rFonts w:ascii="Arial" w:cs="Arial" w:eastAsia="Arial" w:hAnsi="Arial"/>
                <w:sz w:val="18"/>
                <w:szCs w:val="18"/>
              </w:rPr>
              <w:t xml:space="preserve">Customer is a TPA serving multiple plans; COB Flow supports tenant-of-tenants with per-plan rule sets.</w:t>
            </w:r>
          </w:p>
        </w:tc>
        <w:tc>
          <w:tcPr>
            <w:tcW w:type="dxa" w:w="312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line="260"/>
            </w:pPr>
            <w:r>
              <w:rPr>
                <w:rFonts w:ascii="Arial" w:cs="Arial" w:eastAsia="Arial" w:hAnsi="Arial"/>
                <w:sz w:val="18"/>
                <w:szCs w:val="18"/>
              </w:rPr>
              <w:t xml:space="preserve">COB Flow operates as the recovery vendor on behalf of a plan; we run the workflow, plan receives the recovery.</w:t>
            </w:r>
          </w:p>
        </w:tc>
      </w:tr>
      <w:tr>
        <w:tc>
          <w:tcPr>
            <w:tcW w:type="dxa" w:w="312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line="260"/>
            </w:pPr>
            <w:r>
              <w:rPr>
                <w:rFonts w:ascii="Arial" w:cs="Arial" w:eastAsia="Arial" w:hAnsi="Arial"/>
                <w:color w:val="475569"/>
                <w:sz w:val="18"/>
                <w:szCs w:val="18"/>
              </w:rPr>
              <w:t xml:space="preserve">Pricing: SaaS subscription + per-claim or per-recovery fee.</w:t>
            </w:r>
          </w:p>
        </w:tc>
        <w:tc>
          <w:tcPr>
            <w:tcW w:type="dxa" w:w="312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line="260"/>
            </w:pPr>
            <w:r>
              <w:rPr>
                <w:rFonts w:ascii="Arial" w:cs="Arial" w:eastAsia="Arial" w:hAnsi="Arial"/>
                <w:color w:val="475569"/>
                <w:sz w:val="18"/>
                <w:szCs w:val="18"/>
              </w:rPr>
              <w:t xml:space="preserve">Pricing: SaaS subscription with TPA seat licensing + volume tier.</w:t>
            </w:r>
          </w:p>
        </w:tc>
        <w:tc>
          <w:tcPr>
            <w:tcW w:type="dxa" w:w="312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line="260"/>
            </w:pPr>
            <w:r>
              <w:rPr>
                <w:rFonts w:ascii="Arial" w:cs="Arial" w:eastAsia="Arial" w:hAnsi="Arial"/>
                <w:color w:val="475569"/>
                <w:sz w:val="18"/>
                <w:szCs w:val="18"/>
              </w:rPr>
              <w:t xml:space="preserve">Pricing: contingency (% of net recovery) or hybrid (low monthly + lower contingency).</w:t>
            </w:r>
          </w:p>
        </w:tc>
      </w:tr>
    </w:tbl>
    <w:p>
      <w:pPr>
        <w:pStyle w:val="Heading1"/>
        <w:spacing w:after="140" w:before="280"/>
      </w:pPr>
      <w:r>
        <w:rPr>
          <w:rFonts w:ascii="Arial" w:cs="Arial" w:eastAsia="Arial" w:hAnsi="Arial"/>
          <w:b/>
          <w:bCs/>
          <w:color w:val="1d4ed8"/>
          <w:sz w:val="32"/>
          <w:szCs w:val="32"/>
        </w:rPr>
        <w:t xml:space="preserve">3. Part I · Internal playbook</w:t>
      </w:r>
    </w:p>
    <w:p>
      <w:pPr>
        <w:spacing w:after="100" w:before="0" w:line="280"/>
      </w:pPr>
      <w:r>
        <w:rPr>
          <w:rFonts w:ascii="Arial" w:cs="Arial" w:eastAsia="Arial" w:hAnsi="Arial"/>
          <w:sz w:val="22"/>
          <w:szCs w:val="22"/>
        </w:rPr>
        <w:t xml:space="preserve">Six phases run sequentially with decision gates between each. The customer participates throughout; ownership and intensity shift across phases. Calendar duration is a planning estimate — large customers with formal procurement may take longer in Phases 0 and 1; pilot tenants moving in good faith can compress the whole arc to ten to twelve weeks.</w:t>
      </w:r>
    </w:p>
    <w:p>
      <w:pPr>
        <w:pStyle w:val="Heading2"/>
        <w:spacing w:after="100" w:before="200"/>
      </w:pPr>
      <w:r>
        <w:rPr>
          <w:rFonts w:ascii="Arial" w:cs="Arial" w:eastAsia="Arial" w:hAnsi="Arial"/>
          <w:b/>
          <w:bCs/>
          <w:color w:val="1d4ed8"/>
          <w:sz w:val="26"/>
          <w:szCs w:val="26"/>
        </w:rPr>
        <w:t xml:space="preserve">Phase 0 · Pre-contract qualification &amp; scoping</w:t>
      </w:r>
    </w:p>
    <w:p>
      <w:pPr>
        <w:spacing w:after="100" w:line="280"/>
      </w:pPr>
      <w:r>
        <w:rPr>
          <w:rFonts w:ascii="Arial" w:cs="Arial" w:eastAsia="Arial" w:hAnsi="Arial"/>
          <w:b/>
          <w:bCs/>
          <w:sz w:val="22"/>
          <w:szCs w:val="22"/>
        </w:rPr>
        <w:t xml:space="preserve">Goal: </w:t>
      </w:r>
      <w:r>
        <w:rPr>
          <w:rFonts w:ascii="Arial" w:cs="Arial" w:eastAsia="Arial" w:hAnsi="Arial"/>
          <w:sz w:val="22"/>
          <w:szCs w:val="22"/>
        </w:rPr>
        <w:t xml:space="preserve">Validate fit, qualify on security and compliance, scope the pilot, and produce an ROI estimate.  </w:t>
      </w:r>
      <w:r>
        <w:rPr>
          <w:rFonts w:ascii="Arial" w:cs="Arial" w:eastAsia="Arial" w:hAnsi="Arial"/>
          <w:b/>
          <w:bCs/>
          <w:sz w:val="22"/>
          <w:szCs w:val="22"/>
        </w:rPr>
        <w:t xml:space="preserve">Duration: </w:t>
      </w:r>
      <w:r>
        <w:rPr>
          <w:rFonts w:ascii="Arial" w:cs="Arial" w:eastAsia="Arial" w:hAnsi="Arial"/>
          <w:sz w:val="22"/>
          <w:szCs w:val="22"/>
        </w:rPr>
        <w:t xml:space="preserve">2–6 weeks  </w:t>
      </w:r>
      <w:r>
        <w:rPr>
          <w:rFonts w:ascii="Arial" w:cs="Arial" w:eastAsia="Arial" w:hAnsi="Arial"/>
          <w:b/>
          <w:bCs/>
          <w:sz w:val="22"/>
          <w:szCs w:val="22"/>
        </w:rPr>
        <w:t xml:space="preserve">Owner: </w:t>
      </w:r>
      <w:r>
        <w:rPr>
          <w:rFonts w:ascii="Arial" w:cs="Arial" w:eastAsia="Arial" w:hAnsi="Arial"/>
          <w:sz w:val="22"/>
          <w:szCs w:val="22"/>
        </w:rPr>
        <w:t xml:space="preserve">COB Flow sales lead, with technical and security support</w:t>
      </w:r>
    </w:p>
    <w:p>
      <w:pPr>
        <w:spacing w:after="60" w:before="0" w:line="280"/>
      </w:pPr>
      <w:r>
        <w:rPr>
          <w:rFonts w:ascii="Arial" w:cs="Arial" w:eastAsia="Arial" w:hAnsi="Arial"/>
          <w:b/>
          <w:bCs/>
          <w:color w:val="475569"/>
          <w:sz w:val="22"/>
          <w:szCs w:val="22"/>
        </w:rPr>
        <w:t xml:space="preserve">Activities</w:t>
      </w:r>
    </w:p>
    <w:p>
      <w:pPr>
        <w:pStyle w:val="ListParagraph"/>
        <w:numPr>
          <w:ilvl w:val="0"/>
          <w:numId w:val="2"/>
        </w:numPr>
        <w:spacing w:after="60" w:before="0" w:line="280"/>
      </w:pPr>
      <w:r>
        <w:rPr>
          <w:rFonts w:ascii="Arial" w:cs="Arial" w:eastAsia="Arial" w:hAnsi="Arial"/>
          <w:sz w:val="22"/>
          <w:szCs w:val="22"/>
        </w:rPr>
        <w:t xml:space="preserve">Discovery interview using the SPD Review Template. Capture plan posture, recovery legal handling model, current tooling, and pain points.</w:t>
      </w:r>
    </w:p>
    <w:p>
      <w:pPr>
        <w:pStyle w:val="ListParagraph"/>
        <w:numPr>
          <w:ilvl w:val="0"/>
          <w:numId w:val="2"/>
        </w:numPr>
        <w:spacing w:after="60" w:before="0" w:line="280"/>
      </w:pPr>
      <w:r>
        <w:rPr>
          <w:rFonts w:ascii="Arial" w:cs="Arial" w:eastAsia="Arial" w:hAnsi="Arial"/>
          <w:sz w:val="22"/>
          <w:szCs w:val="22"/>
        </w:rPr>
        <w:t xml:space="preserve">Sample-data review on a de-identified claim set the prospect provides. Validate that claim records contain the fields COB Flow needs to do its work.</w:t>
      </w:r>
    </w:p>
    <w:p>
      <w:pPr>
        <w:pStyle w:val="ListParagraph"/>
        <w:numPr>
          <w:ilvl w:val="0"/>
          <w:numId w:val="2"/>
        </w:numPr>
        <w:spacing w:after="60" w:before="0" w:line="280"/>
      </w:pPr>
      <w:r>
        <w:rPr>
          <w:rFonts w:ascii="Arial" w:cs="Arial" w:eastAsia="Arial" w:hAnsi="Arial"/>
          <w:sz w:val="22"/>
          <w:szCs w:val="22"/>
        </w:rPr>
        <w:t xml:space="preserve">Security &amp; compliance pre-qualification: BAA eligibility, data residency requirements, SOC 2 expectations, audit-log retention requirements.</w:t>
      </w:r>
    </w:p>
    <w:p>
      <w:pPr>
        <w:pStyle w:val="ListParagraph"/>
        <w:numPr>
          <w:ilvl w:val="0"/>
          <w:numId w:val="2"/>
        </w:numPr>
        <w:spacing w:after="60" w:before="0" w:line="280"/>
      </w:pPr>
      <w:r>
        <w:rPr>
          <w:rFonts w:ascii="Arial" w:cs="Arial" w:eastAsia="Arial" w:hAnsi="Arial"/>
          <w:sz w:val="22"/>
          <w:szCs w:val="22"/>
        </w:rPr>
        <w:t xml:space="preserve">ROI estimate using the prospect's baseline recovery rate (if known) versus a projected rate based on COB Flow's engine coverage and the prospect's claim mix.</w:t>
      </w:r>
    </w:p>
    <w:p>
      <w:pPr>
        <w:pStyle w:val="ListParagraph"/>
        <w:numPr>
          <w:ilvl w:val="0"/>
          <w:numId w:val="2"/>
        </w:numPr>
        <w:spacing w:after="60" w:before="0" w:line="280"/>
      </w:pPr>
      <w:r>
        <w:rPr>
          <w:rFonts w:ascii="Arial" w:cs="Arial" w:eastAsia="Arial" w:hAnsi="Arial"/>
          <w:sz w:val="22"/>
          <w:szCs w:val="22"/>
        </w:rPr>
        <w:t xml:space="preserve">Pilot scope proposal: volume, duration, success metrics, deployment mode, pricing model.</w:t>
      </w:r>
    </w:p>
    <w:p>
      <w:pPr>
        <w:spacing w:after="60" w:before="80" w:line="280"/>
      </w:pPr>
      <w:r>
        <w:rPr>
          <w:rFonts w:ascii="Arial" w:cs="Arial" w:eastAsia="Arial" w:hAnsi="Arial"/>
          <w:b/>
          <w:bCs/>
          <w:color w:val="475569"/>
          <w:sz w:val="22"/>
          <w:szCs w:val="22"/>
        </w:rPr>
        <w:t xml:space="preserve">Deliverables</w:t>
      </w:r>
    </w:p>
    <w:p>
      <w:pPr>
        <w:pStyle w:val="ListParagraph"/>
        <w:numPr>
          <w:ilvl w:val="0"/>
          <w:numId w:val="2"/>
        </w:numPr>
        <w:spacing w:after="60" w:before="0" w:line="280"/>
      </w:pPr>
      <w:r>
        <w:rPr>
          <w:rFonts w:ascii="Arial" w:cs="Arial" w:eastAsia="Arial" w:hAnsi="Arial"/>
          <w:sz w:val="22"/>
          <w:szCs w:val="22"/>
        </w:rPr>
        <w:t xml:space="preserve">Completed SPD Review Template</w:t>
      </w:r>
    </w:p>
    <w:p>
      <w:pPr>
        <w:pStyle w:val="ListParagraph"/>
        <w:numPr>
          <w:ilvl w:val="0"/>
          <w:numId w:val="2"/>
        </w:numPr>
        <w:spacing w:after="60" w:before="0" w:line="280"/>
      </w:pPr>
      <w:r>
        <w:rPr>
          <w:rFonts w:ascii="Arial" w:cs="Arial" w:eastAsia="Arial" w:hAnsi="Arial"/>
          <w:sz w:val="22"/>
          <w:szCs w:val="22"/>
        </w:rPr>
        <w:t xml:space="preserve">Discovery memo (one page)</w:t>
      </w:r>
    </w:p>
    <w:p>
      <w:pPr>
        <w:pStyle w:val="ListParagraph"/>
        <w:numPr>
          <w:ilvl w:val="0"/>
          <w:numId w:val="2"/>
        </w:numPr>
        <w:spacing w:after="60" w:before="0" w:line="280"/>
      </w:pPr>
      <w:r>
        <w:rPr>
          <w:rFonts w:ascii="Arial" w:cs="Arial" w:eastAsia="Arial" w:hAnsi="Arial"/>
          <w:sz w:val="22"/>
          <w:szCs w:val="22"/>
        </w:rPr>
        <w:t xml:space="preserve">ROI worksheet</w:t>
      </w:r>
    </w:p>
    <w:p>
      <w:pPr>
        <w:pStyle w:val="ListParagraph"/>
        <w:numPr>
          <w:ilvl w:val="0"/>
          <w:numId w:val="2"/>
        </w:numPr>
        <w:spacing w:after="60" w:before="0" w:line="280"/>
      </w:pPr>
      <w:r>
        <w:rPr>
          <w:rFonts w:ascii="Arial" w:cs="Arial" w:eastAsia="Arial" w:hAnsi="Arial"/>
          <w:sz w:val="22"/>
          <w:szCs w:val="22"/>
        </w:rPr>
        <w:t xml:space="preserve">Draft SOW</w:t>
      </w:r>
    </w:p>
    <w:p>
      <w:pPr>
        <w:spacing w:after="100" w:before="80" w:line="280"/>
      </w:pPr>
      <w:r>
        <w:rPr>
          <w:rFonts w:ascii="Arial" w:cs="Arial" w:eastAsia="Arial" w:hAnsi="Arial"/>
          <w:b/>
          <w:bCs/>
          <w:color w:val="047857"/>
          <w:sz w:val="22"/>
          <w:szCs w:val="22"/>
        </w:rPr>
        <w:t xml:space="preserve">Decision gate: </w:t>
      </w:r>
      <w:r>
        <w:rPr>
          <w:rFonts w:ascii="Arial" w:cs="Arial" w:eastAsia="Arial" w:hAnsi="Arial"/>
          <w:sz w:val="22"/>
          <w:szCs w:val="22"/>
        </w:rPr>
        <w:t xml:space="preserve">Both sides approve pilot scope; security/compliance posture is acceptable; pricing model is agreed in principle.</w:t>
      </w:r>
    </w:p>
    <w:p>
      <w:pPr>
        <w:pStyle w:val="Heading2"/>
        <w:spacing w:after="100" w:before="200"/>
      </w:pPr>
      <w:r>
        <w:rPr>
          <w:rFonts w:ascii="Arial" w:cs="Arial" w:eastAsia="Arial" w:hAnsi="Arial"/>
          <w:b/>
          <w:bCs/>
          <w:color w:val="1d4ed8"/>
          <w:sz w:val="26"/>
          <w:szCs w:val="26"/>
        </w:rPr>
        <w:t xml:space="preserve">Phase 1 · Contracting</w:t>
      </w:r>
    </w:p>
    <w:p>
      <w:pPr>
        <w:spacing w:after="100" w:line="280"/>
      </w:pPr>
      <w:r>
        <w:rPr>
          <w:rFonts w:ascii="Arial" w:cs="Arial" w:eastAsia="Arial" w:hAnsi="Arial"/>
          <w:b/>
          <w:bCs/>
          <w:sz w:val="22"/>
          <w:szCs w:val="22"/>
        </w:rPr>
        <w:t xml:space="preserve">Goal: </w:t>
      </w:r>
      <w:r>
        <w:rPr>
          <w:rFonts w:ascii="Arial" w:cs="Arial" w:eastAsia="Arial" w:hAnsi="Arial"/>
          <w:sz w:val="22"/>
          <w:szCs w:val="22"/>
        </w:rPr>
        <w:t xml:space="preserve">Execute all agreements needed to begin technical work.  </w:t>
      </w:r>
      <w:r>
        <w:rPr>
          <w:rFonts w:ascii="Arial" w:cs="Arial" w:eastAsia="Arial" w:hAnsi="Arial"/>
          <w:b/>
          <w:bCs/>
          <w:sz w:val="22"/>
          <w:szCs w:val="22"/>
        </w:rPr>
        <w:t xml:space="preserve">Duration: </w:t>
      </w:r>
      <w:r>
        <w:rPr>
          <w:rFonts w:ascii="Arial" w:cs="Arial" w:eastAsia="Arial" w:hAnsi="Arial"/>
          <w:sz w:val="22"/>
          <w:szCs w:val="22"/>
        </w:rPr>
        <w:t xml:space="preserve">4–12 weeks (procurement-dependent)  </w:t>
      </w:r>
      <w:r>
        <w:rPr>
          <w:rFonts w:ascii="Arial" w:cs="Arial" w:eastAsia="Arial" w:hAnsi="Arial"/>
          <w:b/>
          <w:bCs/>
          <w:sz w:val="22"/>
          <w:szCs w:val="22"/>
        </w:rPr>
        <w:t xml:space="preserve">Owner: </w:t>
      </w:r>
      <w:r>
        <w:rPr>
          <w:rFonts w:ascii="Arial" w:cs="Arial" w:eastAsia="Arial" w:hAnsi="Arial"/>
          <w:sz w:val="22"/>
          <w:szCs w:val="22"/>
        </w:rPr>
        <w:t xml:space="preserve">Legal counsel both sides; sales lead drives</w:t>
      </w:r>
    </w:p>
    <w:p>
      <w:pPr>
        <w:spacing w:after="60" w:before="0" w:line="280"/>
      </w:pPr>
      <w:r>
        <w:rPr>
          <w:rFonts w:ascii="Arial" w:cs="Arial" w:eastAsia="Arial" w:hAnsi="Arial"/>
          <w:b/>
          <w:bCs/>
          <w:color w:val="475569"/>
          <w:sz w:val="22"/>
          <w:szCs w:val="22"/>
        </w:rPr>
        <w:t xml:space="preserve">Activities</w:t>
      </w:r>
    </w:p>
    <w:p>
      <w:pPr>
        <w:pStyle w:val="ListParagraph"/>
        <w:numPr>
          <w:ilvl w:val="0"/>
          <w:numId w:val="2"/>
        </w:numPr>
        <w:spacing w:after="60" w:before="0" w:line="280"/>
      </w:pPr>
      <w:r>
        <w:rPr>
          <w:rFonts w:ascii="Arial" w:cs="Arial" w:eastAsia="Arial" w:hAnsi="Arial"/>
          <w:sz w:val="22"/>
          <w:szCs w:val="22"/>
        </w:rPr>
        <w:t xml:space="preserve">BAA (HIPAA business associate agreement) execution.</w:t>
      </w:r>
    </w:p>
    <w:p>
      <w:pPr>
        <w:pStyle w:val="ListParagraph"/>
        <w:numPr>
          <w:ilvl w:val="0"/>
          <w:numId w:val="2"/>
        </w:numPr>
        <w:spacing w:after="60" w:before="0" w:line="280"/>
      </w:pPr>
      <w:r>
        <w:rPr>
          <w:rFonts w:ascii="Arial" w:cs="Arial" w:eastAsia="Arial" w:hAnsi="Arial"/>
          <w:sz w:val="22"/>
          <w:szCs w:val="22"/>
        </w:rPr>
        <w:t xml:space="preserve">MSA (master services agreement) execution.</w:t>
      </w:r>
    </w:p>
    <w:p>
      <w:pPr>
        <w:pStyle w:val="ListParagraph"/>
        <w:numPr>
          <w:ilvl w:val="0"/>
          <w:numId w:val="2"/>
        </w:numPr>
        <w:spacing w:after="60" w:before="0" w:line="280"/>
      </w:pPr>
      <w:r>
        <w:rPr>
          <w:rFonts w:ascii="Arial" w:cs="Arial" w:eastAsia="Arial" w:hAnsi="Arial"/>
          <w:sz w:val="22"/>
          <w:szCs w:val="22"/>
        </w:rPr>
        <w:t xml:space="preserve">SOW finalization with the pilot scope, milestones, fees, and success criteria captured in Phase 0.</w:t>
      </w:r>
    </w:p>
    <w:p>
      <w:pPr>
        <w:pStyle w:val="ListParagraph"/>
        <w:numPr>
          <w:ilvl w:val="0"/>
          <w:numId w:val="2"/>
        </w:numPr>
        <w:spacing w:after="60" w:before="0" w:line="280"/>
      </w:pPr>
      <w:r>
        <w:rPr>
          <w:rFonts w:ascii="Arial" w:cs="Arial" w:eastAsia="Arial" w:hAnsi="Arial"/>
          <w:sz w:val="22"/>
          <w:szCs w:val="22"/>
        </w:rPr>
        <w:t xml:space="preserve">Data sharing agreement specifying categories of PHI flowing, retention windows, deletion procedures, and audit rights.</w:t>
      </w:r>
    </w:p>
    <w:p>
      <w:pPr>
        <w:pStyle w:val="ListParagraph"/>
        <w:numPr>
          <w:ilvl w:val="0"/>
          <w:numId w:val="2"/>
        </w:numPr>
        <w:spacing w:after="60" w:before="0" w:line="280"/>
      </w:pPr>
      <w:r>
        <w:rPr>
          <w:rFonts w:ascii="Arial" w:cs="Arial" w:eastAsia="Arial" w:hAnsi="Arial"/>
          <w:sz w:val="22"/>
          <w:szCs w:val="22"/>
        </w:rPr>
        <w:t xml:space="preserve">Insurance certificates exchanged (E&amp;O, cyber liability).</w:t>
      </w:r>
    </w:p>
    <w:p>
      <w:pPr>
        <w:spacing w:after="60" w:before="80" w:line="280"/>
      </w:pPr>
      <w:r>
        <w:rPr>
          <w:rFonts w:ascii="Arial" w:cs="Arial" w:eastAsia="Arial" w:hAnsi="Arial"/>
          <w:b/>
          <w:bCs/>
          <w:color w:val="475569"/>
          <w:sz w:val="22"/>
          <w:szCs w:val="22"/>
        </w:rPr>
        <w:t xml:space="preserve">Deliverables</w:t>
      </w:r>
    </w:p>
    <w:p>
      <w:pPr>
        <w:pStyle w:val="ListParagraph"/>
        <w:numPr>
          <w:ilvl w:val="0"/>
          <w:numId w:val="2"/>
        </w:numPr>
        <w:spacing w:after="60" w:before="0" w:line="280"/>
      </w:pPr>
      <w:r>
        <w:rPr>
          <w:rFonts w:ascii="Arial" w:cs="Arial" w:eastAsia="Arial" w:hAnsi="Arial"/>
          <w:sz w:val="22"/>
          <w:szCs w:val="22"/>
        </w:rPr>
        <w:t xml:space="preserve">Fully-executed BAA, MSA, SOW, data sharing agreement</w:t>
      </w:r>
    </w:p>
    <w:p>
      <w:pPr>
        <w:pStyle w:val="ListParagraph"/>
        <w:numPr>
          <w:ilvl w:val="0"/>
          <w:numId w:val="2"/>
        </w:numPr>
        <w:spacing w:after="60" w:before="0" w:line="280"/>
      </w:pPr>
      <w:r>
        <w:rPr>
          <w:rFonts w:ascii="Arial" w:cs="Arial" w:eastAsia="Arial" w:hAnsi="Arial"/>
          <w:sz w:val="22"/>
          <w:szCs w:val="22"/>
        </w:rPr>
        <w:t xml:space="preserve">Kickoff scheduled within 1–2 weeks of signature</w:t>
      </w:r>
    </w:p>
    <w:p>
      <w:pPr>
        <w:spacing w:after="100" w:before="80" w:line="280"/>
      </w:pPr>
      <w:r>
        <w:rPr>
          <w:rFonts w:ascii="Arial" w:cs="Arial" w:eastAsia="Arial" w:hAnsi="Arial"/>
          <w:b/>
          <w:bCs/>
          <w:color w:val="047857"/>
          <w:sz w:val="22"/>
          <w:szCs w:val="22"/>
        </w:rPr>
        <w:t xml:space="preserve">Decision gate: </w:t>
      </w:r>
      <w:r>
        <w:rPr>
          <w:rFonts w:ascii="Arial" w:cs="Arial" w:eastAsia="Arial" w:hAnsi="Arial"/>
          <w:sz w:val="22"/>
          <w:szCs w:val="22"/>
        </w:rPr>
        <w:t xml:space="preserve">All agreements signed; kickoff date confirmed; technical points of contact named on both sides.</w:t>
      </w:r>
    </w:p>
    <w:p>
      <w:pPr>
        <w:pStyle w:val="Heading2"/>
        <w:spacing w:after="100" w:before="200"/>
      </w:pPr>
      <w:r>
        <w:rPr>
          <w:rFonts w:ascii="Arial" w:cs="Arial" w:eastAsia="Arial" w:hAnsi="Arial"/>
          <w:b/>
          <w:bCs/>
          <w:color w:val="1d4ed8"/>
          <w:sz w:val="26"/>
          <w:szCs w:val="26"/>
        </w:rPr>
        <w:t xml:space="preserve">Phase 2 · Technical setup</w:t>
      </w:r>
    </w:p>
    <w:p>
      <w:pPr>
        <w:spacing w:after="100" w:line="280"/>
      </w:pPr>
      <w:r>
        <w:rPr>
          <w:rFonts w:ascii="Arial" w:cs="Arial" w:eastAsia="Arial" w:hAnsi="Arial"/>
          <w:b/>
          <w:bCs/>
          <w:sz w:val="22"/>
          <w:szCs w:val="22"/>
        </w:rPr>
        <w:t xml:space="preserve">Goal: </w:t>
      </w:r>
      <w:r>
        <w:rPr>
          <w:rFonts w:ascii="Arial" w:cs="Arial" w:eastAsia="Arial" w:hAnsi="Arial"/>
          <w:sz w:val="22"/>
          <w:szCs w:val="22"/>
        </w:rPr>
        <w:t xml:space="preserve">Provision the tenant, configure customer mode, establish secure data pathways.  </w:t>
      </w:r>
      <w:r>
        <w:rPr>
          <w:rFonts w:ascii="Arial" w:cs="Arial" w:eastAsia="Arial" w:hAnsi="Arial"/>
          <w:b/>
          <w:bCs/>
          <w:sz w:val="22"/>
          <w:szCs w:val="22"/>
        </w:rPr>
        <w:t xml:space="preserve">Duration: </w:t>
      </w:r>
      <w:r>
        <w:rPr>
          <w:rFonts w:ascii="Arial" w:cs="Arial" w:eastAsia="Arial" w:hAnsi="Arial"/>
          <w:sz w:val="22"/>
          <w:szCs w:val="22"/>
        </w:rPr>
        <w:t xml:space="preserve">2–4 weeks  </w:t>
      </w:r>
      <w:r>
        <w:rPr>
          <w:rFonts w:ascii="Arial" w:cs="Arial" w:eastAsia="Arial" w:hAnsi="Arial"/>
          <w:b/>
          <w:bCs/>
          <w:sz w:val="22"/>
          <w:szCs w:val="22"/>
        </w:rPr>
        <w:t xml:space="preserve">Owner: </w:t>
      </w:r>
      <w:r>
        <w:rPr>
          <w:rFonts w:ascii="Arial" w:cs="Arial" w:eastAsia="Arial" w:hAnsi="Arial"/>
          <w:sz w:val="22"/>
          <w:szCs w:val="22"/>
        </w:rPr>
        <w:t xml:space="preserve">COB Flow technical lead + customer IT/InfoSec</w:t>
      </w:r>
    </w:p>
    <w:p>
      <w:pPr>
        <w:spacing w:after="60" w:before="0" w:line="280"/>
      </w:pPr>
      <w:r>
        <w:rPr>
          <w:rFonts w:ascii="Arial" w:cs="Arial" w:eastAsia="Arial" w:hAnsi="Arial"/>
          <w:b/>
          <w:bCs/>
          <w:color w:val="475569"/>
          <w:sz w:val="22"/>
          <w:szCs w:val="22"/>
        </w:rPr>
        <w:t xml:space="preserve">Activities</w:t>
      </w:r>
    </w:p>
    <w:p>
      <w:pPr>
        <w:pStyle w:val="ListParagraph"/>
        <w:numPr>
          <w:ilvl w:val="0"/>
          <w:numId w:val="2"/>
        </w:numPr>
        <w:spacing w:after="60" w:before="0" w:line="280"/>
      </w:pPr>
      <w:r>
        <w:rPr>
          <w:rFonts w:ascii="Arial" w:cs="Arial" w:eastAsia="Arial" w:hAnsi="Arial"/>
          <w:sz w:val="22"/>
          <w:szCs w:val="22"/>
        </w:rPr>
        <w:t xml:space="preserve">Tenant provisioning with row-level data isolation per customer mode.</w:t>
      </w:r>
    </w:p>
    <w:p>
      <w:pPr>
        <w:pStyle w:val="ListParagraph"/>
        <w:numPr>
          <w:ilvl w:val="0"/>
          <w:numId w:val="2"/>
        </w:numPr>
        <w:spacing w:after="60" w:before="0" w:line="280"/>
      </w:pPr>
      <w:r>
        <w:rPr>
          <w:rFonts w:ascii="Arial" w:cs="Arial" w:eastAsia="Arial" w:hAnsi="Arial"/>
          <w:sz w:val="22"/>
          <w:szCs w:val="22"/>
        </w:rPr>
        <w:t xml:space="preserve">Customer-mode configuration: carrier in-house, vendor/TPA (tenant-of-tenants), or independent vendor service.</w:t>
      </w:r>
    </w:p>
    <w:p>
      <w:pPr>
        <w:pStyle w:val="ListParagraph"/>
        <w:numPr>
          <w:ilvl w:val="0"/>
          <w:numId w:val="2"/>
        </w:numPr>
        <w:spacing w:after="60" w:before="0" w:line="280"/>
      </w:pPr>
      <w:r>
        <w:rPr>
          <w:rFonts w:ascii="Arial" w:cs="Arial" w:eastAsia="Arial" w:hAnsi="Arial"/>
          <w:sz w:val="22"/>
          <w:szCs w:val="22"/>
        </w:rPr>
        <w:t xml:space="preserve">SSO integration via SAML or OIDC against the customer's identity provider.</w:t>
      </w:r>
    </w:p>
    <w:p>
      <w:pPr>
        <w:pStyle w:val="ListParagraph"/>
        <w:numPr>
          <w:ilvl w:val="0"/>
          <w:numId w:val="2"/>
        </w:numPr>
        <w:spacing w:after="60" w:before="0" w:line="280"/>
      </w:pPr>
      <w:r>
        <w:rPr>
          <w:rFonts w:ascii="Arial" w:cs="Arial" w:eastAsia="Arial" w:hAnsi="Arial"/>
          <w:sz w:val="22"/>
          <w:szCs w:val="22"/>
        </w:rPr>
        <w:t xml:space="preserve">User provisioning and role assignment: analyst, supervisor, admin, auditor. Per-analyst authority limits configured per Spec §11.2.6 architectural guardrails.</w:t>
      </w:r>
    </w:p>
    <w:p>
      <w:pPr>
        <w:pStyle w:val="ListParagraph"/>
        <w:numPr>
          <w:ilvl w:val="0"/>
          <w:numId w:val="2"/>
        </w:numPr>
        <w:spacing w:after="60" w:before="0" w:line="280"/>
      </w:pPr>
      <w:r>
        <w:rPr>
          <w:rFonts w:ascii="Arial" w:cs="Arial" w:eastAsia="Arial" w:hAnsi="Arial"/>
          <w:sz w:val="22"/>
          <w:szCs w:val="22"/>
        </w:rPr>
        <w:t xml:space="preserve">Integration pathways: claim feed (SFTP, REST API, or ANSI X12 837 ingest), contact data, document repository, audit-log export.</w:t>
      </w:r>
    </w:p>
    <w:p>
      <w:pPr>
        <w:pStyle w:val="ListParagraph"/>
        <w:numPr>
          <w:ilvl w:val="0"/>
          <w:numId w:val="2"/>
        </w:numPr>
        <w:spacing w:after="60" w:before="0" w:line="280"/>
      </w:pPr>
      <w:r>
        <w:rPr>
          <w:rFonts w:ascii="Arial" w:cs="Arial" w:eastAsia="Arial" w:hAnsi="Arial"/>
          <w:sz w:val="22"/>
          <w:szCs w:val="22"/>
        </w:rPr>
        <w:t xml:space="preserve">Audit log retention configured to meet HIPAA minimums and any contractual addenda.</w:t>
      </w:r>
    </w:p>
    <w:p>
      <w:pPr>
        <w:spacing w:after="60" w:before="80" w:line="280"/>
      </w:pPr>
      <w:r>
        <w:rPr>
          <w:rFonts w:ascii="Arial" w:cs="Arial" w:eastAsia="Arial" w:hAnsi="Arial"/>
          <w:b/>
          <w:bCs/>
          <w:color w:val="475569"/>
          <w:sz w:val="22"/>
          <w:szCs w:val="22"/>
        </w:rPr>
        <w:t xml:space="preserve">Deliverables</w:t>
      </w:r>
    </w:p>
    <w:p>
      <w:pPr>
        <w:pStyle w:val="ListParagraph"/>
        <w:numPr>
          <w:ilvl w:val="0"/>
          <w:numId w:val="2"/>
        </w:numPr>
        <w:spacing w:after="60" w:before="0" w:line="280"/>
      </w:pPr>
      <w:r>
        <w:rPr>
          <w:rFonts w:ascii="Arial" w:cs="Arial" w:eastAsia="Arial" w:hAnsi="Arial"/>
          <w:sz w:val="22"/>
          <w:szCs w:val="22"/>
        </w:rPr>
        <w:t xml:space="preserve">Provisioned tenant in staging and production</w:t>
      </w:r>
    </w:p>
    <w:p>
      <w:pPr>
        <w:pStyle w:val="ListParagraph"/>
        <w:numPr>
          <w:ilvl w:val="0"/>
          <w:numId w:val="2"/>
        </w:numPr>
        <w:spacing w:after="60" w:before="0" w:line="280"/>
      </w:pPr>
      <w:r>
        <w:rPr>
          <w:rFonts w:ascii="Arial" w:cs="Arial" w:eastAsia="Arial" w:hAnsi="Arial"/>
          <w:sz w:val="22"/>
          <w:szCs w:val="22"/>
        </w:rPr>
        <w:t xml:space="preserve">User accounts created</w:t>
      </w:r>
    </w:p>
    <w:p>
      <w:pPr>
        <w:pStyle w:val="ListParagraph"/>
        <w:numPr>
          <w:ilvl w:val="0"/>
          <w:numId w:val="2"/>
        </w:numPr>
        <w:spacing w:after="60" w:before="0" w:line="280"/>
      </w:pPr>
      <w:r>
        <w:rPr>
          <w:rFonts w:ascii="Arial" w:cs="Arial" w:eastAsia="Arial" w:hAnsi="Arial"/>
          <w:sz w:val="22"/>
          <w:szCs w:val="22"/>
        </w:rPr>
        <w:t xml:space="preserve">Test integration validated end-to-end</w:t>
      </w:r>
    </w:p>
    <w:p>
      <w:pPr>
        <w:spacing w:after="100" w:before="80" w:line="280"/>
      </w:pPr>
      <w:r>
        <w:rPr>
          <w:rFonts w:ascii="Arial" w:cs="Arial" w:eastAsia="Arial" w:hAnsi="Arial"/>
          <w:b/>
          <w:bCs/>
          <w:color w:val="047857"/>
          <w:sz w:val="22"/>
          <w:szCs w:val="22"/>
        </w:rPr>
        <w:t xml:space="preserve">Decision gate: </w:t>
      </w:r>
      <w:r>
        <w:rPr>
          <w:rFonts w:ascii="Arial" w:cs="Arial" w:eastAsia="Arial" w:hAnsi="Arial"/>
          <w:sz w:val="22"/>
          <w:szCs w:val="22"/>
        </w:rPr>
        <w:t xml:space="preserve">Test transactions flow end-to-end; integrations validated; smoke-test claim moves from intake through correspondence with a synthetic recipient.</w:t>
      </w:r>
    </w:p>
    <w:p>
      <w:pPr>
        <w:pStyle w:val="Heading2"/>
        <w:spacing w:after="100" w:before="200"/>
      </w:pPr>
      <w:r>
        <w:rPr>
          <w:rFonts w:ascii="Arial" w:cs="Arial" w:eastAsia="Arial" w:hAnsi="Arial"/>
          <w:b/>
          <w:bCs/>
          <w:color w:val="1d4ed8"/>
          <w:sz w:val="26"/>
          <w:szCs w:val="26"/>
        </w:rPr>
        <w:t xml:space="preserve">Phase 3 · Data onboarding</w:t>
      </w:r>
    </w:p>
    <w:p>
      <w:pPr>
        <w:spacing w:after="100" w:line="280"/>
      </w:pPr>
      <w:r>
        <w:rPr>
          <w:rFonts w:ascii="Arial" w:cs="Arial" w:eastAsia="Arial" w:hAnsi="Arial"/>
          <w:b/>
          <w:bCs/>
          <w:sz w:val="22"/>
          <w:szCs w:val="22"/>
        </w:rPr>
        <w:t xml:space="preserve">Goal: </w:t>
      </w:r>
      <w:r>
        <w:rPr>
          <w:rFonts w:ascii="Arial" w:cs="Arial" w:eastAsia="Arial" w:hAnsi="Arial"/>
          <w:sz w:val="22"/>
          <w:szCs w:val="22"/>
        </w:rPr>
        <w:t xml:space="preserve">Capture customer-specific COB and subrogation rules; load historical data where useful; activate live feeds.  </w:t>
      </w:r>
      <w:r>
        <w:rPr>
          <w:rFonts w:ascii="Arial" w:cs="Arial" w:eastAsia="Arial" w:hAnsi="Arial"/>
          <w:b/>
          <w:bCs/>
          <w:sz w:val="22"/>
          <w:szCs w:val="22"/>
        </w:rPr>
        <w:t xml:space="preserve">Duration: </w:t>
      </w:r>
      <w:r>
        <w:rPr>
          <w:rFonts w:ascii="Arial" w:cs="Arial" w:eastAsia="Arial" w:hAnsi="Arial"/>
          <w:sz w:val="22"/>
          <w:szCs w:val="22"/>
        </w:rPr>
        <w:t xml:space="preserve">2–4 weeks  </w:t>
      </w:r>
      <w:r>
        <w:rPr>
          <w:rFonts w:ascii="Arial" w:cs="Arial" w:eastAsia="Arial" w:hAnsi="Arial"/>
          <w:b/>
          <w:bCs/>
          <w:sz w:val="22"/>
          <w:szCs w:val="22"/>
        </w:rPr>
        <w:t xml:space="preserve">Owner: </w:t>
      </w:r>
      <w:r>
        <w:rPr>
          <w:rFonts w:ascii="Arial" w:cs="Arial" w:eastAsia="Arial" w:hAnsi="Arial"/>
          <w:sz w:val="22"/>
          <w:szCs w:val="22"/>
        </w:rPr>
        <w:t xml:space="preserve">COB Flow analyst lead + customer subrogation/recovery team</w:t>
      </w:r>
    </w:p>
    <w:p>
      <w:pPr>
        <w:spacing w:after="60" w:before="0" w:line="280"/>
      </w:pPr>
      <w:r>
        <w:rPr>
          <w:rFonts w:ascii="Arial" w:cs="Arial" w:eastAsia="Arial" w:hAnsi="Arial"/>
          <w:b/>
          <w:bCs/>
          <w:color w:val="475569"/>
          <w:sz w:val="22"/>
          <w:szCs w:val="22"/>
        </w:rPr>
        <w:t xml:space="preserve">Activities</w:t>
      </w:r>
    </w:p>
    <w:p>
      <w:pPr>
        <w:pStyle w:val="ListParagraph"/>
        <w:numPr>
          <w:ilvl w:val="0"/>
          <w:numId w:val="2"/>
        </w:numPr>
        <w:spacing w:after="60" w:before="0" w:line="280"/>
      </w:pPr>
      <w:r>
        <w:rPr>
          <w:rFonts w:ascii="Arial" w:cs="Arial" w:eastAsia="Arial" w:hAnsi="Arial"/>
          <w:sz w:val="22"/>
          <w:szCs w:val="22"/>
        </w:rPr>
        <w:t xml:space="preserve">Plan-document rule capture, analyst-led with optional LLM-assist per Spec §6 ("Option B"). For each plan in scope: COB primacy posture, subrogation provisions, made-whole and common-fund treatment, ERISA preemption status.</w:t>
      </w:r>
    </w:p>
    <w:p>
      <w:pPr>
        <w:pStyle w:val="ListParagraph"/>
        <w:numPr>
          <w:ilvl w:val="0"/>
          <w:numId w:val="2"/>
        </w:numPr>
        <w:spacing w:after="60" w:before="0" w:line="280"/>
      </w:pPr>
      <w:r>
        <w:rPr>
          <w:rFonts w:ascii="Arial" w:cs="Arial" w:eastAsia="Arial" w:hAnsi="Arial"/>
          <w:sz w:val="22"/>
          <w:szCs w:val="22"/>
        </w:rPr>
        <w:t xml:space="preserve">State overlay configuration. Wisconsin overlay activates for WI book; cite Wis. Admin. Code § Ins 3.40, §§ 632.32, 631.43, 895.045 in plan-document configuration.</w:t>
      </w:r>
    </w:p>
    <w:p>
      <w:pPr>
        <w:pStyle w:val="ListParagraph"/>
        <w:numPr>
          <w:ilvl w:val="0"/>
          <w:numId w:val="2"/>
        </w:numPr>
        <w:spacing w:after="60" w:before="0" w:line="280"/>
      </w:pPr>
      <w:r>
        <w:rPr>
          <w:rFonts w:ascii="Arial" w:cs="Arial" w:eastAsia="Arial" w:hAnsi="Arial"/>
          <w:sz w:val="22"/>
          <w:szCs w:val="22"/>
        </w:rPr>
        <w:t xml:space="preserve">Historical claim sample load (optional). Useful for engine validation and establishing baseline recovery rates.</w:t>
      </w:r>
    </w:p>
    <w:p>
      <w:pPr>
        <w:pStyle w:val="ListParagraph"/>
        <w:numPr>
          <w:ilvl w:val="0"/>
          <w:numId w:val="2"/>
        </w:numPr>
        <w:spacing w:after="60" w:before="0" w:line="280"/>
      </w:pPr>
      <w:r>
        <w:rPr>
          <w:rFonts w:ascii="Arial" w:cs="Arial" w:eastAsia="Arial" w:hAnsi="Arial"/>
          <w:sz w:val="22"/>
          <w:szCs w:val="22"/>
        </w:rPr>
        <w:t xml:space="preserve">Initial claim feed activation.</w:t>
      </w:r>
    </w:p>
    <w:p>
      <w:pPr>
        <w:pStyle w:val="ListParagraph"/>
        <w:numPr>
          <w:ilvl w:val="0"/>
          <w:numId w:val="2"/>
        </w:numPr>
        <w:spacing w:after="60" w:before="0" w:line="280"/>
      </w:pPr>
      <w:r>
        <w:rPr>
          <w:rFonts w:ascii="Arial" w:cs="Arial" w:eastAsia="Arial" w:hAnsi="Arial"/>
          <w:sz w:val="22"/>
          <w:szCs w:val="22"/>
        </w:rPr>
        <w:t xml:space="preserve">Correspondence template customization: logo, address, signature, plan-specific language. Letter approval workflows configured per the lock/override model.</w:t>
      </w:r>
    </w:p>
    <w:p>
      <w:pPr>
        <w:spacing w:after="60" w:before="80" w:line="280"/>
      </w:pPr>
      <w:r>
        <w:rPr>
          <w:rFonts w:ascii="Arial" w:cs="Arial" w:eastAsia="Arial" w:hAnsi="Arial"/>
          <w:b/>
          <w:bCs/>
          <w:color w:val="475569"/>
          <w:sz w:val="22"/>
          <w:szCs w:val="22"/>
        </w:rPr>
        <w:t xml:space="preserve">Deliverables</w:t>
      </w:r>
    </w:p>
    <w:p>
      <w:pPr>
        <w:pStyle w:val="ListParagraph"/>
        <w:numPr>
          <w:ilvl w:val="0"/>
          <w:numId w:val="2"/>
        </w:numPr>
        <w:spacing w:after="60" w:before="0" w:line="280"/>
      </w:pPr>
      <w:r>
        <w:rPr>
          <w:rFonts w:ascii="Arial" w:cs="Arial" w:eastAsia="Arial" w:hAnsi="Arial"/>
          <w:sz w:val="22"/>
          <w:szCs w:val="22"/>
        </w:rPr>
        <w:t xml:space="preserve">Configured rule set per plan</w:t>
      </w:r>
    </w:p>
    <w:p>
      <w:pPr>
        <w:pStyle w:val="ListParagraph"/>
        <w:numPr>
          <w:ilvl w:val="0"/>
          <w:numId w:val="2"/>
        </w:numPr>
        <w:spacing w:after="60" w:before="0" w:line="280"/>
      </w:pPr>
      <w:r>
        <w:rPr>
          <w:rFonts w:ascii="Arial" w:cs="Arial" w:eastAsia="Arial" w:hAnsi="Arial"/>
          <w:sz w:val="22"/>
          <w:szCs w:val="22"/>
        </w:rPr>
        <w:t xml:space="preserve">Customized correspondence templates</w:t>
      </w:r>
    </w:p>
    <w:p>
      <w:pPr>
        <w:pStyle w:val="ListParagraph"/>
        <w:numPr>
          <w:ilvl w:val="0"/>
          <w:numId w:val="2"/>
        </w:numPr>
        <w:spacing w:after="60" w:before="0" w:line="280"/>
      </w:pPr>
      <w:r>
        <w:rPr>
          <w:rFonts w:ascii="Arial" w:cs="Arial" w:eastAsia="Arial" w:hAnsi="Arial"/>
          <w:sz w:val="22"/>
          <w:szCs w:val="22"/>
        </w:rPr>
        <w:t xml:space="preserve">First batch of claims appearing in triage queue</w:t>
      </w:r>
    </w:p>
    <w:p>
      <w:pPr>
        <w:pStyle w:val="ListParagraph"/>
        <w:numPr>
          <w:ilvl w:val="0"/>
          <w:numId w:val="2"/>
        </w:numPr>
        <w:spacing w:after="60" w:before="0" w:line="280"/>
      </w:pPr>
      <w:r>
        <w:rPr>
          <w:rFonts w:ascii="Arial" w:cs="Arial" w:eastAsia="Arial" w:hAnsi="Arial"/>
          <w:sz w:val="22"/>
          <w:szCs w:val="22"/>
        </w:rPr>
        <w:t xml:space="preserve">Engine recommendation accuracy validated against historical sample (if provided)</w:t>
      </w:r>
    </w:p>
    <w:p>
      <w:pPr>
        <w:spacing w:after="100" w:before="80" w:line="280"/>
      </w:pPr>
      <w:r>
        <w:rPr>
          <w:rFonts w:ascii="Arial" w:cs="Arial" w:eastAsia="Arial" w:hAnsi="Arial"/>
          <w:b/>
          <w:bCs/>
          <w:color w:val="047857"/>
          <w:sz w:val="22"/>
          <w:szCs w:val="22"/>
        </w:rPr>
        <w:t xml:space="preserve">Decision gate: </w:t>
      </w:r>
      <w:r>
        <w:rPr>
          <w:rFonts w:ascii="Arial" w:cs="Arial" w:eastAsia="Arial" w:hAnsi="Arial"/>
          <w:sz w:val="22"/>
          <w:szCs w:val="22"/>
        </w:rPr>
        <w:t xml:space="preserve">Engine recommendations on test set match analyst expectations within agreed tolerance (typically ≥90% agreement on high-confidence determinations).</w:t>
      </w:r>
    </w:p>
    <w:p>
      <w:pPr>
        <w:pStyle w:val="Heading2"/>
        <w:spacing w:after="100" w:before="200"/>
      </w:pPr>
      <w:r>
        <w:rPr>
          <w:rFonts w:ascii="Arial" w:cs="Arial" w:eastAsia="Arial" w:hAnsi="Arial"/>
          <w:b/>
          <w:bCs/>
          <w:color w:val="1d4ed8"/>
          <w:sz w:val="26"/>
          <w:szCs w:val="26"/>
        </w:rPr>
        <w:t xml:space="preserve">Phase 4 · Training</w:t>
      </w:r>
    </w:p>
    <w:p>
      <w:pPr>
        <w:spacing w:after="100" w:line="280"/>
      </w:pPr>
      <w:r>
        <w:rPr>
          <w:rFonts w:ascii="Arial" w:cs="Arial" w:eastAsia="Arial" w:hAnsi="Arial"/>
          <w:b/>
          <w:bCs/>
          <w:sz w:val="22"/>
          <w:szCs w:val="22"/>
        </w:rPr>
        <w:t xml:space="preserve">Goal: </w:t>
      </w:r>
      <w:r>
        <w:rPr>
          <w:rFonts w:ascii="Arial" w:cs="Arial" w:eastAsia="Arial" w:hAnsi="Arial"/>
          <w:sz w:val="22"/>
          <w:szCs w:val="22"/>
        </w:rPr>
        <w:t xml:space="preserve">Train users on the platform and on the decision-support model.  </w:t>
      </w:r>
      <w:r>
        <w:rPr>
          <w:rFonts w:ascii="Arial" w:cs="Arial" w:eastAsia="Arial" w:hAnsi="Arial"/>
          <w:b/>
          <w:bCs/>
          <w:sz w:val="22"/>
          <w:szCs w:val="22"/>
        </w:rPr>
        <w:t xml:space="preserve">Duration: </w:t>
      </w:r>
      <w:r>
        <w:rPr>
          <w:rFonts w:ascii="Arial" w:cs="Arial" w:eastAsia="Arial" w:hAnsi="Arial"/>
          <w:sz w:val="22"/>
          <w:szCs w:val="22"/>
        </w:rPr>
        <w:t xml:space="preserve">1–2 weeks  </w:t>
      </w:r>
      <w:r>
        <w:rPr>
          <w:rFonts w:ascii="Arial" w:cs="Arial" w:eastAsia="Arial" w:hAnsi="Arial"/>
          <w:b/>
          <w:bCs/>
          <w:sz w:val="22"/>
          <w:szCs w:val="22"/>
        </w:rPr>
        <w:t xml:space="preserve">Owner: </w:t>
      </w:r>
      <w:r>
        <w:rPr>
          <w:rFonts w:ascii="Arial" w:cs="Arial" w:eastAsia="Arial" w:hAnsi="Arial"/>
          <w:sz w:val="22"/>
          <w:szCs w:val="22"/>
        </w:rPr>
        <w:t xml:space="preserve">COB Flow training lead + customer team leads</w:t>
      </w:r>
    </w:p>
    <w:p>
      <w:pPr>
        <w:spacing w:after="60" w:before="0" w:line="280"/>
      </w:pPr>
      <w:r>
        <w:rPr>
          <w:rFonts w:ascii="Arial" w:cs="Arial" w:eastAsia="Arial" w:hAnsi="Arial"/>
          <w:b/>
          <w:bCs/>
          <w:color w:val="475569"/>
          <w:sz w:val="22"/>
          <w:szCs w:val="22"/>
        </w:rPr>
        <w:t xml:space="preserve">Activities</w:t>
      </w:r>
    </w:p>
    <w:p>
      <w:pPr>
        <w:pStyle w:val="ListParagraph"/>
        <w:numPr>
          <w:ilvl w:val="0"/>
          <w:numId w:val="2"/>
        </w:numPr>
        <w:spacing w:after="60" w:before="0" w:line="280"/>
      </w:pPr>
      <w:r>
        <w:rPr>
          <w:rFonts w:ascii="Arial" w:cs="Arial" w:eastAsia="Arial" w:hAnsi="Arial"/>
          <w:sz w:val="22"/>
          <w:szCs w:val="22"/>
        </w:rPr>
        <w:t xml:space="preserve">Analyst training (2–4 sessions): prototype walkthrough, decision-support model, sign-off responsibility, audit log discipline, correspondence module, recovery tracking, communications composer with preview workflow.</w:t>
      </w:r>
    </w:p>
    <w:p>
      <w:pPr>
        <w:pStyle w:val="ListParagraph"/>
        <w:numPr>
          <w:ilvl w:val="0"/>
          <w:numId w:val="2"/>
        </w:numPr>
        <w:spacing w:after="60" w:before="0" w:line="280"/>
      </w:pPr>
      <w:r>
        <w:rPr>
          <w:rFonts w:ascii="Arial" w:cs="Arial" w:eastAsia="Arial" w:hAnsi="Arial"/>
          <w:sz w:val="22"/>
          <w:szCs w:val="22"/>
        </w:rPr>
        <w:t xml:space="preserve">Supervisor training (1–2 sessions): override authority and audit log review, exception handling, dashboards (Phase 2 product roadmap), QBR participation expectations.</w:t>
      </w:r>
    </w:p>
    <w:p>
      <w:pPr>
        <w:pStyle w:val="ListParagraph"/>
        <w:numPr>
          <w:ilvl w:val="0"/>
          <w:numId w:val="2"/>
        </w:numPr>
        <w:spacing w:after="60" w:before="0" w:line="280"/>
      </w:pPr>
      <w:r>
        <w:rPr>
          <w:rFonts w:ascii="Arial" w:cs="Arial" w:eastAsia="Arial" w:hAnsi="Arial"/>
          <w:sz w:val="22"/>
          <w:szCs w:val="22"/>
        </w:rPr>
        <w:t xml:space="preserve">Customer-side liaison training: escalation procedures, billing/payment flow, support channels.</w:t>
      </w:r>
    </w:p>
    <w:p>
      <w:pPr>
        <w:pStyle w:val="ListParagraph"/>
        <w:numPr>
          <w:ilvl w:val="0"/>
          <w:numId w:val="2"/>
        </w:numPr>
        <w:spacing w:after="60" w:before="0" w:line="280"/>
      </w:pPr>
      <w:r>
        <w:rPr>
          <w:rFonts w:ascii="Arial" w:cs="Arial" w:eastAsia="Arial" w:hAnsi="Arial"/>
          <w:sz w:val="22"/>
          <w:szCs w:val="22"/>
        </w:rPr>
        <w:t xml:space="preserve">Documentation handoff: quick-reference cards, FAQ, contact procedures, escalation matrix.</w:t>
      </w:r>
    </w:p>
    <w:p>
      <w:pPr>
        <w:spacing w:after="60" w:before="80" w:line="280"/>
      </w:pPr>
      <w:r>
        <w:rPr>
          <w:rFonts w:ascii="Arial" w:cs="Arial" w:eastAsia="Arial" w:hAnsi="Arial"/>
          <w:b/>
          <w:bCs/>
          <w:color w:val="475569"/>
          <w:sz w:val="22"/>
          <w:szCs w:val="22"/>
        </w:rPr>
        <w:t xml:space="preserve">Deliverables</w:t>
      </w:r>
    </w:p>
    <w:p>
      <w:pPr>
        <w:pStyle w:val="ListParagraph"/>
        <w:numPr>
          <w:ilvl w:val="0"/>
          <w:numId w:val="2"/>
        </w:numPr>
        <w:spacing w:after="60" w:before="0" w:line="280"/>
      </w:pPr>
      <w:r>
        <w:rPr>
          <w:rFonts w:ascii="Arial" w:cs="Arial" w:eastAsia="Arial" w:hAnsi="Arial"/>
          <w:sz w:val="22"/>
          <w:szCs w:val="22"/>
        </w:rPr>
        <w:t xml:space="preserve">Trained user roster with attendance log</w:t>
      </w:r>
    </w:p>
    <w:p>
      <w:pPr>
        <w:pStyle w:val="ListParagraph"/>
        <w:numPr>
          <w:ilvl w:val="0"/>
          <w:numId w:val="2"/>
        </w:numPr>
        <w:spacing w:after="60" w:before="0" w:line="280"/>
      </w:pPr>
      <w:r>
        <w:rPr>
          <w:rFonts w:ascii="Arial" w:cs="Arial" w:eastAsia="Arial" w:hAnsi="Arial"/>
          <w:sz w:val="22"/>
          <w:szCs w:val="22"/>
        </w:rPr>
        <w:t xml:space="preserve">Knowledge-check results per role</w:t>
      </w:r>
    </w:p>
    <w:p>
      <w:pPr>
        <w:pStyle w:val="ListParagraph"/>
        <w:numPr>
          <w:ilvl w:val="0"/>
          <w:numId w:val="2"/>
        </w:numPr>
        <w:spacing w:after="60" w:before="0" w:line="280"/>
      </w:pPr>
      <w:r>
        <w:rPr>
          <w:rFonts w:ascii="Arial" w:cs="Arial" w:eastAsia="Arial" w:hAnsi="Arial"/>
          <w:sz w:val="22"/>
          <w:szCs w:val="22"/>
        </w:rPr>
        <w:t xml:space="preserve">Reference materials distributed</w:t>
      </w:r>
    </w:p>
    <w:p>
      <w:pPr>
        <w:spacing w:after="100" w:before="80" w:line="280"/>
      </w:pPr>
      <w:r>
        <w:rPr>
          <w:rFonts w:ascii="Arial" w:cs="Arial" w:eastAsia="Arial" w:hAnsi="Arial"/>
          <w:b/>
          <w:bCs/>
          <w:color w:val="047857"/>
          <w:sz w:val="22"/>
          <w:szCs w:val="22"/>
        </w:rPr>
        <w:t xml:space="preserve">Decision gate: </w:t>
      </w:r>
      <w:r>
        <w:rPr>
          <w:rFonts w:ascii="Arial" w:cs="Arial" w:eastAsia="Arial" w:hAnsi="Arial"/>
          <w:sz w:val="22"/>
          <w:szCs w:val="22"/>
        </w:rPr>
        <w:t xml:space="preserve">All users complete training and pass knowledge checks. Knowledge checks may be conditional sign-off — fail items can be remediated post go-live.</w:t>
      </w:r>
    </w:p>
    <w:p>
      <w:pPr>
        <w:pStyle w:val="Heading2"/>
        <w:spacing w:after="100" w:before="200"/>
      </w:pPr>
      <w:r>
        <w:rPr>
          <w:rFonts w:ascii="Arial" w:cs="Arial" w:eastAsia="Arial" w:hAnsi="Arial"/>
          <w:b/>
          <w:bCs/>
          <w:color w:val="1d4ed8"/>
          <w:sz w:val="26"/>
          <w:szCs w:val="26"/>
        </w:rPr>
        <w:t xml:space="preserve">Phase 5 · Go-live (pilot batch → cutover)</w:t>
      </w:r>
    </w:p>
    <w:p>
      <w:pPr>
        <w:spacing w:after="100" w:line="280"/>
      </w:pPr>
      <w:r>
        <w:rPr>
          <w:rFonts w:ascii="Arial" w:cs="Arial" w:eastAsia="Arial" w:hAnsi="Arial"/>
          <w:b/>
          <w:bCs/>
          <w:sz w:val="22"/>
          <w:szCs w:val="22"/>
        </w:rPr>
        <w:t xml:space="preserve">Goal: </w:t>
      </w:r>
      <w:r>
        <w:rPr>
          <w:rFonts w:ascii="Arial" w:cs="Arial" w:eastAsia="Arial" w:hAnsi="Arial"/>
          <w:sz w:val="22"/>
          <w:szCs w:val="22"/>
        </w:rPr>
        <w:t xml:space="preserve">Move from training environment to production with controlled risk.  </w:t>
      </w:r>
      <w:r>
        <w:rPr>
          <w:rFonts w:ascii="Arial" w:cs="Arial" w:eastAsia="Arial" w:hAnsi="Arial"/>
          <w:b/>
          <w:bCs/>
          <w:sz w:val="22"/>
          <w:szCs w:val="22"/>
        </w:rPr>
        <w:t xml:space="preserve">Duration: </w:t>
      </w:r>
      <w:r>
        <w:rPr>
          <w:rFonts w:ascii="Arial" w:cs="Arial" w:eastAsia="Arial" w:hAnsi="Arial"/>
          <w:sz w:val="22"/>
          <w:szCs w:val="22"/>
        </w:rPr>
        <w:t xml:space="preserve">4–8 weeks  </w:t>
      </w:r>
      <w:r>
        <w:rPr>
          <w:rFonts w:ascii="Arial" w:cs="Arial" w:eastAsia="Arial" w:hAnsi="Arial"/>
          <w:b/>
          <w:bCs/>
          <w:sz w:val="22"/>
          <w:szCs w:val="22"/>
        </w:rPr>
        <w:t xml:space="preserve">Owner: </w:t>
      </w:r>
      <w:r>
        <w:rPr>
          <w:rFonts w:ascii="Arial" w:cs="Arial" w:eastAsia="Arial" w:hAnsi="Arial"/>
          <w:sz w:val="22"/>
          <w:szCs w:val="22"/>
        </w:rPr>
        <w:t xml:space="preserve">COB Flow customer success + customer operations lead</w:t>
      </w:r>
    </w:p>
    <w:p>
      <w:pPr>
        <w:spacing w:after="60" w:before="0" w:line="280"/>
      </w:pPr>
      <w:r>
        <w:rPr>
          <w:rFonts w:ascii="Arial" w:cs="Arial" w:eastAsia="Arial" w:hAnsi="Arial"/>
          <w:b/>
          <w:bCs/>
          <w:color w:val="475569"/>
          <w:sz w:val="22"/>
          <w:szCs w:val="22"/>
        </w:rPr>
        <w:t xml:space="preserve">Activities</w:t>
      </w:r>
    </w:p>
    <w:p>
      <w:pPr>
        <w:pStyle w:val="ListParagraph"/>
        <w:numPr>
          <w:ilvl w:val="0"/>
          <w:numId w:val="2"/>
        </w:numPr>
        <w:spacing w:after="60" w:before="0" w:line="280"/>
      </w:pPr>
      <w:r>
        <w:rPr>
          <w:rFonts w:ascii="Arial" w:cs="Arial" w:eastAsia="Arial" w:hAnsi="Arial"/>
          <w:sz w:val="22"/>
          <w:szCs w:val="22"/>
        </w:rPr>
        <w:t xml:space="preserve">Pilot batch: 10–25 real claims of moderate complexity. Engine recommends, analyst signs, recovery executes through full correspondence cycle.</w:t>
      </w:r>
    </w:p>
    <w:p>
      <w:pPr>
        <w:pStyle w:val="ListParagraph"/>
        <w:numPr>
          <w:ilvl w:val="0"/>
          <w:numId w:val="2"/>
        </w:numPr>
        <w:spacing w:after="60" w:before="0" w:line="280"/>
      </w:pPr>
      <w:r>
        <w:rPr>
          <w:rFonts w:ascii="Arial" w:cs="Arial" w:eastAsia="Arial" w:hAnsi="Arial"/>
          <w:sz w:val="22"/>
          <w:szCs w:val="22"/>
        </w:rPr>
        <w:t xml:space="preserve">Validation period: track engine recommendation accuracy, analyst override rate, cycle time, correspondence quality, audit log completeness.</w:t>
      </w:r>
    </w:p>
    <w:p>
      <w:pPr>
        <w:pStyle w:val="ListParagraph"/>
        <w:numPr>
          <w:ilvl w:val="0"/>
          <w:numId w:val="2"/>
        </w:numPr>
        <w:spacing w:after="60" w:before="0" w:line="280"/>
      </w:pPr>
      <w:r>
        <w:rPr>
          <w:rFonts w:ascii="Arial" w:cs="Arial" w:eastAsia="Arial" w:hAnsi="Arial"/>
          <w:sz w:val="22"/>
          <w:szCs w:val="22"/>
        </w:rPr>
        <w:t xml:space="preserve">Issue resolution: any engine, workflow, or training issues identified during pilot batch.</w:t>
      </w:r>
    </w:p>
    <w:p>
      <w:pPr>
        <w:pStyle w:val="ListParagraph"/>
        <w:numPr>
          <w:ilvl w:val="0"/>
          <w:numId w:val="2"/>
        </w:numPr>
        <w:spacing w:after="60" w:before="0" w:line="280"/>
      </w:pPr>
      <w:r>
        <w:rPr>
          <w:rFonts w:ascii="Arial" w:cs="Arial" w:eastAsia="Arial" w:hAnsi="Arial"/>
          <w:sz w:val="22"/>
          <w:szCs w:val="22"/>
        </w:rPr>
        <w:t xml:space="preserve">Full cutover decision: meet success criteria → expand to full volume; miss → iterate on training, rules, or engine configuration.</w:t>
      </w:r>
    </w:p>
    <w:p>
      <w:pPr>
        <w:pStyle w:val="ListParagraph"/>
        <w:numPr>
          <w:ilvl w:val="0"/>
          <w:numId w:val="2"/>
        </w:numPr>
        <w:spacing w:after="60" w:before="0" w:line="280"/>
      </w:pPr>
      <w:r>
        <w:rPr>
          <w:rFonts w:ascii="Arial" w:cs="Arial" w:eastAsia="Arial" w:hAnsi="Arial"/>
          <w:sz w:val="22"/>
          <w:szCs w:val="22"/>
        </w:rPr>
        <w:t xml:space="preserve">30/60/90-day check-ins with customer success.</w:t>
      </w:r>
    </w:p>
    <w:p>
      <w:pPr>
        <w:spacing w:after="60" w:before="80" w:line="280"/>
      </w:pPr>
      <w:r>
        <w:rPr>
          <w:rFonts w:ascii="Arial" w:cs="Arial" w:eastAsia="Arial" w:hAnsi="Arial"/>
          <w:b/>
          <w:bCs/>
          <w:color w:val="475569"/>
          <w:sz w:val="22"/>
          <w:szCs w:val="22"/>
        </w:rPr>
        <w:t xml:space="preserve">Deliverables</w:t>
      </w:r>
    </w:p>
    <w:p>
      <w:pPr>
        <w:pStyle w:val="ListParagraph"/>
        <w:numPr>
          <w:ilvl w:val="0"/>
          <w:numId w:val="2"/>
        </w:numPr>
        <w:spacing w:after="60" w:before="0" w:line="280"/>
      </w:pPr>
      <w:r>
        <w:rPr>
          <w:rFonts w:ascii="Arial" w:cs="Arial" w:eastAsia="Arial" w:hAnsi="Arial"/>
          <w:sz w:val="22"/>
          <w:szCs w:val="22"/>
        </w:rPr>
        <w:t xml:space="preserve">Pilot results report</w:t>
      </w:r>
    </w:p>
    <w:p>
      <w:pPr>
        <w:pStyle w:val="ListParagraph"/>
        <w:numPr>
          <w:ilvl w:val="0"/>
          <w:numId w:val="2"/>
        </w:numPr>
        <w:spacing w:after="60" w:before="0" w:line="280"/>
      </w:pPr>
      <w:r>
        <w:rPr>
          <w:rFonts w:ascii="Arial" w:cs="Arial" w:eastAsia="Arial" w:hAnsi="Arial"/>
          <w:sz w:val="22"/>
          <w:szCs w:val="22"/>
        </w:rPr>
        <w:t xml:space="preserve">Cutover sign-off from customer</w:t>
      </w:r>
    </w:p>
    <w:p>
      <w:pPr>
        <w:pStyle w:val="ListParagraph"/>
        <w:numPr>
          <w:ilvl w:val="0"/>
          <w:numId w:val="2"/>
        </w:numPr>
        <w:spacing w:after="60" w:before="0" w:line="280"/>
      </w:pPr>
      <w:r>
        <w:rPr>
          <w:rFonts w:ascii="Arial" w:cs="Arial" w:eastAsia="Arial" w:hAnsi="Arial"/>
          <w:sz w:val="22"/>
          <w:szCs w:val="22"/>
        </w:rPr>
        <w:t xml:space="preserve">Updated rule configuration based on pilot learnings</w:t>
      </w:r>
    </w:p>
    <w:p>
      <w:pPr>
        <w:spacing w:after="100" w:before="80" w:line="280"/>
      </w:pPr>
      <w:r>
        <w:rPr>
          <w:rFonts w:ascii="Arial" w:cs="Arial" w:eastAsia="Arial" w:hAnsi="Arial"/>
          <w:b/>
          <w:bCs/>
          <w:color w:val="047857"/>
          <w:sz w:val="22"/>
          <w:szCs w:val="22"/>
        </w:rPr>
        <w:t xml:space="preserve">Decision gate: </w:t>
      </w:r>
      <w:r>
        <w:rPr>
          <w:rFonts w:ascii="Arial" w:cs="Arial" w:eastAsia="Arial" w:hAnsi="Arial"/>
          <w:sz w:val="22"/>
          <w:szCs w:val="22"/>
        </w:rPr>
        <w:t xml:space="preserve">Pilot success criteria met (defined in SOW); customer authorizes full cutover; first 90 days of operational metrics reviewed and accepted.</w:t>
      </w:r>
    </w:p>
    <w:p>
      <w:pPr>
        <w:pStyle w:val="Heading2"/>
        <w:spacing w:after="100" w:before="200"/>
      </w:pPr>
      <w:r>
        <w:rPr>
          <w:rFonts w:ascii="Arial" w:cs="Arial" w:eastAsia="Arial" w:hAnsi="Arial"/>
          <w:b/>
          <w:bCs/>
          <w:color w:val="1d4ed8"/>
          <w:sz w:val="26"/>
          <w:szCs w:val="26"/>
        </w:rPr>
        <w:t xml:space="preserve">Phase 6 · Ongoing operations</w:t>
      </w:r>
    </w:p>
    <w:p>
      <w:pPr>
        <w:spacing w:after="100" w:line="280"/>
      </w:pPr>
      <w:r>
        <w:rPr>
          <w:rFonts w:ascii="Arial" w:cs="Arial" w:eastAsia="Arial" w:hAnsi="Arial"/>
          <w:b/>
          <w:bCs/>
          <w:sz w:val="22"/>
          <w:szCs w:val="22"/>
        </w:rPr>
        <w:t xml:space="preserve">Goal: </w:t>
      </w:r>
      <w:r>
        <w:rPr>
          <w:rFonts w:ascii="Arial" w:cs="Arial" w:eastAsia="Arial" w:hAnsi="Arial"/>
          <w:sz w:val="22"/>
          <w:szCs w:val="22"/>
        </w:rPr>
        <w:t xml:space="preserve">Steady-state operation with continuous improvement.  </w:t>
      </w:r>
      <w:r>
        <w:rPr>
          <w:rFonts w:ascii="Arial" w:cs="Arial" w:eastAsia="Arial" w:hAnsi="Arial"/>
          <w:b/>
          <w:bCs/>
          <w:sz w:val="22"/>
          <w:szCs w:val="22"/>
        </w:rPr>
        <w:t xml:space="preserve">Duration: </w:t>
      </w:r>
      <w:r>
        <w:rPr>
          <w:rFonts w:ascii="Arial" w:cs="Arial" w:eastAsia="Arial" w:hAnsi="Arial"/>
          <w:sz w:val="22"/>
          <w:szCs w:val="22"/>
        </w:rPr>
        <w:t xml:space="preserve">Ongoing (annual renewal cadence)  </w:t>
      </w:r>
      <w:r>
        <w:rPr>
          <w:rFonts w:ascii="Arial" w:cs="Arial" w:eastAsia="Arial" w:hAnsi="Arial"/>
          <w:b/>
          <w:bCs/>
          <w:sz w:val="22"/>
          <w:szCs w:val="22"/>
        </w:rPr>
        <w:t xml:space="preserve">Owner: </w:t>
      </w:r>
      <w:r>
        <w:rPr>
          <w:rFonts w:ascii="Arial" w:cs="Arial" w:eastAsia="Arial" w:hAnsi="Arial"/>
          <w:sz w:val="22"/>
          <w:szCs w:val="22"/>
        </w:rPr>
        <w:t xml:space="preserve">COB Flow customer success lead</w:t>
      </w:r>
    </w:p>
    <w:p>
      <w:pPr>
        <w:spacing w:after="60" w:before="0" w:line="280"/>
      </w:pPr>
      <w:r>
        <w:rPr>
          <w:rFonts w:ascii="Arial" w:cs="Arial" w:eastAsia="Arial" w:hAnsi="Arial"/>
          <w:b/>
          <w:bCs/>
          <w:color w:val="475569"/>
          <w:sz w:val="22"/>
          <w:szCs w:val="22"/>
        </w:rPr>
        <w:t xml:space="preserve">Activities</w:t>
      </w:r>
    </w:p>
    <w:p>
      <w:pPr>
        <w:pStyle w:val="ListParagraph"/>
        <w:numPr>
          <w:ilvl w:val="0"/>
          <w:numId w:val="2"/>
        </w:numPr>
        <w:spacing w:after="60" w:before="0" w:line="280"/>
      </w:pPr>
      <w:r>
        <w:rPr>
          <w:rFonts w:ascii="Arial" w:cs="Arial" w:eastAsia="Arial" w:hAnsi="Arial"/>
          <w:sz w:val="22"/>
          <w:szCs w:val="22"/>
        </w:rPr>
        <w:t xml:space="preserve">Weekly status check-ins for the first 90 days post go-live.</w:t>
      </w:r>
    </w:p>
    <w:p>
      <w:pPr>
        <w:pStyle w:val="ListParagraph"/>
        <w:numPr>
          <w:ilvl w:val="0"/>
          <w:numId w:val="2"/>
        </w:numPr>
        <w:spacing w:after="60" w:before="0" w:line="280"/>
      </w:pPr>
      <w:r>
        <w:rPr>
          <w:rFonts w:ascii="Arial" w:cs="Arial" w:eastAsia="Arial" w:hAnsi="Arial"/>
          <w:sz w:val="22"/>
          <w:szCs w:val="22"/>
        </w:rPr>
        <w:t xml:space="preserve">Monthly metrics review: recovery rate, cycle time, override rate, cost per recovery, false-positive rate.</w:t>
      </w:r>
    </w:p>
    <w:p>
      <w:pPr>
        <w:pStyle w:val="ListParagraph"/>
        <w:numPr>
          <w:ilvl w:val="0"/>
          <w:numId w:val="2"/>
        </w:numPr>
        <w:spacing w:after="60" w:before="0" w:line="280"/>
      </w:pPr>
      <w:r>
        <w:rPr>
          <w:rFonts w:ascii="Arial" w:cs="Arial" w:eastAsia="Arial" w:hAnsi="Arial"/>
          <w:sz w:val="22"/>
          <w:szCs w:val="22"/>
        </w:rPr>
        <w:t xml:space="preserve">Quarterly business review (QBR): metrics deep-dive, customer feedback, product roadmap, contract performance.</w:t>
      </w:r>
    </w:p>
    <w:p>
      <w:pPr>
        <w:pStyle w:val="ListParagraph"/>
        <w:numPr>
          <w:ilvl w:val="0"/>
          <w:numId w:val="2"/>
        </w:numPr>
        <w:spacing w:after="60" w:before="0" w:line="280"/>
      </w:pPr>
      <w:r>
        <w:rPr>
          <w:rFonts w:ascii="Arial" w:cs="Arial" w:eastAsia="Arial" w:hAnsi="Arial"/>
          <w:sz w:val="22"/>
          <w:szCs w:val="22"/>
        </w:rPr>
        <w:t xml:space="preserve">Annual renewal and expansion conversation: pricing, scope expansion, additional plans, additional states.</w:t>
      </w:r>
    </w:p>
    <w:p>
      <w:pPr>
        <w:spacing w:after="60" w:before="80" w:line="280"/>
      </w:pPr>
      <w:r>
        <w:rPr>
          <w:rFonts w:ascii="Arial" w:cs="Arial" w:eastAsia="Arial" w:hAnsi="Arial"/>
          <w:b/>
          <w:bCs/>
          <w:color w:val="475569"/>
          <w:sz w:val="22"/>
          <w:szCs w:val="22"/>
        </w:rPr>
        <w:t xml:space="preserve">Deliverables</w:t>
      </w:r>
    </w:p>
    <w:p>
      <w:pPr>
        <w:pStyle w:val="ListParagraph"/>
        <w:numPr>
          <w:ilvl w:val="0"/>
          <w:numId w:val="2"/>
        </w:numPr>
        <w:spacing w:after="60" w:before="0" w:line="280"/>
      </w:pPr>
      <w:r>
        <w:rPr>
          <w:rFonts w:ascii="Arial" w:cs="Arial" w:eastAsia="Arial" w:hAnsi="Arial"/>
          <w:sz w:val="22"/>
          <w:szCs w:val="22"/>
        </w:rPr>
        <w:t xml:space="preserve">Recurring monthly metrics reports</w:t>
      </w:r>
    </w:p>
    <w:p>
      <w:pPr>
        <w:pStyle w:val="ListParagraph"/>
        <w:numPr>
          <w:ilvl w:val="0"/>
          <w:numId w:val="2"/>
        </w:numPr>
        <w:spacing w:after="60" w:before="0" w:line="280"/>
      </w:pPr>
      <w:r>
        <w:rPr>
          <w:rFonts w:ascii="Arial" w:cs="Arial" w:eastAsia="Arial" w:hAnsi="Arial"/>
          <w:sz w:val="22"/>
          <w:szCs w:val="22"/>
        </w:rPr>
        <w:t xml:space="preserve">Quarterly QBR decks</w:t>
      </w:r>
    </w:p>
    <w:p>
      <w:pPr>
        <w:pStyle w:val="ListParagraph"/>
        <w:numPr>
          <w:ilvl w:val="0"/>
          <w:numId w:val="2"/>
        </w:numPr>
        <w:spacing w:after="60" w:before="0" w:line="280"/>
      </w:pPr>
      <w:r>
        <w:rPr>
          <w:rFonts w:ascii="Arial" w:cs="Arial" w:eastAsia="Arial" w:hAnsi="Arial"/>
          <w:sz w:val="22"/>
          <w:szCs w:val="22"/>
        </w:rPr>
        <w:t xml:space="preserve">Annual renewal proposals</w:t>
      </w:r>
    </w:p>
    <w:p>
      <w:pPr>
        <w:spacing w:after="100" w:before="80" w:line="280"/>
      </w:pPr>
      <w:r>
        <w:rPr>
          <w:rFonts w:ascii="Arial" w:cs="Arial" w:eastAsia="Arial" w:hAnsi="Arial"/>
          <w:b/>
          <w:bCs/>
          <w:color w:val="047857"/>
          <w:sz w:val="22"/>
          <w:szCs w:val="22"/>
        </w:rPr>
        <w:t xml:space="preserve">Decision gate: </w:t>
      </w:r>
      <w:r>
        <w:rPr>
          <w:rFonts w:ascii="Arial" w:cs="Arial" w:eastAsia="Arial" w:hAnsi="Arial"/>
          <w:sz w:val="22"/>
          <w:szCs w:val="22"/>
        </w:rPr>
        <w:t xml:space="preserve">At each renewal: extend / expand / sunset decision made by both parties.</w:t>
      </w:r>
    </w:p>
    <w:p>
      <w:r>
        <w:br w:type="page"/>
      </w:r>
    </w:p>
    <w:p>
      <w:pPr>
        <w:pStyle w:val="Heading1"/>
        <w:spacing w:after="140" w:before="280"/>
      </w:pPr>
      <w:r>
        <w:rPr>
          <w:rFonts w:ascii="Arial" w:cs="Arial" w:eastAsia="Arial" w:hAnsi="Arial"/>
          <w:b/>
          <w:bCs/>
          <w:color w:val="1d4ed8"/>
          <w:sz w:val="32"/>
          <w:szCs w:val="32"/>
        </w:rPr>
        <w:t xml:space="preserve">4. Deployment mode variations</w:t>
      </w:r>
    </w:p>
    <w:p>
      <w:pPr>
        <w:spacing w:after="100" w:before="0" w:line="280"/>
      </w:pPr>
      <w:r>
        <w:rPr>
          <w:rFonts w:ascii="Arial" w:cs="Arial" w:eastAsia="Arial" w:hAnsi="Arial"/>
          <w:sz w:val="22"/>
          <w:szCs w:val="22"/>
        </w:rPr>
        <w:t xml:space="preserve">The phase structure is consistent across modes; the activities and ownership inside each phase vary. The table below summarizes the meaningful differences. For pricing model details, refer to the Spec §14 open question on pricing (to be resolved in GTM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tcPr>
          <w:p>
            <w:pPr>
              <w:spacing w:after="0" w:before="0" w:line="260"/>
            </w:pPr>
            <w:r>
              <w:rPr>
                <w:rFonts w:ascii="Arial" w:cs="Arial" w:eastAsia="Arial" w:hAnsi="Arial"/>
                <w:b/>
                <w:bCs/>
                <w:color w:val="1d4ed8"/>
                <w:sz w:val="18"/>
                <w:szCs w:val="18"/>
              </w:rPr>
              <w:t xml:space="preserve">Phase</w:t>
            </w:r>
          </w:p>
        </w:tc>
        <w:tc>
          <w:tcPr>
            <w:tcW w:type="dxa" w:w="252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tcPr>
          <w:p>
            <w:pPr>
              <w:spacing w:after="0" w:before="0" w:line="260"/>
            </w:pPr>
            <w:r>
              <w:rPr>
                <w:rFonts w:ascii="Arial" w:cs="Arial" w:eastAsia="Arial" w:hAnsi="Arial"/>
                <w:b/>
                <w:bCs/>
                <w:color w:val="1d4ed8"/>
                <w:sz w:val="18"/>
                <w:szCs w:val="18"/>
              </w:rPr>
              <w:t xml:space="preserve">Carrier in-house</w:t>
            </w:r>
          </w:p>
        </w:tc>
        <w:tc>
          <w:tcPr>
            <w:tcW w:type="dxa" w:w="252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tcPr>
          <w:p>
            <w:pPr>
              <w:spacing w:after="0" w:before="0" w:line="260"/>
            </w:pPr>
            <w:r>
              <w:rPr>
                <w:rFonts w:ascii="Arial" w:cs="Arial" w:eastAsia="Arial" w:hAnsi="Arial"/>
                <w:b/>
                <w:bCs/>
                <w:color w:val="1d4ed8"/>
                <w:sz w:val="18"/>
                <w:szCs w:val="18"/>
              </w:rPr>
              <w:t xml:space="preserve">Vendor / TPA</w:t>
            </w:r>
          </w:p>
        </w:tc>
        <w:tc>
          <w:tcPr>
            <w:tcW w:type="dxa" w:w="252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tcPr>
          <w:p>
            <w:pPr>
              <w:spacing w:after="0" w:before="0" w:line="260"/>
            </w:pPr>
            <w:r>
              <w:rPr>
                <w:rFonts w:ascii="Arial" w:cs="Arial" w:eastAsia="Arial" w:hAnsi="Arial"/>
                <w:b/>
                <w:bCs/>
                <w:color w:val="1d4ed8"/>
                <w:sz w:val="18"/>
                <w:szCs w:val="18"/>
              </w:rPr>
              <w:t xml:space="preserve">Independent vendor</w:t>
            </w:r>
          </w:p>
        </w:tc>
      </w:tr>
      <w:tr>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line="260"/>
            </w:pPr>
            <w:r>
              <w:rPr>
                <w:rFonts w:ascii="Arial" w:cs="Arial" w:eastAsia="Arial" w:hAnsi="Arial"/>
                <w:b/>
                <w:bCs/>
                <w:sz w:val="18"/>
                <w:szCs w:val="18"/>
              </w:rPr>
              <w:t xml:space="preserve">0 · Pre-contract</w:t>
            </w:r>
          </w:p>
        </w:tc>
        <w:tc>
          <w:tcPr>
            <w:tcW w:type="dxa" w:w="252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line="260"/>
            </w:pPr>
            <w:r>
              <w:rPr>
                <w:rFonts w:ascii="Arial" w:cs="Arial" w:eastAsia="Arial" w:hAnsi="Arial"/>
                <w:sz w:val="18"/>
                <w:szCs w:val="18"/>
              </w:rPr>
              <w:t xml:space="preserve">Internal security review heaviest; plan IT / InfoSec engaged early.</w:t>
            </w:r>
          </w:p>
        </w:tc>
        <w:tc>
          <w:tcPr>
            <w:tcW w:type="dxa" w:w="252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line="260"/>
            </w:pPr>
            <w:r>
              <w:rPr>
                <w:rFonts w:ascii="Arial" w:cs="Arial" w:eastAsia="Arial" w:hAnsi="Arial"/>
                <w:sz w:val="18"/>
                <w:szCs w:val="18"/>
              </w:rPr>
              <w:t xml:space="preserve">TPA's security + each underlying plan's BAA chain reviewed.</w:t>
            </w:r>
          </w:p>
        </w:tc>
        <w:tc>
          <w:tcPr>
            <w:tcW w:type="dxa" w:w="252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line="260"/>
            </w:pPr>
            <w:r>
              <w:rPr>
                <w:rFonts w:ascii="Arial" w:cs="Arial" w:eastAsia="Arial" w:hAnsi="Arial"/>
                <w:sz w:val="18"/>
                <w:szCs w:val="18"/>
              </w:rPr>
              <w:t xml:space="preserve">We hold the BAA with the plan; security review is on us.</w:t>
            </w:r>
          </w:p>
        </w:tc>
      </w:tr>
      <w:tr>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line="260"/>
            </w:pPr>
            <w:r>
              <w:rPr>
                <w:rFonts w:ascii="Arial" w:cs="Arial" w:eastAsia="Arial" w:hAnsi="Arial"/>
                <w:b/>
                <w:bCs/>
                <w:sz w:val="18"/>
                <w:szCs w:val="18"/>
              </w:rPr>
              <w:t xml:space="preserve">1 · Contracting</w:t>
            </w:r>
          </w:p>
        </w:tc>
        <w:tc>
          <w:tcPr>
            <w:tcW w:type="dxa" w:w="252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line="260"/>
            </w:pPr>
            <w:r>
              <w:rPr>
                <w:rFonts w:ascii="Arial" w:cs="Arial" w:eastAsia="Arial" w:hAnsi="Arial"/>
                <w:sz w:val="18"/>
                <w:szCs w:val="18"/>
              </w:rPr>
              <w:t xml:space="preserve">BAA + MSA + SOW with plan; possible procurement RFP.</w:t>
            </w:r>
          </w:p>
        </w:tc>
        <w:tc>
          <w:tcPr>
            <w:tcW w:type="dxa" w:w="252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line="260"/>
            </w:pPr>
            <w:r>
              <w:rPr>
                <w:rFonts w:ascii="Arial" w:cs="Arial" w:eastAsia="Arial" w:hAnsi="Arial"/>
                <w:sz w:val="18"/>
                <w:szCs w:val="18"/>
              </w:rPr>
              <w:t xml:space="preserve">BAA + MSA with TPA; per-plan BAAs flow through TPA agreements.</w:t>
            </w:r>
          </w:p>
        </w:tc>
        <w:tc>
          <w:tcPr>
            <w:tcW w:type="dxa" w:w="252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line="260"/>
            </w:pPr>
            <w:r>
              <w:rPr>
                <w:rFonts w:ascii="Arial" w:cs="Arial" w:eastAsia="Arial" w:hAnsi="Arial"/>
                <w:sz w:val="18"/>
                <w:szCs w:val="18"/>
              </w:rPr>
              <w:t xml:space="preserve">BAA + Recovery Services Agreement (contingency-based).</w:t>
            </w:r>
          </w:p>
        </w:tc>
      </w:tr>
      <w:tr>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line="260"/>
            </w:pPr>
            <w:r>
              <w:rPr>
                <w:rFonts w:ascii="Arial" w:cs="Arial" w:eastAsia="Arial" w:hAnsi="Arial"/>
                <w:b/>
                <w:bCs/>
                <w:sz w:val="18"/>
                <w:szCs w:val="18"/>
              </w:rPr>
              <w:t xml:space="preserve">2 · Technical</w:t>
            </w:r>
          </w:p>
        </w:tc>
        <w:tc>
          <w:tcPr>
            <w:tcW w:type="dxa" w:w="252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line="260"/>
            </w:pPr>
            <w:r>
              <w:rPr>
                <w:rFonts w:ascii="Arial" w:cs="Arial" w:eastAsia="Arial" w:hAnsi="Arial"/>
                <w:sz w:val="18"/>
                <w:szCs w:val="18"/>
              </w:rPr>
              <w:t xml:space="preserve">Direct integration with plan's claim system (837 or extract).</w:t>
            </w:r>
          </w:p>
        </w:tc>
        <w:tc>
          <w:tcPr>
            <w:tcW w:type="dxa" w:w="252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line="260"/>
            </w:pPr>
            <w:r>
              <w:rPr>
                <w:rFonts w:ascii="Arial" w:cs="Arial" w:eastAsia="Arial" w:hAnsi="Arial"/>
                <w:sz w:val="18"/>
                <w:szCs w:val="18"/>
              </w:rPr>
              <w:t xml:space="preserve">Multi-plan ingest under TPA umbrella; per-plan rule routing.</w:t>
            </w:r>
          </w:p>
        </w:tc>
        <w:tc>
          <w:tcPr>
            <w:tcW w:type="dxa" w:w="252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line="260"/>
            </w:pPr>
            <w:r>
              <w:rPr>
                <w:rFonts w:ascii="Arial" w:cs="Arial" w:eastAsia="Arial" w:hAnsi="Arial"/>
                <w:sz w:val="18"/>
                <w:szCs w:val="18"/>
              </w:rPr>
              <w:t xml:space="preserve">We operate the platform; ingest from plan(s) via SFTP/API.</w:t>
            </w:r>
          </w:p>
        </w:tc>
      </w:tr>
      <w:tr>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line="260"/>
            </w:pPr>
            <w:r>
              <w:rPr>
                <w:rFonts w:ascii="Arial" w:cs="Arial" w:eastAsia="Arial" w:hAnsi="Arial"/>
                <w:b/>
                <w:bCs/>
                <w:sz w:val="18"/>
                <w:szCs w:val="18"/>
              </w:rPr>
              <w:t xml:space="preserve">3 · Data</w:t>
            </w:r>
          </w:p>
        </w:tc>
        <w:tc>
          <w:tcPr>
            <w:tcW w:type="dxa" w:w="252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line="260"/>
            </w:pPr>
            <w:r>
              <w:rPr>
                <w:rFonts w:ascii="Arial" w:cs="Arial" w:eastAsia="Arial" w:hAnsi="Arial"/>
                <w:sz w:val="18"/>
                <w:szCs w:val="18"/>
              </w:rPr>
              <w:t xml:space="preserve">Plan-document rules captured per plan; state overlay per book.</w:t>
            </w:r>
          </w:p>
        </w:tc>
        <w:tc>
          <w:tcPr>
            <w:tcW w:type="dxa" w:w="252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line="260"/>
            </w:pPr>
            <w:r>
              <w:rPr>
                <w:rFonts w:ascii="Arial" w:cs="Arial" w:eastAsia="Arial" w:hAnsi="Arial"/>
                <w:sz w:val="18"/>
                <w:szCs w:val="18"/>
              </w:rPr>
              <w:t xml:space="preserve">Per-plan rule sets within TPA; shared correspondence templates with plan branding.</w:t>
            </w:r>
          </w:p>
        </w:tc>
        <w:tc>
          <w:tcPr>
            <w:tcW w:type="dxa" w:w="252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line="260"/>
            </w:pPr>
            <w:r>
              <w:rPr>
                <w:rFonts w:ascii="Arial" w:cs="Arial" w:eastAsia="Arial" w:hAnsi="Arial"/>
                <w:sz w:val="18"/>
                <w:szCs w:val="18"/>
              </w:rPr>
              <w:t xml:space="preserve">We capture rules and execute; plan reviews and approves at setup.</w:t>
            </w:r>
          </w:p>
        </w:tc>
      </w:tr>
      <w:tr>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line="260"/>
            </w:pPr>
            <w:r>
              <w:rPr>
                <w:rFonts w:ascii="Arial" w:cs="Arial" w:eastAsia="Arial" w:hAnsi="Arial"/>
                <w:b/>
                <w:bCs/>
                <w:sz w:val="18"/>
                <w:szCs w:val="18"/>
              </w:rPr>
              <w:t xml:space="preserve">4 · Training</w:t>
            </w:r>
          </w:p>
        </w:tc>
        <w:tc>
          <w:tcPr>
            <w:tcW w:type="dxa" w:w="252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line="260"/>
            </w:pPr>
            <w:r>
              <w:rPr>
                <w:rFonts w:ascii="Arial" w:cs="Arial" w:eastAsia="Arial" w:hAnsi="Arial"/>
                <w:sz w:val="18"/>
                <w:szCs w:val="18"/>
              </w:rPr>
              <w:t xml:space="preserve">Plan's analysts trained as primary users; supervisors retain authority.</w:t>
            </w:r>
          </w:p>
        </w:tc>
        <w:tc>
          <w:tcPr>
            <w:tcW w:type="dxa" w:w="252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line="260"/>
            </w:pPr>
            <w:r>
              <w:rPr>
                <w:rFonts w:ascii="Arial" w:cs="Arial" w:eastAsia="Arial" w:hAnsi="Arial"/>
                <w:sz w:val="18"/>
                <w:szCs w:val="18"/>
              </w:rPr>
              <w:t xml:space="preserve">TPA's analysts trained; per-plan escalation paths configured.</w:t>
            </w:r>
          </w:p>
        </w:tc>
        <w:tc>
          <w:tcPr>
            <w:tcW w:type="dxa" w:w="252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line="260"/>
            </w:pPr>
            <w:r>
              <w:rPr>
                <w:rFonts w:ascii="Arial" w:cs="Arial" w:eastAsia="Arial" w:hAnsi="Arial"/>
                <w:sz w:val="18"/>
                <w:szCs w:val="18"/>
              </w:rPr>
              <w:t xml:space="preserve">Our analysts run the platform; plan liaison trained on reporting and approvals.</w:t>
            </w:r>
          </w:p>
        </w:tc>
      </w:tr>
      <w:tr>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line="260"/>
            </w:pPr>
            <w:r>
              <w:rPr>
                <w:rFonts w:ascii="Arial" w:cs="Arial" w:eastAsia="Arial" w:hAnsi="Arial"/>
                <w:b/>
                <w:bCs/>
                <w:sz w:val="18"/>
                <w:szCs w:val="18"/>
              </w:rPr>
              <w:t xml:space="preserve">5 · Go-live</w:t>
            </w:r>
          </w:p>
        </w:tc>
        <w:tc>
          <w:tcPr>
            <w:tcW w:type="dxa" w:w="252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line="260"/>
            </w:pPr>
            <w:r>
              <w:rPr>
                <w:rFonts w:ascii="Arial" w:cs="Arial" w:eastAsia="Arial" w:hAnsi="Arial"/>
                <w:sz w:val="18"/>
                <w:szCs w:val="18"/>
              </w:rPr>
              <w:t xml:space="preserve">Pilot batch on plan's actual claims; cutover gated by plan ops.</w:t>
            </w:r>
          </w:p>
        </w:tc>
        <w:tc>
          <w:tcPr>
            <w:tcW w:type="dxa" w:w="252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line="260"/>
            </w:pPr>
            <w:r>
              <w:rPr>
                <w:rFonts w:ascii="Arial" w:cs="Arial" w:eastAsia="Arial" w:hAnsi="Arial"/>
                <w:sz w:val="18"/>
                <w:szCs w:val="18"/>
              </w:rPr>
              <w:t xml:space="preserve">Pilot per TPA; first plan onboarded fully before adding more.</w:t>
            </w:r>
          </w:p>
        </w:tc>
        <w:tc>
          <w:tcPr>
            <w:tcW w:type="dxa" w:w="252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line="260"/>
            </w:pPr>
            <w:r>
              <w:rPr>
                <w:rFonts w:ascii="Arial" w:cs="Arial" w:eastAsia="Arial" w:hAnsi="Arial"/>
                <w:sz w:val="18"/>
                <w:szCs w:val="18"/>
              </w:rPr>
              <w:t xml:space="preserve">We execute pilot recoveries; plan approves payment flow.</w:t>
            </w:r>
          </w:p>
        </w:tc>
      </w:tr>
      <w:tr>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line="260"/>
            </w:pPr>
            <w:r>
              <w:rPr>
                <w:rFonts w:ascii="Arial" w:cs="Arial" w:eastAsia="Arial" w:hAnsi="Arial"/>
                <w:b/>
                <w:bCs/>
                <w:sz w:val="18"/>
                <w:szCs w:val="18"/>
              </w:rPr>
              <w:t xml:space="preserve">6 · Ongoing</w:t>
            </w:r>
          </w:p>
        </w:tc>
        <w:tc>
          <w:tcPr>
            <w:tcW w:type="dxa" w:w="252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line="260"/>
            </w:pPr>
            <w:r>
              <w:rPr>
                <w:rFonts w:ascii="Arial" w:cs="Arial" w:eastAsia="Arial" w:hAnsi="Arial"/>
                <w:sz w:val="18"/>
                <w:szCs w:val="18"/>
              </w:rPr>
              <w:t xml:space="preserve">QBR with plan leadership; metrics: recovery rate, override rate, audit.</w:t>
            </w:r>
          </w:p>
        </w:tc>
        <w:tc>
          <w:tcPr>
            <w:tcW w:type="dxa" w:w="252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line="260"/>
            </w:pPr>
            <w:r>
              <w:rPr>
                <w:rFonts w:ascii="Arial" w:cs="Arial" w:eastAsia="Arial" w:hAnsi="Arial"/>
                <w:sz w:val="18"/>
                <w:szCs w:val="18"/>
              </w:rPr>
              <w:t xml:space="preserve">QBR with TPA + sample of underlying plans; multi-plan dashboards.</w:t>
            </w:r>
          </w:p>
        </w:tc>
        <w:tc>
          <w:tcPr>
            <w:tcW w:type="dxa" w:w="252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line="260"/>
            </w:pPr>
            <w:r>
              <w:rPr>
                <w:rFonts w:ascii="Arial" w:cs="Arial" w:eastAsia="Arial" w:hAnsi="Arial"/>
                <w:sz w:val="18"/>
                <w:szCs w:val="18"/>
              </w:rPr>
              <w:t xml:space="preserve">Monthly settlement reports; contingency-fee invoicing.</w:t>
            </w:r>
          </w:p>
        </w:tc>
      </w:tr>
    </w:tbl>
    <w:p>
      <w:r>
        <w:br w:type="page"/>
      </w:r>
    </w:p>
    <w:p>
      <w:pPr>
        <w:pStyle w:val="Heading1"/>
        <w:spacing w:after="140" w:before="280"/>
      </w:pPr>
      <w:r>
        <w:rPr>
          <w:rFonts w:ascii="Arial" w:cs="Arial" w:eastAsia="Arial" w:hAnsi="Arial"/>
          <w:b/>
          <w:bCs/>
          <w:color w:val="1d4ed8"/>
          <w:sz w:val="32"/>
          <w:szCs w:val="32"/>
        </w:rPr>
        <w:t xml:space="preserve">5. Part II · Customer-facing implementation guide (extract)</w:t>
      </w:r>
    </w:p>
    <w:p>
      <w:pPr>
        <w:spacing w:after="100" w:before="0" w:line="280"/>
      </w:pPr>
      <w:r>
        <w:rPr>
          <w:rFonts w:ascii="Arial" w:cs="Arial" w:eastAsia="Arial" w:hAnsi="Arial"/>
          <w:sz w:val="22"/>
          <w:szCs w:val="22"/>
        </w:rPr>
        <w:t xml:space="preserve">This section is written for the prospect/customer and can be excerpted as a standalone document at the contracting stage. It reframes the same six phases from the customer's perspective: what to expect, what to provide, and what success looks like.</w:t>
      </w:r>
    </w:p>
    <w:p>
      <w:pPr>
        <w:pStyle w:val="Heading2"/>
        <w:spacing w:after="100" w:before="200"/>
      </w:pPr>
      <w:r>
        <w:rPr>
          <w:rFonts w:ascii="Arial" w:cs="Arial" w:eastAsia="Arial" w:hAnsi="Arial"/>
          <w:b/>
          <w:bCs/>
          <w:color w:val="1d4ed8"/>
          <w:sz w:val="26"/>
          <w:szCs w:val="26"/>
        </w:rPr>
        <w:t xml:space="preserve">What you'll experience</w:t>
      </w:r>
    </w:p>
    <w:p>
      <w:pPr>
        <w:spacing w:after="100" w:before="0" w:line="280"/>
      </w:pPr>
      <w:r>
        <w:rPr>
          <w:rFonts w:ascii="Arial" w:cs="Arial" w:eastAsia="Arial" w:hAnsi="Arial"/>
          <w:sz w:val="22"/>
          <w:szCs w:val="22"/>
        </w:rPr>
        <w:t xml:space="preserve">From signed agreement to full go-live takes ten to fourteen weeks for most customers. The COB Flow team leads the technical and analytical work; your team participates at three pressure points — discovery, rule capture, and training. The arc looks like this:</w:t>
      </w:r>
    </w:p>
    <w:p>
      <w:pPr>
        <w:pStyle w:val="ListParagraph"/>
        <w:numPr>
          <w:ilvl w:val="0"/>
          <w:numId w:val="2"/>
        </w:numPr>
        <w:spacing w:after="60" w:before="0" w:line="280"/>
      </w:pPr>
      <w:r>
        <w:rPr>
          <w:rFonts w:ascii="Arial" w:cs="Arial" w:eastAsia="Arial" w:hAnsi="Arial"/>
          <w:b/>
          <w:bCs/>
          <w:sz w:val="22"/>
          <w:szCs w:val="22"/>
        </w:rPr>
        <w:t xml:space="preserve">Weeks 1–2: </w:t>
      </w:r>
      <w:r>
        <w:rPr>
          <w:rFonts w:ascii="Arial" w:cs="Arial" w:eastAsia="Arial" w:hAnsi="Arial"/>
          <w:sz w:val="22"/>
          <w:szCs w:val="22"/>
        </w:rPr>
        <w:t xml:space="preserve">Kickoff and technical setup. Your IT contact sets up SSO and provides claim-feed access; we provision your tenant.</w:t>
      </w:r>
    </w:p>
    <w:p>
      <w:pPr>
        <w:pStyle w:val="ListParagraph"/>
        <w:numPr>
          <w:ilvl w:val="0"/>
          <w:numId w:val="2"/>
        </w:numPr>
        <w:spacing w:after="60" w:before="0" w:line="280"/>
      </w:pPr>
      <w:r>
        <w:rPr>
          <w:rFonts w:ascii="Arial" w:cs="Arial" w:eastAsia="Arial" w:hAnsi="Arial"/>
          <w:b/>
          <w:bCs/>
          <w:sz w:val="22"/>
          <w:szCs w:val="22"/>
        </w:rPr>
        <w:t xml:space="preserve">Weeks 3–4: </w:t>
      </w:r>
      <w:r>
        <w:rPr>
          <w:rFonts w:ascii="Arial" w:cs="Arial" w:eastAsia="Arial" w:hAnsi="Arial"/>
          <w:sz w:val="22"/>
          <w:szCs w:val="22"/>
        </w:rPr>
        <w:t xml:space="preserve">Rule capture. Your subrogation lead walks through your plan documents with our analyst; we configure the engine to match your posture.</w:t>
      </w:r>
    </w:p>
    <w:p>
      <w:pPr>
        <w:pStyle w:val="ListParagraph"/>
        <w:numPr>
          <w:ilvl w:val="0"/>
          <w:numId w:val="2"/>
        </w:numPr>
        <w:spacing w:after="60" w:before="0" w:line="280"/>
      </w:pPr>
      <w:r>
        <w:rPr>
          <w:rFonts w:ascii="Arial" w:cs="Arial" w:eastAsia="Arial" w:hAnsi="Arial"/>
          <w:b/>
          <w:bCs/>
          <w:sz w:val="22"/>
          <w:szCs w:val="22"/>
        </w:rPr>
        <w:t xml:space="preserve">Weeks 5–6: </w:t>
      </w:r>
      <w:r>
        <w:rPr>
          <w:rFonts w:ascii="Arial" w:cs="Arial" w:eastAsia="Arial" w:hAnsi="Arial"/>
          <w:sz w:val="22"/>
          <w:szCs w:val="22"/>
        </w:rPr>
        <w:t xml:space="preserve">Training. Your analysts and supervisors learn the platform in 2–4 sessions; we provide reference materials and a sandbox environment.</w:t>
      </w:r>
    </w:p>
    <w:p>
      <w:pPr>
        <w:pStyle w:val="ListParagraph"/>
        <w:numPr>
          <w:ilvl w:val="0"/>
          <w:numId w:val="2"/>
        </w:numPr>
        <w:spacing w:after="60" w:before="0" w:line="280"/>
      </w:pPr>
      <w:r>
        <w:rPr>
          <w:rFonts w:ascii="Arial" w:cs="Arial" w:eastAsia="Arial" w:hAnsi="Arial"/>
          <w:b/>
          <w:bCs/>
          <w:sz w:val="22"/>
          <w:szCs w:val="22"/>
        </w:rPr>
        <w:t xml:space="preserve">Weeks 7–10: </w:t>
      </w:r>
      <w:r>
        <w:rPr>
          <w:rFonts w:ascii="Arial" w:cs="Arial" w:eastAsia="Arial" w:hAnsi="Arial"/>
          <w:sz w:val="22"/>
          <w:szCs w:val="22"/>
        </w:rPr>
        <w:t xml:space="preserve">Pilot batch. We process 10–25 real claims under your supervision. You see engine recommendations, your analyst signs each determination, recovery proceeds through full correspondence.</w:t>
      </w:r>
    </w:p>
    <w:p>
      <w:pPr>
        <w:pStyle w:val="ListParagraph"/>
        <w:numPr>
          <w:ilvl w:val="0"/>
          <w:numId w:val="2"/>
        </w:numPr>
        <w:spacing w:after="60" w:before="0" w:line="280"/>
      </w:pPr>
      <w:r>
        <w:rPr>
          <w:rFonts w:ascii="Arial" w:cs="Arial" w:eastAsia="Arial" w:hAnsi="Arial"/>
          <w:b/>
          <w:bCs/>
          <w:sz w:val="22"/>
          <w:szCs w:val="22"/>
        </w:rPr>
        <w:t xml:space="preserve">Weeks 11–14: </w:t>
      </w:r>
      <w:r>
        <w:rPr>
          <w:rFonts w:ascii="Arial" w:cs="Arial" w:eastAsia="Arial" w:hAnsi="Arial"/>
          <w:sz w:val="22"/>
          <w:szCs w:val="22"/>
        </w:rPr>
        <w:t xml:space="preserve">Full cutover. Pilot results reviewed; if success criteria are met, we expand to your full claim volume. 30/60/90-day check-ins follow.</w:t>
      </w:r>
    </w:p>
    <w:p>
      <w:pPr>
        <w:pStyle w:val="Heading2"/>
        <w:spacing w:after="100" w:before="200"/>
      </w:pPr>
      <w:r>
        <w:rPr>
          <w:rFonts w:ascii="Arial" w:cs="Arial" w:eastAsia="Arial" w:hAnsi="Arial"/>
          <w:b/>
          <w:bCs/>
          <w:color w:val="1d4ed8"/>
          <w:sz w:val="26"/>
          <w:szCs w:val="26"/>
        </w:rPr>
        <w:t xml:space="preserve">What we provide</w:t>
      </w:r>
    </w:p>
    <w:p>
      <w:pPr>
        <w:pStyle w:val="ListParagraph"/>
        <w:numPr>
          <w:ilvl w:val="0"/>
          <w:numId w:val="2"/>
        </w:numPr>
        <w:spacing w:after="60" w:before="0" w:line="280"/>
      </w:pPr>
      <w:r>
        <w:rPr>
          <w:rFonts w:ascii="Arial" w:cs="Arial" w:eastAsia="Arial" w:hAnsi="Arial"/>
          <w:sz w:val="22"/>
          <w:szCs w:val="22"/>
        </w:rPr>
        <w:t xml:space="preserve">Multi-tenant SaaS platform with your dedicated tenant and row-level data isolation.</w:t>
      </w:r>
    </w:p>
    <w:p>
      <w:pPr>
        <w:pStyle w:val="ListParagraph"/>
        <w:numPr>
          <w:ilvl w:val="0"/>
          <w:numId w:val="2"/>
        </w:numPr>
        <w:spacing w:after="60" w:before="0" w:line="280"/>
      </w:pPr>
      <w:r>
        <w:rPr>
          <w:rFonts w:ascii="Arial" w:cs="Arial" w:eastAsia="Arial" w:hAnsi="Arial"/>
          <w:sz w:val="22"/>
          <w:szCs w:val="22"/>
        </w:rPr>
        <w:t xml:space="preserve">Engine configured to your plan documents, your state overlay (Wisconsin in the pilot configuration), and your correspondence templates.</w:t>
      </w:r>
    </w:p>
    <w:p>
      <w:pPr>
        <w:pStyle w:val="ListParagraph"/>
        <w:numPr>
          <w:ilvl w:val="0"/>
          <w:numId w:val="2"/>
        </w:numPr>
        <w:spacing w:after="60" w:before="0" w:line="280"/>
      </w:pPr>
      <w:r>
        <w:rPr>
          <w:rFonts w:ascii="Arial" w:cs="Arial" w:eastAsia="Arial" w:hAnsi="Arial"/>
          <w:sz w:val="22"/>
          <w:szCs w:val="22"/>
        </w:rPr>
        <w:t xml:space="preserve">Analyst training, supervisor training, and reference materials.</w:t>
      </w:r>
    </w:p>
    <w:p>
      <w:pPr>
        <w:pStyle w:val="ListParagraph"/>
        <w:numPr>
          <w:ilvl w:val="0"/>
          <w:numId w:val="2"/>
        </w:numPr>
        <w:spacing w:after="60" w:before="0" w:line="280"/>
      </w:pPr>
      <w:r>
        <w:rPr>
          <w:rFonts w:ascii="Arial" w:cs="Arial" w:eastAsia="Arial" w:hAnsi="Arial"/>
          <w:sz w:val="22"/>
          <w:szCs w:val="22"/>
        </w:rPr>
        <w:t xml:space="preserve">Pilot batch execution under your supervision.</w:t>
      </w:r>
    </w:p>
    <w:p>
      <w:pPr>
        <w:pStyle w:val="ListParagraph"/>
        <w:numPr>
          <w:ilvl w:val="0"/>
          <w:numId w:val="2"/>
        </w:numPr>
        <w:spacing w:after="60" w:before="0" w:line="280"/>
      </w:pPr>
      <w:r>
        <w:rPr>
          <w:rFonts w:ascii="Arial" w:cs="Arial" w:eastAsia="Arial" w:hAnsi="Arial"/>
          <w:sz w:val="22"/>
          <w:szCs w:val="22"/>
        </w:rPr>
        <w:t xml:space="preserve">Ongoing customer success: weekly check-ins for the first 90 days, monthly metrics reports, quarterly business reviews.</w:t>
      </w:r>
    </w:p>
    <w:p>
      <w:pPr>
        <w:pStyle w:val="ListParagraph"/>
        <w:numPr>
          <w:ilvl w:val="0"/>
          <w:numId w:val="2"/>
        </w:numPr>
        <w:spacing w:after="60" w:before="0" w:line="280"/>
      </w:pPr>
      <w:r>
        <w:rPr>
          <w:rFonts w:ascii="Arial" w:cs="Arial" w:eastAsia="Arial" w:hAnsi="Arial"/>
          <w:sz w:val="22"/>
          <w:szCs w:val="22"/>
        </w:rPr>
        <w:t xml:space="preserve">HIPAA-compliant infrastructure with executed BAA, audit logs, and signed-URL document access.</w:t>
      </w:r>
    </w:p>
    <w:p>
      <w:pPr>
        <w:pStyle w:val="Heading2"/>
        <w:spacing w:after="100" w:before="200"/>
      </w:pPr>
      <w:r>
        <w:rPr>
          <w:rFonts w:ascii="Arial" w:cs="Arial" w:eastAsia="Arial" w:hAnsi="Arial"/>
          <w:b/>
          <w:bCs/>
          <w:color w:val="1d4ed8"/>
          <w:sz w:val="26"/>
          <w:szCs w:val="26"/>
        </w:rPr>
        <w:t xml:space="preserve">What you provide</w:t>
      </w:r>
    </w:p>
    <w:p>
      <w:pPr>
        <w:pStyle w:val="ListParagraph"/>
        <w:numPr>
          <w:ilvl w:val="0"/>
          <w:numId w:val="2"/>
        </w:numPr>
        <w:spacing w:after="60" w:before="0" w:line="280"/>
      </w:pPr>
      <w:r>
        <w:rPr>
          <w:rFonts w:ascii="Arial" w:cs="Arial" w:eastAsia="Arial" w:hAnsi="Arial"/>
          <w:sz w:val="22"/>
          <w:szCs w:val="22"/>
        </w:rPr>
        <w:t xml:space="preserve">Executed BAA, MSA, SOW, and data-sharing agreement.</w:t>
      </w:r>
    </w:p>
    <w:p>
      <w:pPr>
        <w:pStyle w:val="ListParagraph"/>
        <w:numPr>
          <w:ilvl w:val="0"/>
          <w:numId w:val="2"/>
        </w:numPr>
        <w:spacing w:after="60" w:before="0" w:line="280"/>
      </w:pPr>
      <w:r>
        <w:rPr>
          <w:rFonts w:ascii="Arial" w:cs="Arial" w:eastAsia="Arial" w:hAnsi="Arial"/>
          <w:sz w:val="22"/>
          <w:szCs w:val="22"/>
        </w:rPr>
        <w:t xml:space="preserve">Single point of technical contact for SSO and claim-feed setup.</w:t>
      </w:r>
    </w:p>
    <w:p>
      <w:pPr>
        <w:pStyle w:val="ListParagraph"/>
        <w:numPr>
          <w:ilvl w:val="0"/>
          <w:numId w:val="2"/>
        </w:numPr>
        <w:spacing w:after="60" w:before="0" w:line="280"/>
      </w:pPr>
      <w:r>
        <w:rPr>
          <w:rFonts w:ascii="Arial" w:cs="Arial" w:eastAsia="Arial" w:hAnsi="Arial"/>
          <w:sz w:val="22"/>
          <w:szCs w:val="22"/>
        </w:rPr>
        <w:t xml:space="preserve">Subrogation lead for rule capture (typically 4–8 hours across two sessions).</w:t>
      </w:r>
    </w:p>
    <w:p>
      <w:pPr>
        <w:pStyle w:val="ListParagraph"/>
        <w:numPr>
          <w:ilvl w:val="0"/>
          <w:numId w:val="2"/>
        </w:numPr>
        <w:spacing w:after="60" w:before="0" w:line="280"/>
      </w:pPr>
      <w:r>
        <w:rPr>
          <w:rFonts w:ascii="Arial" w:cs="Arial" w:eastAsia="Arial" w:hAnsi="Arial"/>
          <w:sz w:val="22"/>
          <w:szCs w:val="22"/>
        </w:rPr>
        <w:t xml:space="preserve">Analyst and supervisor availability for training sessions (typically 6–10 hours per analyst over 1–2 weeks).</w:t>
      </w:r>
    </w:p>
    <w:p>
      <w:pPr>
        <w:pStyle w:val="ListParagraph"/>
        <w:numPr>
          <w:ilvl w:val="0"/>
          <w:numId w:val="2"/>
        </w:numPr>
        <w:spacing w:after="60" w:before="0" w:line="280"/>
      </w:pPr>
      <w:r>
        <w:rPr>
          <w:rFonts w:ascii="Arial" w:cs="Arial" w:eastAsia="Arial" w:hAnsi="Arial"/>
          <w:sz w:val="22"/>
          <w:szCs w:val="22"/>
        </w:rPr>
        <w:t xml:space="preserve">Pilot batch claim selection — 10–25 real claims of moderate complexity for the validation period.</w:t>
      </w:r>
    </w:p>
    <w:p>
      <w:pPr>
        <w:pStyle w:val="ListParagraph"/>
        <w:numPr>
          <w:ilvl w:val="0"/>
          <w:numId w:val="2"/>
        </w:numPr>
        <w:spacing w:after="60" w:before="0" w:line="280"/>
      </w:pPr>
      <w:r>
        <w:rPr>
          <w:rFonts w:ascii="Arial" w:cs="Arial" w:eastAsia="Arial" w:hAnsi="Arial"/>
          <w:sz w:val="22"/>
          <w:szCs w:val="22"/>
        </w:rPr>
        <w:t xml:space="preserve">Sign-off authority on rule configuration, training completion, and cutover.</w:t>
      </w:r>
    </w:p>
    <w:p>
      <w:pPr>
        <w:pStyle w:val="Heading2"/>
        <w:spacing w:after="100" w:before="200"/>
      </w:pPr>
      <w:r>
        <w:rPr>
          <w:rFonts w:ascii="Arial" w:cs="Arial" w:eastAsia="Arial" w:hAnsi="Arial"/>
          <w:b/>
          <w:bCs/>
          <w:color w:val="1d4ed8"/>
          <w:sz w:val="26"/>
          <w:szCs w:val="26"/>
        </w:rPr>
        <w:t xml:space="preserve">Success metrics</w:t>
      </w:r>
    </w:p>
    <w:p>
      <w:pPr>
        <w:spacing w:after="100" w:before="0" w:line="280"/>
      </w:pPr>
      <w:r>
        <w:rPr>
          <w:rFonts w:ascii="Arial" w:cs="Arial" w:eastAsia="Arial" w:hAnsi="Arial"/>
          <w:sz w:val="22"/>
          <w:szCs w:val="22"/>
        </w:rPr>
        <w:t xml:space="preserve">Success in the pilot is measured against criteria captured in the SOW. The common metrics are:</w:t>
      </w:r>
    </w:p>
    <w:p>
      <w:pPr>
        <w:pStyle w:val="ListParagraph"/>
        <w:numPr>
          <w:ilvl w:val="0"/>
          <w:numId w:val="2"/>
        </w:numPr>
        <w:spacing w:after="60" w:before="0" w:line="280"/>
      </w:pPr>
      <w:r>
        <w:rPr>
          <w:rFonts w:ascii="Arial" w:cs="Arial" w:eastAsia="Arial" w:hAnsi="Arial"/>
          <w:b/>
          <w:bCs/>
          <w:sz w:val="22"/>
          <w:szCs w:val="22"/>
        </w:rPr>
        <w:t xml:space="preserve">Engine recommendation accuracy: </w:t>
      </w:r>
      <w:r>
        <w:rPr>
          <w:rFonts w:ascii="Arial" w:cs="Arial" w:eastAsia="Arial" w:hAnsi="Arial"/>
          <w:sz w:val="22"/>
          <w:szCs w:val="22"/>
        </w:rPr>
        <w:t xml:space="preserve">≥90% agreement between high-confidence engine determinations and analyst sign-offs on the pilot batch.</w:t>
      </w:r>
    </w:p>
    <w:p>
      <w:pPr>
        <w:pStyle w:val="ListParagraph"/>
        <w:numPr>
          <w:ilvl w:val="0"/>
          <w:numId w:val="2"/>
        </w:numPr>
        <w:spacing w:after="60" w:before="0" w:line="280"/>
      </w:pPr>
      <w:r>
        <w:rPr>
          <w:rFonts w:ascii="Arial" w:cs="Arial" w:eastAsia="Arial" w:hAnsi="Arial"/>
          <w:b/>
          <w:bCs/>
          <w:sz w:val="22"/>
          <w:szCs w:val="22"/>
        </w:rPr>
        <w:t xml:space="preserve">Cycle time: </w:t>
      </w:r>
      <w:r>
        <w:rPr>
          <w:rFonts w:ascii="Arial" w:cs="Arial" w:eastAsia="Arial" w:hAnsi="Arial"/>
          <w:sz w:val="22"/>
          <w:szCs w:val="22"/>
        </w:rPr>
        <w:t xml:space="preserve">days from claim intake to first outbound correspondence, measured against your current baseline.</w:t>
      </w:r>
    </w:p>
    <w:p>
      <w:pPr>
        <w:pStyle w:val="ListParagraph"/>
        <w:numPr>
          <w:ilvl w:val="0"/>
          <w:numId w:val="2"/>
        </w:numPr>
        <w:spacing w:after="60" w:before="0" w:line="280"/>
      </w:pPr>
      <w:r>
        <w:rPr>
          <w:rFonts w:ascii="Arial" w:cs="Arial" w:eastAsia="Arial" w:hAnsi="Arial"/>
          <w:b/>
          <w:bCs/>
          <w:sz w:val="22"/>
          <w:szCs w:val="22"/>
        </w:rPr>
        <w:t xml:space="preserve">Recovery rate lift: </w:t>
      </w:r>
      <w:r>
        <w:rPr>
          <w:rFonts w:ascii="Arial" w:cs="Arial" w:eastAsia="Arial" w:hAnsi="Arial"/>
          <w:sz w:val="22"/>
          <w:szCs w:val="22"/>
        </w:rPr>
        <w:t xml:space="preserve">projected at qualification, validated during pilot, tracked at QBR.</w:t>
      </w:r>
    </w:p>
    <w:p>
      <w:pPr>
        <w:pStyle w:val="ListParagraph"/>
        <w:numPr>
          <w:ilvl w:val="0"/>
          <w:numId w:val="2"/>
        </w:numPr>
        <w:spacing w:after="60" w:before="0" w:line="280"/>
      </w:pPr>
      <w:r>
        <w:rPr>
          <w:rFonts w:ascii="Arial" w:cs="Arial" w:eastAsia="Arial" w:hAnsi="Arial"/>
          <w:b/>
          <w:bCs/>
          <w:sz w:val="22"/>
          <w:szCs w:val="22"/>
        </w:rPr>
        <w:t xml:space="preserve">Override rate: </w:t>
      </w:r>
      <w:r>
        <w:rPr>
          <w:rFonts w:ascii="Arial" w:cs="Arial" w:eastAsia="Arial" w:hAnsi="Arial"/>
          <w:sz w:val="22"/>
          <w:szCs w:val="22"/>
        </w:rPr>
        <w:t xml:space="preserve">frequency of supervisor overrides on engine recommendations, used to tune the engine.</w:t>
      </w:r>
    </w:p>
    <w:p>
      <w:pPr>
        <w:pStyle w:val="Heading2"/>
        <w:spacing w:after="100" w:before="200"/>
      </w:pPr>
      <w:r>
        <w:rPr>
          <w:rFonts w:ascii="Arial" w:cs="Arial" w:eastAsia="Arial" w:hAnsi="Arial"/>
          <w:b/>
          <w:bCs/>
          <w:color w:val="1d4ed8"/>
          <w:sz w:val="26"/>
          <w:szCs w:val="26"/>
        </w:rPr>
        <w:t xml:space="preserve">Support channels</w:t>
      </w:r>
    </w:p>
    <w:p>
      <w:pPr>
        <w:spacing w:after="100" w:before="0" w:line="280"/>
      </w:pPr>
      <w:r>
        <w:rPr>
          <w:rFonts w:ascii="Arial" w:cs="Arial" w:eastAsia="Arial" w:hAnsi="Arial"/>
          <w:sz w:val="22"/>
          <w:szCs w:val="22"/>
        </w:rPr>
        <w:t xml:space="preserve">During implementation, you have direct access to your COB Flow technical lead and analyst lead by email and scheduled calls. Post go-live, support shifts to a customer success channel with response targets defined in your SOW. Escalation paths and after-hours procedures are documented in the reference materials handed off during training.</w:t>
      </w:r>
    </w:p>
    <w:p>
      <w:r>
        <w:br w:type="page"/>
      </w:r>
    </w:p>
    <w:p>
      <w:pPr>
        <w:pStyle w:val="Heading1"/>
        <w:spacing w:after="140" w:before="280"/>
      </w:pPr>
      <w:r>
        <w:rPr>
          <w:rFonts w:ascii="Arial" w:cs="Arial" w:eastAsia="Arial" w:hAnsi="Arial"/>
          <w:b/>
          <w:bCs/>
          <w:color w:val="1d4ed8"/>
          <w:sz w:val="32"/>
          <w:szCs w:val="32"/>
        </w:rPr>
        <w:t xml:space="preserve">6. Glossary of terms</w:t>
      </w:r>
    </w:p>
    <w:p>
      <w:pPr>
        <w:spacing w:after="100" w:before="0" w:line="280"/>
      </w:pPr>
      <w:r>
        <w:rPr>
          <w:rFonts w:ascii="Arial" w:cs="Arial" w:eastAsia="Arial" w:hAnsi="Arial"/>
          <w:b/>
          <w:bCs/>
          <w:sz w:val="22"/>
          <w:szCs w:val="22"/>
        </w:rPr>
        <w:t xml:space="preserve">BAA — </w:t>
      </w:r>
      <w:r>
        <w:rPr>
          <w:rFonts w:ascii="Arial" w:cs="Arial" w:eastAsia="Arial" w:hAnsi="Arial"/>
          <w:sz w:val="22"/>
          <w:szCs w:val="22"/>
        </w:rPr>
        <w:t xml:space="preserve">Business Associate Agreement. HIPAA-required contract between a covered entity (health plan) and a business associate (vendor handling PHI).</w:t>
      </w:r>
    </w:p>
    <w:p>
      <w:pPr>
        <w:spacing w:after="100" w:before="0" w:line="280"/>
      </w:pPr>
      <w:r>
        <w:rPr>
          <w:rFonts w:ascii="Arial" w:cs="Arial" w:eastAsia="Arial" w:hAnsi="Arial"/>
          <w:b/>
          <w:bCs/>
          <w:sz w:val="22"/>
          <w:szCs w:val="22"/>
        </w:rPr>
        <w:t xml:space="preserve">Customer mode — </w:t>
      </w:r>
      <w:r>
        <w:rPr>
          <w:rFonts w:ascii="Arial" w:cs="Arial" w:eastAsia="Arial" w:hAnsi="Arial"/>
          <w:sz w:val="22"/>
          <w:szCs w:val="22"/>
        </w:rPr>
        <w:t xml:space="preserve">One of: carrier in-house, vendor/TPA, independent vendor service. Determines tenant configuration, pricing model, and data-flow topology.</w:t>
      </w:r>
    </w:p>
    <w:p>
      <w:pPr>
        <w:spacing w:after="100" w:before="0" w:line="280"/>
      </w:pPr>
      <w:r>
        <w:rPr>
          <w:rFonts w:ascii="Arial" w:cs="Arial" w:eastAsia="Arial" w:hAnsi="Arial"/>
          <w:b/>
          <w:bCs/>
          <w:sz w:val="22"/>
          <w:szCs w:val="22"/>
        </w:rPr>
        <w:t xml:space="preserve">Determination — </w:t>
      </w:r>
      <w:r>
        <w:rPr>
          <w:rFonts w:ascii="Arial" w:cs="Arial" w:eastAsia="Arial" w:hAnsi="Arial"/>
          <w:sz w:val="22"/>
          <w:szCs w:val="22"/>
        </w:rPr>
        <w:t xml:space="preserve">Output of the COB primacy engine: primary payer, secondary payer, controlling rule, rationale, confidence. Each determination is signed by an analyst before any recovery action.</w:t>
      </w:r>
    </w:p>
    <w:p>
      <w:pPr>
        <w:spacing w:after="100" w:before="0" w:line="280"/>
      </w:pPr>
      <w:r>
        <w:rPr>
          <w:rFonts w:ascii="Arial" w:cs="Arial" w:eastAsia="Arial" w:hAnsi="Arial"/>
          <w:b/>
          <w:bCs/>
          <w:sz w:val="22"/>
          <w:szCs w:val="22"/>
        </w:rPr>
        <w:t xml:space="preserve">ERISA preemption — </w:t>
      </w:r>
      <w:r>
        <w:rPr>
          <w:rFonts w:ascii="Arial" w:cs="Arial" w:eastAsia="Arial" w:hAnsi="Arial"/>
          <w:sz w:val="22"/>
          <w:szCs w:val="22"/>
        </w:rPr>
        <w:t xml:space="preserve">Federal preemption of state insurance law for self-funded employer health plans. Affects whether state doctrines (made-whole, common-fund, comparative negligence) apply to a given recovery.</w:t>
      </w:r>
    </w:p>
    <w:p>
      <w:pPr>
        <w:spacing w:after="100" w:before="0" w:line="280"/>
      </w:pPr>
      <w:r>
        <w:rPr>
          <w:rFonts w:ascii="Arial" w:cs="Arial" w:eastAsia="Arial" w:hAnsi="Arial"/>
          <w:b/>
          <w:bCs/>
          <w:sz w:val="22"/>
          <w:szCs w:val="22"/>
        </w:rPr>
        <w:t xml:space="preserve">MSA — </w:t>
      </w:r>
      <w:r>
        <w:rPr>
          <w:rFonts w:ascii="Arial" w:cs="Arial" w:eastAsia="Arial" w:hAnsi="Arial"/>
          <w:sz w:val="22"/>
          <w:szCs w:val="22"/>
        </w:rPr>
        <w:t xml:space="preserve">Master Services Agreement. Governs the overall commercial relationship; specific engagements are scoped in SOWs.</w:t>
      </w:r>
    </w:p>
    <w:p>
      <w:pPr>
        <w:spacing w:after="100" w:before="0" w:line="280"/>
      </w:pPr>
      <w:r>
        <w:rPr>
          <w:rFonts w:ascii="Arial" w:cs="Arial" w:eastAsia="Arial" w:hAnsi="Arial"/>
          <w:b/>
          <w:bCs/>
          <w:sz w:val="22"/>
          <w:szCs w:val="22"/>
        </w:rPr>
        <w:t xml:space="preserve">Pilot batch — </w:t>
      </w:r>
      <w:r>
        <w:rPr>
          <w:rFonts w:ascii="Arial" w:cs="Arial" w:eastAsia="Arial" w:hAnsi="Arial"/>
          <w:sz w:val="22"/>
          <w:szCs w:val="22"/>
        </w:rPr>
        <w:t xml:space="preserve">10–25 real claims processed during the Go-live phase to validate the configuration before full cutover.</w:t>
      </w:r>
    </w:p>
    <w:p>
      <w:pPr>
        <w:spacing w:after="100" w:before="0" w:line="280"/>
      </w:pPr>
      <w:r>
        <w:rPr>
          <w:rFonts w:ascii="Arial" w:cs="Arial" w:eastAsia="Arial" w:hAnsi="Arial"/>
          <w:b/>
          <w:bCs/>
          <w:sz w:val="22"/>
          <w:szCs w:val="22"/>
        </w:rPr>
        <w:t xml:space="preserve">Rule capture — </w:t>
      </w:r>
      <w:r>
        <w:rPr>
          <w:rFonts w:ascii="Arial" w:cs="Arial" w:eastAsia="Arial" w:hAnsi="Arial"/>
          <w:sz w:val="22"/>
          <w:szCs w:val="22"/>
        </w:rPr>
        <w:t xml:space="preserve">Phase 3 activity in which the analyst lead and customer's subrogation team translate plan-document COB and subrogation provisions into engine configuration.</w:t>
      </w:r>
    </w:p>
    <w:p>
      <w:pPr>
        <w:spacing w:after="100" w:before="0" w:line="280"/>
      </w:pPr>
      <w:r>
        <w:rPr>
          <w:rFonts w:ascii="Arial" w:cs="Arial" w:eastAsia="Arial" w:hAnsi="Arial"/>
          <w:b/>
          <w:bCs/>
          <w:sz w:val="22"/>
          <w:szCs w:val="22"/>
        </w:rPr>
        <w:t xml:space="preserve">SOW — </w:t>
      </w:r>
      <w:r>
        <w:rPr>
          <w:rFonts w:ascii="Arial" w:cs="Arial" w:eastAsia="Arial" w:hAnsi="Arial"/>
          <w:sz w:val="22"/>
          <w:szCs w:val="22"/>
        </w:rPr>
        <w:t xml:space="preserve">Statement of Work. Defines a specific engagement under the MSA umbrella: scope, deliverables, milestones, fees, success criteria.</w:t>
      </w:r>
    </w:p>
    <w:p>
      <w:pPr>
        <w:spacing w:after="100" w:before="0" w:line="280"/>
      </w:pPr>
      <w:r>
        <w:rPr>
          <w:rFonts w:ascii="Arial" w:cs="Arial" w:eastAsia="Arial" w:hAnsi="Arial"/>
          <w:b/>
          <w:bCs/>
          <w:sz w:val="22"/>
          <w:szCs w:val="22"/>
        </w:rPr>
        <w:t xml:space="preserve">SPD — </w:t>
      </w:r>
      <w:r>
        <w:rPr>
          <w:rFonts w:ascii="Arial" w:cs="Arial" w:eastAsia="Arial" w:hAnsi="Arial"/>
          <w:sz w:val="22"/>
          <w:szCs w:val="22"/>
        </w:rPr>
        <w:t xml:space="preserve">Summary Plan Description. ERISA-required document describing plan benefits, COB provisions, and subrogation rights. Primary source for Phase 0 SPD review and Phase 3 rule capture.</w:t>
      </w:r>
    </w:p>
    <w:p>
      <w:pPr>
        <w:spacing w:after="100" w:before="0" w:line="280"/>
      </w:pPr>
      <w:r>
        <w:rPr>
          <w:rFonts w:ascii="Arial" w:cs="Arial" w:eastAsia="Arial" w:hAnsi="Arial"/>
          <w:b/>
          <w:bCs/>
          <w:sz w:val="22"/>
          <w:szCs w:val="22"/>
        </w:rPr>
        <w:t xml:space="preserve">Wisconsin overlay — </w:t>
      </w:r>
      <w:r>
        <w:rPr>
          <w:rFonts w:ascii="Arial" w:cs="Arial" w:eastAsia="Arial" w:hAnsi="Arial"/>
          <w:sz w:val="22"/>
          <w:szCs w:val="22"/>
        </w:rPr>
        <w:t xml:space="preserve">Engine module applying Wisconsin-specific COB and subrogation law: made-whole doctrine, comparative negligence, common-fund pro-rata, and Wis. Admin. Code § Ins 3.40 ordering rules.</w:t>
      </w:r>
    </w:p>
    <w:p>
      <w:pPr>
        <w:spacing w:after="100" w:before="200" w:line="280"/>
      </w:pPr>
      <w:r>
        <w:rPr>
          <w:rFonts w:ascii="Arial" w:cs="Arial" w:eastAsia="Arial" w:hAnsi="Arial"/>
          <w:b/>
          <w:bCs/>
          <w:color w:val="475569"/>
          <w:sz w:val="22"/>
          <w:szCs w:val="22"/>
        </w:rPr>
        <w:t xml:space="preserve">Cross-references: </w:t>
      </w:r>
      <w:r>
        <w:rPr>
          <w:rFonts w:ascii="Arial" w:cs="Arial" w:eastAsia="Arial" w:hAnsi="Arial"/>
          <w:i/>
          <w:iCs/>
          <w:color w:val="475569"/>
          <w:sz w:val="18"/>
          <w:szCs w:val="18"/>
        </w:rPr>
        <w:t xml:space="preserve">COB Flow Product Spec §§ 4, 6, 11, 14; GTM Roadmap Phase 0–6; SPD Review Template; Wis. Admin. Code § Ins 3.40; Wis. Stat. §§ 632.32, 631.43, 895.045.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40"/>
      </w:pPr>
    </w:lvl>
    <w:lvl w:ilvl="1" w15:tentative="1">
      <w:start w:val="1"/>
      <w:numFmt w:val="bullet"/>
      <w:lvlText w:val="◦"/>
      <w:lvlJc w:val="left"/>
      <w:pPr>
        <w:ind w:left="9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d4ed8"/>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1d4ed8"/>
      <w:sz w:val="26"/>
      <w:szCs w:val="26"/>
    </w:rPr>
  </w:style>
  <w:style w:type="paragraph" w:styleId="Heading3">
    <w:name w:val="Heading 3"/>
    <w:basedOn w:val="Normal"/>
    <w:next w:val="Normal"/>
    <w:qFormat/>
    <w:pPr>
      <w:spacing w:after="80" w:before="140"/>
      <w:outlineLvl w:val="2"/>
    </w:pPr>
    <w:rPr>
      <w:rFonts w:ascii="Arial" w:cs="Arial" w:eastAsia="Arial" w:hAnsi="Arial"/>
      <w:b/>
      <w:bCs/>
      <w:color w:val="47556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2026-05-17T13:46:22.367Z</dcterms:created>
  <dcterms:modified xsi:type="dcterms:W3CDTF">2026-05-17T13:46:22.368Z</dcterms:modified>
</cp:coreProperties>
</file>

<file path=docProps/custom.xml><?xml version="1.0" encoding="utf-8"?>
<Properties xmlns="http://schemas.openxmlformats.org/officeDocument/2006/custom-properties" xmlns:vt="http://schemas.openxmlformats.org/officeDocument/2006/docPropsVTypes"/>
</file>