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COB Flow · SPD Review Template</w:t>
      </w:r>
    </w:p>
    <w:p>
      <w:pPr>
        <w:tabs>
          <w:tab w:val="right" w:pos="10800"/>
        </w:tabs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Plan name: </w:t>
      </w:r>
      <w:r>
        <w:rPr>
          <w:rFonts w:ascii="Arial" w:cs="Arial" w:eastAsia="Arial" w:hAnsi="Arial"/>
          <w:color w:val="475569"/>
          <w:sz w:val="20"/>
          <w:szCs w:val="20"/>
        </w:rPr>
        <w:t xml:space="preserve">__________________________________________________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	Reviewer: </w:t>
      </w:r>
      <w:r>
        <w:rPr>
          <w:rFonts w:ascii="Arial" w:cs="Arial" w:eastAsia="Arial" w:hAnsi="Arial"/>
          <w:color w:val="475569"/>
          <w:sz w:val="20"/>
          <w:szCs w:val="20"/>
        </w:rPr>
        <w:t xml:space="preserve">____________________</w:t>
      </w:r>
    </w:p>
    <w:p>
      <w:pPr>
        <w:pBdr>
          <w:bottom w:val="single" w:color="475569" w:sz="6" w:space="3"/>
        </w:pBdr>
        <w:tabs>
          <w:tab w:val="right" w:pos="10800"/>
        </w:tabs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Plan year: </w:t>
      </w:r>
      <w:r>
        <w:rPr>
          <w:rFonts w:ascii="Arial" w:cs="Arial" w:eastAsia="Arial" w:hAnsi="Arial"/>
          <w:color w:val="475569"/>
          <w:sz w:val="20"/>
          <w:szCs w:val="20"/>
        </w:rPr>
        <w:t xml:space="preserve">_______________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    Date of review: </w:t>
      </w:r>
      <w:r>
        <w:rPr>
          <w:rFonts w:ascii="Arial" w:cs="Arial" w:eastAsia="Arial" w:hAnsi="Arial"/>
          <w:color w:val="475569"/>
          <w:sz w:val="20"/>
          <w:szCs w:val="20"/>
        </w:rPr>
        <w:t xml:space="preserve">_______________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	SPD source: </w:t>
      </w:r>
      <w:r>
        <w:rPr>
          <w:rFonts w:ascii="Arial" w:cs="Arial" w:eastAsia="Arial" w:hAnsi="Arial"/>
          <w:color w:val="475569"/>
          <w:sz w:val="20"/>
          <w:szCs w:val="20"/>
        </w:rPr>
        <w:t xml:space="preserve">____________________</w:t>
      </w:r>
    </w:p>
    <w:p>
      <w:pPr>
        <w:pBdr>
          <w:bottom w:val="single" w:color="1d4ed8" w:sz="6" w:space="1"/>
        </w:pBdr>
        <w:spacing w:after="80" w:before="160"/>
      </w:pPr>
      <w:r>
        <w:rPr>
          <w:rFonts w:ascii="Arial" w:cs="Arial" w:eastAsia="Arial" w:hAnsi="Arial"/>
          <w:b/>
          <w:bCs/>
          <w:color w:val="1d4ed8"/>
          <w:sz w:val="22"/>
          <w:szCs w:val="22"/>
        </w:rPr>
        <w:t xml:space="preserve">1. Plan identity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Plan type:  </w:t>
      </w:r>
      <w:r>
        <w:rPr>
          <w:rFonts w:ascii="Arial" w:cs="Arial" w:eastAsia="Arial" w:hAnsi="Arial"/>
          <w:sz w:val="20"/>
          <w:szCs w:val="20"/>
        </w:rPr>
        <w:t xml:space="preserve">☐ </w:t>
      </w:r>
      <w:r>
        <w:rPr>
          <w:rFonts w:ascii="Arial" w:cs="Arial" w:eastAsia="Arial" w:hAnsi="Arial"/>
          <w:sz w:val="20"/>
          <w:szCs w:val="20"/>
        </w:rPr>
        <w:t xml:space="preserve">Fully insured (subject to Wis. Admin. Code Ins 3.40)</w:t>
      </w:r>
      <w:r>
        <w:rPr>
          <w:rFonts w:ascii="Arial" w:cs="Arial" w:eastAsia="Arial" w:hAnsi="Arial"/>
          <w:sz w:val="20"/>
          <w:szCs w:val="20"/>
        </w:rPr>
        <w:t xml:space="preserve">    ☐ </w:t>
      </w:r>
      <w:r>
        <w:rPr>
          <w:rFonts w:ascii="Arial" w:cs="Arial" w:eastAsia="Arial" w:hAnsi="Arial"/>
          <w:sz w:val="20"/>
          <w:szCs w:val="20"/>
        </w:rPr>
        <w:t xml:space="preserve">ERISA self-funded</w:t>
      </w:r>
      <w:r>
        <w:rPr>
          <w:rFonts w:ascii="Arial" w:cs="Arial" w:eastAsia="Arial" w:hAnsi="Arial"/>
          <w:sz w:val="20"/>
          <w:szCs w:val="20"/>
        </w:rPr>
        <w:t xml:space="preserve">    ☐ </w:t>
      </w:r>
      <w:r>
        <w:rPr>
          <w:rFonts w:ascii="Arial" w:cs="Arial" w:eastAsia="Arial" w:hAnsi="Arial"/>
          <w:sz w:val="20"/>
          <w:szCs w:val="20"/>
        </w:rPr>
        <w:t xml:space="preserve">Government / multi-employer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Member population:  </w:t>
      </w:r>
      <w:r>
        <w:rPr>
          <w:rFonts w:ascii="Arial" w:cs="Arial" w:eastAsia="Arial" w:hAnsi="Arial"/>
          <w:sz w:val="20"/>
          <w:szCs w:val="20"/>
        </w:rPr>
        <w:t xml:space="preserve">☐ </w:t>
      </w:r>
      <w:r>
        <w:rPr>
          <w:rFonts w:ascii="Arial" w:cs="Arial" w:eastAsia="Arial" w:hAnsi="Arial"/>
          <w:sz w:val="20"/>
          <w:szCs w:val="20"/>
        </w:rPr>
        <w:t xml:space="preserve">Employer-sponsored group</w:t>
      </w:r>
      <w:r>
        <w:rPr>
          <w:rFonts w:ascii="Arial" w:cs="Arial" w:eastAsia="Arial" w:hAnsi="Arial"/>
          <w:sz w:val="20"/>
          <w:szCs w:val="20"/>
        </w:rPr>
        <w:t xml:space="preserve">    ☐ </w:t>
      </w:r>
      <w:r>
        <w:rPr>
          <w:rFonts w:ascii="Arial" w:cs="Arial" w:eastAsia="Arial" w:hAnsi="Arial"/>
          <w:sz w:val="20"/>
          <w:szCs w:val="20"/>
        </w:rPr>
        <w:t xml:space="preserve">Individual marketplace</w:t>
      </w:r>
      <w:r>
        <w:rPr>
          <w:rFonts w:ascii="Arial" w:cs="Arial" w:eastAsia="Arial" w:hAnsi="Arial"/>
          <w:sz w:val="20"/>
          <w:szCs w:val="20"/>
        </w:rPr>
        <w:t xml:space="preserve">    ☐ </w:t>
      </w:r>
      <w:r>
        <w:rPr>
          <w:rFonts w:ascii="Arial" w:cs="Arial" w:eastAsia="Arial" w:hAnsi="Arial"/>
          <w:sz w:val="20"/>
          <w:szCs w:val="20"/>
        </w:rPr>
        <w:t xml:space="preserve">Other:</w:t>
      </w:r>
    </w:p>
    <w:p>
      <w:pPr>
        <w:tabs>
          <w:tab w:val="right" w:pos="10800"/>
        </w:tabs>
        <w:spacing w:after="50" w:before="0"/>
      </w:pPr>
      <w:r>
        <w:rPr>
          <w:rFonts w:ascii="Arial" w:cs="Arial" w:eastAsia="Arial" w:hAnsi="Arial"/>
          <w:sz w:val="20"/>
          <w:szCs w:val="20"/>
        </w:rPr>
        <w:t xml:space="preserve">Underwriter / TPA / administrator:</w:t>
      </w:r>
      <w:r>
        <w:rPr>
          <w:rFonts w:ascii="Arial" w:cs="Arial" w:eastAsia="Arial" w:hAnsi="Arial"/>
          <w:color w:val="475569"/>
          <w:sz w:val="20"/>
          <w:szCs w:val="20"/>
        </w:rPr>
        <w:t xml:space="preserve">	____________________________________________________________</w:t>
      </w:r>
    </w:p>
    <w:p>
      <w:pPr>
        <w:pBdr>
          <w:bottom w:val="single" w:color="1d4ed8" w:sz="6" w:space="1"/>
        </w:pBdr>
        <w:spacing w:after="80" w:before="160"/>
      </w:pPr>
      <w:r>
        <w:rPr>
          <w:rFonts w:ascii="Arial" w:cs="Arial" w:eastAsia="Arial" w:hAnsi="Arial"/>
          <w:b/>
          <w:bCs/>
          <w:color w:val="1d4ed8"/>
          <w:sz w:val="22"/>
          <w:szCs w:val="22"/>
        </w:rPr>
        <w:t xml:space="preserve">2. COB provision (SPD section / page: ____)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Tracks Ins 3.40 Appendix A model language:  </w:t>
      </w:r>
      <w:r>
        <w:rPr>
          <w:rFonts w:ascii="Arial" w:cs="Arial" w:eastAsia="Arial" w:hAnsi="Arial"/>
          <w:sz w:val="20"/>
          <w:szCs w:val="20"/>
        </w:rPr>
        <w:t xml:space="preserve">☐ </w:t>
      </w:r>
      <w:r>
        <w:rPr>
          <w:rFonts w:ascii="Arial" w:cs="Arial" w:eastAsia="Arial" w:hAnsi="Arial"/>
          <w:sz w:val="20"/>
          <w:szCs w:val="20"/>
        </w:rPr>
        <w:t xml:space="preserve">Yes</w:t>
      </w:r>
      <w:r>
        <w:rPr>
          <w:rFonts w:ascii="Arial" w:cs="Arial" w:eastAsia="Arial" w:hAnsi="Arial"/>
          <w:sz w:val="20"/>
          <w:szCs w:val="20"/>
        </w:rPr>
        <w:t xml:space="preserve">    ☐ </w:t>
      </w:r>
      <w:r>
        <w:rPr>
          <w:rFonts w:ascii="Arial" w:cs="Arial" w:eastAsia="Arial" w:hAnsi="Arial"/>
          <w:sz w:val="20"/>
          <w:szCs w:val="20"/>
        </w:rPr>
        <w:t xml:space="preserve">No</w:t>
      </w:r>
      <w:r>
        <w:rPr>
          <w:rFonts w:ascii="Arial" w:cs="Arial" w:eastAsia="Arial" w:hAnsi="Arial"/>
          <w:sz w:val="20"/>
          <w:szCs w:val="20"/>
        </w:rPr>
        <w:t xml:space="preserve">    ☐ </w:t>
      </w:r>
      <w:r>
        <w:rPr>
          <w:rFonts w:ascii="Arial" w:cs="Arial" w:eastAsia="Arial" w:hAnsi="Arial"/>
          <w:sz w:val="20"/>
          <w:szCs w:val="20"/>
        </w:rPr>
        <w:t xml:space="preserve">Modified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Order of benefit determination rules present:  </w:t>
      </w:r>
      <w:r>
        <w:rPr>
          <w:rFonts w:ascii="Arial" w:cs="Arial" w:eastAsia="Arial" w:hAnsi="Arial"/>
          <w:sz w:val="20"/>
          <w:szCs w:val="20"/>
        </w:rPr>
        <w:t xml:space="preserve">☐ </w:t>
      </w:r>
      <w:r>
        <w:rPr>
          <w:rFonts w:ascii="Arial" w:cs="Arial" w:eastAsia="Arial" w:hAnsi="Arial"/>
          <w:sz w:val="20"/>
          <w:szCs w:val="20"/>
        </w:rPr>
        <w:t xml:space="preserve">Yes</w:t>
      </w:r>
      <w:r>
        <w:rPr>
          <w:rFonts w:ascii="Arial" w:cs="Arial" w:eastAsia="Arial" w:hAnsi="Arial"/>
          <w:sz w:val="20"/>
          <w:szCs w:val="20"/>
        </w:rPr>
        <w:t xml:space="preserve">    ☐ </w:t>
      </w:r>
      <w:r>
        <w:rPr>
          <w:rFonts w:ascii="Arial" w:cs="Arial" w:eastAsia="Arial" w:hAnsi="Arial"/>
          <w:sz w:val="20"/>
          <w:szCs w:val="20"/>
        </w:rPr>
        <w:t xml:space="preserve">No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Continuation coverage rule (Ins 3.40(11)(b)5m) included:  </w:t>
      </w:r>
      <w:r>
        <w:rPr>
          <w:rFonts w:ascii="Arial" w:cs="Arial" w:eastAsia="Arial" w:hAnsi="Arial"/>
          <w:sz w:val="20"/>
          <w:szCs w:val="20"/>
        </w:rPr>
        <w:t xml:space="preserve">☐ </w:t>
      </w:r>
      <w:r>
        <w:rPr>
          <w:rFonts w:ascii="Arial" w:cs="Arial" w:eastAsia="Arial" w:hAnsi="Arial"/>
          <w:sz w:val="20"/>
          <w:szCs w:val="20"/>
        </w:rPr>
        <w:t xml:space="preserve">Yes</w:t>
      </w:r>
      <w:r>
        <w:rPr>
          <w:rFonts w:ascii="Arial" w:cs="Arial" w:eastAsia="Arial" w:hAnsi="Arial"/>
          <w:sz w:val="20"/>
          <w:szCs w:val="20"/>
        </w:rPr>
        <w:t xml:space="preserve">    ☐ </w:t>
      </w:r>
      <w:r>
        <w:rPr>
          <w:rFonts w:ascii="Arial" w:cs="Arial" w:eastAsia="Arial" w:hAnsi="Arial"/>
          <w:sz w:val="20"/>
          <w:szCs w:val="20"/>
        </w:rPr>
        <w:t xml:space="preserve">No</w:t>
      </w:r>
      <w:r>
        <w:rPr>
          <w:rFonts w:ascii="Arial" w:cs="Arial" w:eastAsia="Arial" w:hAnsi="Arial"/>
          <w:sz w:val="20"/>
          <w:szCs w:val="20"/>
        </w:rPr>
        <w:t xml:space="preserve">    ☐ </w:t>
      </w:r>
      <w:r>
        <w:rPr>
          <w:rFonts w:ascii="Arial" w:cs="Arial" w:eastAsia="Arial" w:hAnsi="Arial"/>
          <w:sz w:val="20"/>
          <w:szCs w:val="20"/>
        </w:rPr>
        <w:t xml:space="preserve">Silent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"Excess" or "always secondary" clause:  </w:t>
      </w:r>
      <w:r>
        <w:rPr>
          <w:rFonts w:ascii="Arial" w:cs="Arial" w:eastAsia="Arial" w:hAnsi="Arial"/>
          <w:sz w:val="20"/>
          <w:szCs w:val="20"/>
        </w:rPr>
        <w:t xml:space="preserve">☐ </w:t>
      </w:r>
      <w:r>
        <w:rPr>
          <w:rFonts w:ascii="Arial" w:cs="Arial" w:eastAsia="Arial" w:hAnsi="Arial"/>
          <w:sz w:val="20"/>
          <w:szCs w:val="20"/>
        </w:rPr>
        <w:t xml:space="preserve">Yes — flag for Ins 3.40(10) review</w:t>
      </w:r>
      <w:r>
        <w:rPr>
          <w:rFonts w:ascii="Arial" w:cs="Arial" w:eastAsia="Arial" w:hAnsi="Arial"/>
          <w:sz w:val="20"/>
          <w:szCs w:val="20"/>
        </w:rPr>
        <w:t xml:space="preserve">    ☐ </w:t>
      </w:r>
      <w:r>
        <w:rPr>
          <w:rFonts w:ascii="Arial" w:cs="Arial" w:eastAsia="Arial" w:hAnsi="Arial"/>
          <w:sz w:val="20"/>
          <w:szCs w:val="20"/>
        </w:rPr>
        <w:t xml:space="preserve">No</w:t>
      </w:r>
    </w:p>
    <w:p>
      <w:pPr>
        <w:tabs>
          <w:tab w:val="right" w:pos="10800"/>
        </w:tabs>
        <w:spacing w:after="50" w:before="0"/>
      </w:pPr>
      <w:r>
        <w:rPr>
          <w:rFonts w:ascii="Arial" w:cs="Arial" w:eastAsia="Arial" w:hAnsi="Arial"/>
          <w:sz w:val="20"/>
          <w:szCs w:val="20"/>
        </w:rPr>
        <w:t xml:space="preserve">Notable deviations / concerns:</w:t>
      </w:r>
      <w:r>
        <w:rPr>
          <w:rFonts w:ascii="Arial" w:cs="Arial" w:eastAsia="Arial" w:hAnsi="Arial"/>
          <w:color w:val="475569"/>
          <w:sz w:val="20"/>
          <w:szCs w:val="20"/>
        </w:rPr>
        <w:t xml:space="preserve">	____________________________________________________________</w:t>
      </w:r>
    </w:p>
    <w:p>
      <w:pPr>
        <w:pBdr>
          <w:bottom w:val="single" w:color="1d4ed8" w:sz="6" w:space="1"/>
        </w:pBdr>
        <w:spacing w:after="80" w:before="160"/>
      </w:pPr>
      <w:r>
        <w:rPr>
          <w:rFonts w:ascii="Arial" w:cs="Arial" w:eastAsia="Arial" w:hAnsi="Arial"/>
          <w:b/>
          <w:bCs/>
          <w:color w:val="1d4ed8"/>
          <w:sz w:val="22"/>
          <w:szCs w:val="22"/>
        </w:rPr>
        <w:t xml:space="preserve">3. Subrogation / right of recovery (SPD section / page: ____)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Right of recovery language explicit:  </w:t>
      </w:r>
      <w:r>
        <w:rPr>
          <w:rFonts w:ascii="Arial" w:cs="Arial" w:eastAsia="Arial" w:hAnsi="Arial"/>
          <w:sz w:val="20"/>
          <w:szCs w:val="20"/>
        </w:rPr>
        <w:t xml:space="preserve">☐ </w:t>
      </w:r>
      <w:r>
        <w:rPr>
          <w:rFonts w:ascii="Arial" w:cs="Arial" w:eastAsia="Arial" w:hAnsi="Arial"/>
          <w:sz w:val="20"/>
          <w:szCs w:val="20"/>
        </w:rPr>
        <w:t xml:space="preserve">Yes</w:t>
      </w:r>
      <w:r>
        <w:rPr>
          <w:rFonts w:ascii="Arial" w:cs="Arial" w:eastAsia="Arial" w:hAnsi="Arial"/>
          <w:sz w:val="20"/>
          <w:szCs w:val="20"/>
        </w:rPr>
        <w:t xml:space="preserve">    ☐ </w:t>
      </w:r>
      <w:r>
        <w:rPr>
          <w:rFonts w:ascii="Arial" w:cs="Arial" w:eastAsia="Arial" w:hAnsi="Arial"/>
          <w:sz w:val="20"/>
          <w:szCs w:val="20"/>
        </w:rPr>
        <w:t xml:space="preserve">No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Made-whole doctrine (Rimes, Vogt):  </w:t>
      </w:r>
      <w:r>
        <w:rPr>
          <w:rFonts w:ascii="Arial" w:cs="Arial" w:eastAsia="Arial" w:hAnsi="Arial"/>
          <w:sz w:val="20"/>
          <w:szCs w:val="20"/>
        </w:rPr>
        <w:t xml:space="preserve">☐ </w:t>
      </w:r>
      <w:r>
        <w:rPr>
          <w:rFonts w:ascii="Arial" w:cs="Arial" w:eastAsia="Arial" w:hAnsi="Arial"/>
          <w:sz w:val="20"/>
          <w:szCs w:val="20"/>
        </w:rPr>
        <w:t xml:space="preserve">Preserved</w:t>
      </w:r>
      <w:r>
        <w:rPr>
          <w:rFonts w:ascii="Arial" w:cs="Arial" w:eastAsia="Arial" w:hAnsi="Arial"/>
          <w:sz w:val="20"/>
          <w:szCs w:val="20"/>
        </w:rPr>
        <w:t xml:space="preserve">    ☐ </w:t>
      </w:r>
      <w:r>
        <w:rPr>
          <w:rFonts w:ascii="Arial" w:cs="Arial" w:eastAsia="Arial" w:hAnsi="Arial"/>
          <w:sz w:val="20"/>
          <w:szCs w:val="20"/>
        </w:rPr>
        <w:t xml:space="preserve">Disclaimed</w:t>
      </w:r>
      <w:r>
        <w:rPr>
          <w:rFonts w:ascii="Arial" w:cs="Arial" w:eastAsia="Arial" w:hAnsi="Arial"/>
          <w:sz w:val="20"/>
          <w:szCs w:val="20"/>
        </w:rPr>
        <w:t xml:space="preserve">    ☐ </w:t>
      </w:r>
      <w:r>
        <w:rPr>
          <w:rFonts w:ascii="Arial" w:cs="Arial" w:eastAsia="Arial" w:hAnsi="Arial"/>
          <w:sz w:val="20"/>
          <w:szCs w:val="20"/>
        </w:rPr>
        <w:t xml:space="preserve">Silent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Common-fund doctrine (Petta):  </w:t>
      </w:r>
      <w:r>
        <w:rPr>
          <w:rFonts w:ascii="Arial" w:cs="Arial" w:eastAsia="Arial" w:hAnsi="Arial"/>
          <w:sz w:val="20"/>
          <w:szCs w:val="20"/>
        </w:rPr>
        <w:t xml:space="preserve">☐ </w:t>
      </w:r>
      <w:r>
        <w:rPr>
          <w:rFonts w:ascii="Arial" w:cs="Arial" w:eastAsia="Arial" w:hAnsi="Arial"/>
          <w:sz w:val="20"/>
          <w:szCs w:val="20"/>
        </w:rPr>
        <w:t xml:space="preserve">Preserved</w:t>
      </w:r>
      <w:r>
        <w:rPr>
          <w:rFonts w:ascii="Arial" w:cs="Arial" w:eastAsia="Arial" w:hAnsi="Arial"/>
          <w:sz w:val="20"/>
          <w:szCs w:val="20"/>
        </w:rPr>
        <w:t xml:space="preserve">    ☐ </w:t>
      </w:r>
      <w:r>
        <w:rPr>
          <w:rFonts w:ascii="Arial" w:cs="Arial" w:eastAsia="Arial" w:hAnsi="Arial"/>
          <w:sz w:val="20"/>
          <w:szCs w:val="20"/>
        </w:rPr>
        <w:t xml:space="preserve">Disclaimed</w:t>
      </w:r>
      <w:r>
        <w:rPr>
          <w:rFonts w:ascii="Arial" w:cs="Arial" w:eastAsia="Arial" w:hAnsi="Arial"/>
          <w:sz w:val="20"/>
          <w:szCs w:val="20"/>
        </w:rPr>
        <w:t xml:space="preserve">    ☐ </w:t>
      </w:r>
      <w:r>
        <w:rPr>
          <w:rFonts w:ascii="Arial" w:cs="Arial" w:eastAsia="Arial" w:hAnsi="Arial"/>
          <w:sz w:val="20"/>
          <w:szCs w:val="20"/>
        </w:rPr>
        <w:t xml:space="preserve">Silent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Member cooperation clause:  </w:t>
      </w:r>
      <w:r>
        <w:rPr>
          <w:rFonts w:ascii="Arial" w:cs="Arial" w:eastAsia="Arial" w:hAnsi="Arial"/>
          <w:sz w:val="20"/>
          <w:szCs w:val="20"/>
        </w:rPr>
        <w:t xml:space="preserve">☐ </w:t>
      </w:r>
      <w:r>
        <w:rPr>
          <w:rFonts w:ascii="Arial" w:cs="Arial" w:eastAsia="Arial" w:hAnsi="Arial"/>
          <w:sz w:val="20"/>
          <w:szCs w:val="20"/>
        </w:rPr>
        <w:t xml:space="preserve">Yes</w:t>
      </w:r>
      <w:r>
        <w:rPr>
          <w:rFonts w:ascii="Arial" w:cs="Arial" w:eastAsia="Arial" w:hAnsi="Arial"/>
          <w:sz w:val="20"/>
          <w:szCs w:val="20"/>
        </w:rPr>
        <w:t xml:space="preserve">    ☐ </w:t>
      </w:r>
      <w:r>
        <w:rPr>
          <w:rFonts w:ascii="Arial" w:cs="Arial" w:eastAsia="Arial" w:hAnsi="Arial"/>
          <w:sz w:val="20"/>
          <w:szCs w:val="20"/>
        </w:rPr>
        <w:t xml:space="preserve">No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Reimbursement / subrogation framing:  </w:t>
      </w:r>
      <w:r>
        <w:rPr>
          <w:rFonts w:ascii="Arial" w:cs="Arial" w:eastAsia="Arial" w:hAnsi="Arial"/>
          <w:sz w:val="20"/>
          <w:szCs w:val="20"/>
        </w:rPr>
        <w:t xml:space="preserve">☐ </w:t>
      </w:r>
      <w:r>
        <w:rPr>
          <w:rFonts w:ascii="Arial" w:cs="Arial" w:eastAsia="Arial" w:hAnsi="Arial"/>
          <w:sz w:val="20"/>
          <w:szCs w:val="20"/>
        </w:rPr>
        <w:t xml:space="preserve">Both</w:t>
      </w:r>
      <w:r>
        <w:rPr>
          <w:rFonts w:ascii="Arial" w:cs="Arial" w:eastAsia="Arial" w:hAnsi="Arial"/>
          <w:sz w:val="20"/>
          <w:szCs w:val="20"/>
        </w:rPr>
        <w:t xml:space="preserve">    ☐ </w:t>
      </w:r>
      <w:r>
        <w:rPr>
          <w:rFonts w:ascii="Arial" w:cs="Arial" w:eastAsia="Arial" w:hAnsi="Arial"/>
          <w:sz w:val="20"/>
          <w:szCs w:val="20"/>
        </w:rPr>
        <w:t xml:space="preserve">Subrogation only</w:t>
      </w:r>
      <w:r>
        <w:rPr>
          <w:rFonts w:ascii="Arial" w:cs="Arial" w:eastAsia="Arial" w:hAnsi="Arial"/>
          <w:sz w:val="20"/>
          <w:szCs w:val="20"/>
        </w:rPr>
        <w:t xml:space="preserve">    ☐ </w:t>
      </w:r>
      <w:r>
        <w:rPr>
          <w:rFonts w:ascii="Arial" w:cs="Arial" w:eastAsia="Arial" w:hAnsi="Arial"/>
          <w:sz w:val="20"/>
          <w:szCs w:val="20"/>
        </w:rPr>
        <w:t xml:space="preserve">Reimbursement only</w:t>
      </w:r>
    </w:p>
    <w:p>
      <w:pPr>
        <w:pBdr>
          <w:bottom w:val="single" w:color="1d4ed8" w:sz="6" w:space="1"/>
        </w:pBdr>
        <w:spacing w:after="80" w:before="160"/>
      </w:pPr>
      <w:r>
        <w:rPr>
          <w:rFonts w:ascii="Arial" w:cs="Arial" w:eastAsia="Arial" w:hAnsi="Arial"/>
          <w:b/>
          <w:bCs/>
          <w:color w:val="1d4ed8"/>
          <w:sz w:val="22"/>
          <w:szCs w:val="22"/>
        </w:rPr>
        <w:t xml:space="preserve">4. Auto med-pay treatment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Plan priority vs. auto med-pay:  </w:t>
      </w:r>
      <w:r>
        <w:rPr>
          <w:rFonts w:ascii="Arial" w:cs="Arial" w:eastAsia="Arial" w:hAnsi="Arial"/>
          <w:sz w:val="20"/>
          <w:szCs w:val="20"/>
        </w:rPr>
        <w:t xml:space="preserve">☐ </w:t>
      </w:r>
      <w:r>
        <w:rPr>
          <w:rFonts w:ascii="Arial" w:cs="Arial" w:eastAsia="Arial" w:hAnsi="Arial"/>
          <w:sz w:val="20"/>
          <w:szCs w:val="20"/>
        </w:rPr>
        <w:t xml:space="preserve">Plan primary</w:t>
      </w:r>
      <w:r>
        <w:rPr>
          <w:rFonts w:ascii="Arial" w:cs="Arial" w:eastAsia="Arial" w:hAnsi="Arial"/>
          <w:sz w:val="20"/>
          <w:szCs w:val="20"/>
        </w:rPr>
        <w:t xml:space="preserve">    ☐ </w:t>
      </w:r>
      <w:r>
        <w:rPr>
          <w:rFonts w:ascii="Arial" w:cs="Arial" w:eastAsia="Arial" w:hAnsi="Arial"/>
          <w:sz w:val="20"/>
          <w:szCs w:val="20"/>
        </w:rPr>
        <w:t xml:space="preserve">Plan secondary</w:t>
      </w:r>
      <w:r>
        <w:rPr>
          <w:rFonts w:ascii="Arial" w:cs="Arial" w:eastAsia="Arial" w:hAnsi="Arial"/>
          <w:sz w:val="20"/>
          <w:szCs w:val="20"/>
        </w:rPr>
        <w:t xml:space="preserve">    ☐ </w:t>
      </w:r>
      <w:r>
        <w:rPr>
          <w:rFonts w:ascii="Arial" w:cs="Arial" w:eastAsia="Arial" w:hAnsi="Arial"/>
          <w:sz w:val="20"/>
          <w:szCs w:val="20"/>
        </w:rPr>
        <w:t xml:space="preserve">Silent / claim-by-claim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Exhaust auto med-pay first requirement:  </w:t>
      </w:r>
      <w:r>
        <w:rPr>
          <w:rFonts w:ascii="Arial" w:cs="Arial" w:eastAsia="Arial" w:hAnsi="Arial"/>
          <w:sz w:val="20"/>
          <w:szCs w:val="20"/>
        </w:rPr>
        <w:t xml:space="preserve">☐ </w:t>
      </w:r>
      <w:r>
        <w:rPr>
          <w:rFonts w:ascii="Arial" w:cs="Arial" w:eastAsia="Arial" w:hAnsi="Arial"/>
          <w:sz w:val="20"/>
          <w:szCs w:val="20"/>
        </w:rPr>
        <w:t xml:space="preserve">Yes</w:t>
      </w:r>
      <w:r>
        <w:rPr>
          <w:rFonts w:ascii="Arial" w:cs="Arial" w:eastAsia="Arial" w:hAnsi="Arial"/>
          <w:sz w:val="20"/>
          <w:szCs w:val="20"/>
        </w:rPr>
        <w:t xml:space="preserve">    ☐ </w:t>
      </w:r>
      <w:r>
        <w:rPr>
          <w:rFonts w:ascii="Arial" w:cs="Arial" w:eastAsia="Arial" w:hAnsi="Arial"/>
          <w:sz w:val="20"/>
          <w:szCs w:val="20"/>
        </w:rPr>
        <w:t xml:space="preserve">No</w:t>
      </w:r>
      <w:r>
        <w:rPr>
          <w:rFonts w:ascii="Arial" w:cs="Arial" w:eastAsia="Arial" w:hAnsi="Arial"/>
          <w:sz w:val="20"/>
          <w:szCs w:val="20"/>
        </w:rPr>
        <w:t xml:space="preserve">    ☐ </w:t>
      </w:r>
      <w:r>
        <w:rPr>
          <w:rFonts w:ascii="Arial" w:cs="Arial" w:eastAsia="Arial" w:hAnsi="Arial"/>
          <w:sz w:val="20"/>
          <w:szCs w:val="20"/>
        </w:rPr>
        <w:t xml:space="preserve">Silent</w:t>
      </w:r>
    </w:p>
    <w:p>
      <w:pPr>
        <w:pBdr>
          <w:bottom w:val="single" w:color="1d4ed8" w:sz="6" w:space="1"/>
        </w:pBdr>
        <w:spacing w:after="80" w:before="160"/>
      </w:pPr>
      <w:r>
        <w:rPr>
          <w:rFonts w:ascii="Arial" w:cs="Arial" w:eastAsia="Arial" w:hAnsi="Arial"/>
          <w:b/>
          <w:bCs/>
          <w:color w:val="1d4ed8"/>
          <w:sz w:val="22"/>
          <w:szCs w:val="22"/>
        </w:rPr>
        <w:t xml:space="preserve">5. Recovery legal handling model</w:t>
      </w:r>
    </w:p>
    <w:p>
      <w:pPr>
        <w:spacing w:after="40" w:before="0"/>
      </w:pPr>
      <w:r>
        <w:rPr>
          <w:rFonts w:ascii="Arial" w:cs="Arial" w:eastAsia="Arial" w:hAnsi="Arial"/>
          <w:i/>
          <w:iCs/>
          <w:color w:val="475569"/>
          <w:sz w:val="18"/>
          <w:szCs w:val="18"/>
        </w:rPr>
        <w:t xml:space="preserve">Most plans use one of the following models. Identify the prospect's mode — this drives how COB Flow fits in their stack.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Model:  </w:t>
      </w:r>
      <w:r>
        <w:rPr>
          <w:rFonts w:ascii="Arial" w:cs="Arial" w:eastAsia="Arial" w:hAnsi="Arial"/>
          <w:sz w:val="20"/>
          <w:szCs w:val="20"/>
        </w:rPr>
        <w:t xml:space="preserve">☐ </w:t>
      </w:r>
      <w:r>
        <w:rPr>
          <w:rFonts w:ascii="Arial" w:cs="Arial" w:eastAsia="Arial" w:hAnsi="Arial"/>
          <w:sz w:val="20"/>
          <w:szCs w:val="20"/>
        </w:rPr>
        <w:t xml:space="preserve">In-house subrogation counsel</w:t>
      </w:r>
      <w:r>
        <w:rPr>
          <w:rFonts w:ascii="Arial" w:cs="Arial" w:eastAsia="Arial" w:hAnsi="Arial"/>
          <w:sz w:val="20"/>
          <w:szCs w:val="20"/>
        </w:rPr>
        <w:t xml:space="preserve">    ☐ </w:t>
      </w:r>
      <w:r>
        <w:rPr>
          <w:rFonts w:ascii="Arial" w:cs="Arial" w:eastAsia="Arial" w:hAnsi="Arial"/>
          <w:sz w:val="20"/>
          <w:szCs w:val="20"/>
        </w:rPr>
        <w:t xml:space="preserve">In-house claims staff + outside firm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  </w:t>
      </w:r>
      <w:r>
        <w:rPr>
          <w:rFonts w:ascii="Arial" w:cs="Arial" w:eastAsia="Arial" w:hAnsi="Arial"/>
          <w:sz w:val="20"/>
          <w:szCs w:val="20"/>
        </w:rPr>
        <w:t xml:space="preserve">☐ </w:t>
      </w:r>
      <w:r>
        <w:rPr>
          <w:rFonts w:ascii="Arial" w:cs="Arial" w:eastAsia="Arial" w:hAnsi="Arial"/>
          <w:sz w:val="20"/>
          <w:szCs w:val="20"/>
        </w:rPr>
        <w:t xml:space="preserve">Subrogation TPA / vendor with in-house attorney</w:t>
      </w:r>
      <w:r>
        <w:rPr>
          <w:rFonts w:ascii="Arial" w:cs="Arial" w:eastAsia="Arial" w:hAnsi="Arial"/>
          <w:sz w:val="20"/>
          <w:szCs w:val="20"/>
        </w:rPr>
        <w:t xml:space="preserve">    ☐ </w:t>
      </w:r>
      <w:r>
        <w:rPr>
          <w:rFonts w:ascii="Arial" w:cs="Arial" w:eastAsia="Arial" w:hAnsi="Arial"/>
          <w:sz w:val="20"/>
          <w:szCs w:val="20"/>
        </w:rPr>
        <w:t xml:space="preserve">Subrogation TPA / vendor + contracted outside firm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  </w:t>
      </w:r>
      <w:r>
        <w:rPr>
          <w:rFonts w:ascii="Arial" w:cs="Arial" w:eastAsia="Arial" w:hAnsi="Arial"/>
          <w:sz w:val="20"/>
          <w:szCs w:val="20"/>
        </w:rPr>
        <w:t xml:space="preserve">☐ </w:t>
      </w:r>
      <w:r>
        <w:rPr>
          <w:rFonts w:ascii="Arial" w:cs="Arial" w:eastAsia="Arial" w:hAnsi="Arial"/>
          <w:sz w:val="20"/>
          <w:szCs w:val="20"/>
        </w:rPr>
        <w:t xml:space="preserve">No dedicated recovery operation</w:t>
      </w:r>
    </w:p>
    <w:p>
      <w:pPr>
        <w:tabs>
          <w:tab w:val="right" w:pos="10800"/>
        </w:tabs>
        <w:spacing w:after="50" w:before="0"/>
      </w:pPr>
      <w:r>
        <w:rPr>
          <w:rFonts w:ascii="Arial" w:cs="Arial" w:eastAsia="Arial" w:hAnsi="Arial"/>
          <w:sz w:val="20"/>
          <w:szCs w:val="20"/>
        </w:rPr>
        <w:t xml:space="preserve">Named firm / vendor / contact (if known):</w:t>
      </w:r>
      <w:r>
        <w:rPr>
          <w:rFonts w:ascii="Arial" w:cs="Arial" w:eastAsia="Arial" w:hAnsi="Arial"/>
          <w:color w:val="475569"/>
          <w:sz w:val="20"/>
          <w:szCs w:val="20"/>
        </w:rPr>
        <w:t xml:space="preserve">	____________________________________________________________</w:t>
      </w:r>
    </w:p>
    <w:p>
      <w:pPr>
        <w:pBdr>
          <w:bottom w:val="single" w:color="1d4ed8" w:sz="6" w:space="1"/>
        </w:pBdr>
        <w:spacing w:after="80" w:before="160"/>
      </w:pPr>
      <w:r>
        <w:rPr>
          <w:rFonts w:ascii="Arial" w:cs="Arial" w:eastAsia="Arial" w:hAnsi="Arial"/>
          <w:b/>
          <w:bCs/>
          <w:color w:val="1d4ed8"/>
          <w:sz w:val="22"/>
          <w:szCs w:val="22"/>
        </w:rPr>
        <w:t xml:space="preserve">6. Red flags</w:t>
      </w:r>
    </w:p>
    <w:p>
      <w:pPr>
        <w:tabs>
          <w:tab w:val="right" w:pos="10800"/>
        </w:tabs>
        <w:spacing w:after="50" w:before="0"/>
      </w:pPr>
      <w:r>
        <w:rPr>
          <w:rFonts w:ascii="Arial" w:cs="Arial" w:eastAsia="Arial" w:hAnsi="Arial"/>
          <w:sz w:val="20"/>
          <w:szCs w:val="20"/>
        </w:rPr>
        <w:t xml:space="preserve">_</w:t>
      </w:r>
      <w:r>
        <w:rPr>
          <w:rFonts w:ascii="Arial" w:cs="Arial" w:eastAsia="Arial" w:hAnsi="Arial"/>
          <w:color w:val="475569"/>
          <w:sz w:val="20"/>
          <w:szCs w:val="20"/>
        </w:rPr>
        <w:t xml:space="preserve">	____________________________________________________________</w:t>
      </w:r>
    </w:p>
    <w:p>
      <w:pPr>
        <w:tabs>
          <w:tab w:val="right" w:pos="10800"/>
        </w:tabs>
        <w:spacing w:after="50" w:before="0"/>
      </w:pPr>
      <w:r>
        <w:rPr>
          <w:rFonts w:ascii="Arial" w:cs="Arial" w:eastAsia="Arial" w:hAnsi="Arial"/>
          <w:sz w:val="20"/>
          <w:szCs w:val="20"/>
        </w:rPr>
        <w:t xml:space="preserve">_</w:t>
      </w:r>
      <w:r>
        <w:rPr>
          <w:rFonts w:ascii="Arial" w:cs="Arial" w:eastAsia="Arial" w:hAnsi="Arial"/>
          <w:color w:val="475569"/>
          <w:sz w:val="20"/>
          <w:szCs w:val="20"/>
        </w:rPr>
        <w:t xml:space="preserve">	____________________________________________________________</w:t>
      </w:r>
    </w:p>
    <w:p>
      <w:pPr>
        <w:pBdr>
          <w:bottom w:val="single" w:color="1d4ed8" w:sz="6" w:space="1"/>
        </w:pBdr>
        <w:spacing w:after="80" w:before="160"/>
      </w:pPr>
      <w:r>
        <w:rPr>
          <w:rFonts w:ascii="Arial" w:cs="Arial" w:eastAsia="Arial" w:hAnsi="Arial"/>
          <w:b/>
          <w:bCs/>
          <w:color w:val="1d4ed8"/>
          <w:sz w:val="22"/>
          <w:szCs w:val="22"/>
        </w:rPr>
        <w:t xml:space="preserve">7. Tailored discovery interview questions (3–5)</w:t>
      </w:r>
    </w:p>
    <w:p>
      <w:pPr>
        <w:tabs>
          <w:tab w:val="right" w:pos="10800"/>
        </w:tabs>
        <w:spacing w:after="50" w:before="0"/>
      </w:pPr>
      <w:r>
        <w:rPr>
          <w:rFonts w:ascii="Arial" w:cs="Arial" w:eastAsia="Arial" w:hAnsi="Arial"/>
          <w:sz w:val="20"/>
          <w:szCs w:val="20"/>
        </w:rPr>
        <w:t xml:space="preserve">1.</w:t>
      </w:r>
      <w:r>
        <w:rPr>
          <w:rFonts w:ascii="Arial" w:cs="Arial" w:eastAsia="Arial" w:hAnsi="Arial"/>
          <w:color w:val="475569"/>
          <w:sz w:val="20"/>
          <w:szCs w:val="20"/>
        </w:rPr>
        <w:t xml:space="preserve">	____________________________________________________________</w:t>
      </w:r>
    </w:p>
    <w:p>
      <w:pPr>
        <w:tabs>
          <w:tab w:val="right" w:pos="10800"/>
        </w:tabs>
        <w:spacing w:after="50" w:before="0"/>
      </w:pPr>
      <w:r>
        <w:rPr>
          <w:rFonts w:ascii="Arial" w:cs="Arial" w:eastAsia="Arial" w:hAnsi="Arial"/>
          <w:sz w:val="20"/>
          <w:szCs w:val="20"/>
        </w:rPr>
        <w:t xml:space="preserve">2.</w:t>
      </w:r>
      <w:r>
        <w:rPr>
          <w:rFonts w:ascii="Arial" w:cs="Arial" w:eastAsia="Arial" w:hAnsi="Arial"/>
          <w:color w:val="475569"/>
          <w:sz w:val="20"/>
          <w:szCs w:val="20"/>
        </w:rPr>
        <w:t xml:space="preserve">	____________________________________________________________</w:t>
      </w:r>
    </w:p>
    <w:p>
      <w:pPr>
        <w:tabs>
          <w:tab w:val="right" w:pos="10800"/>
        </w:tabs>
        <w:spacing w:after="50" w:before="0"/>
      </w:pPr>
      <w:r>
        <w:rPr>
          <w:rFonts w:ascii="Arial" w:cs="Arial" w:eastAsia="Arial" w:hAnsi="Arial"/>
          <w:sz w:val="20"/>
          <w:szCs w:val="20"/>
        </w:rPr>
        <w:t xml:space="preserve">3.</w:t>
      </w:r>
      <w:r>
        <w:rPr>
          <w:rFonts w:ascii="Arial" w:cs="Arial" w:eastAsia="Arial" w:hAnsi="Arial"/>
          <w:color w:val="475569"/>
          <w:sz w:val="20"/>
          <w:szCs w:val="20"/>
        </w:rPr>
        <w:t xml:space="preserve">	____________________________________________________________</w:t>
      </w:r>
    </w:p>
    <w:p>
      <w:pPr>
        <w:tabs>
          <w:tab w:val="right" w:pos="10800"/>
        </w:tabs>
        <w:spacing w:after="50" w:before="0"/>
      </w:pPr>
      <w:r>
        <w:rPr>
          <w:rFonts w:ascii="Arial" w:cs="Arial" w:eastAsia="Arial" w:hAnsi="Arial"/>
          <w:sz w:val="20"/>
          <w:szCs w:val="20"/>
        </w:rPr>
        <w:t xml:space="preserve">4.</w:t>
      </w:r>
      <w:r>
        <w:rPr>
          <w:rFonts w:ascii="Arial" w:cs="Arial" w:eastAsia="Arial" w:hAnsi="Arial"/>
          <w:color w:val="475569"/>
          <w:sz w:val="20"/>
          <w:szCs w:val="20"/>
        </w:rPr>
        <w:t xml:space="preserve">	____________________________________________________________</w:t>
      </w:r>
    </w:p>
    <w:p>
      <w:pPr>
        <w:tabs>
          <w:tab w:val="right" w:pos="10800"/>
        </w:tabs>
        <w:spacing w:after="50" w:before="0"/>
      </w:pPr>
      <w:r>
        <w:rPr>
          <w:rFonts w:ascii="Arial" w:cs="Arial" w:eastAsia="Arial" w:hAnsi="Arial"/>
          <w:sz w:val="20"/>
          <w:szCs w:val="20"/>
        </w:rPr>
        <w:t xml:space="preserve">5.</w:t>
      </w:r>
      <w:r>
        <w:rPr>
          <w:rFonts w:ascii="Arial" w:cs="Arial" w:eastAsia="Arial" w:hAnsi="Arial"/>
          <w:color w:val="475569"/>
          <w:sz w:val="20"/>
          <w:szCs w:val="20"/>
        </w:rPr>
        <w:t xml:space="preserve">	____________________________________________________________</w:t>
      </w:r>
    </w:p>
    <w:p>
      <w:pPr>
        <w:pBdr>
          <w:top w:val="single" w:color="475569" w:sz="6" w:space="3"/>
        </w:pBdr>
        <w:spacing w:before="120"/>
      </w:pPr>
      <w:r>
        <w:rPr>
          <w:rFonts w:ascii="Arial" w:cs="Arial" w:eastAsia="Arial" w:hAnsi="Arial"/>
          <w:i/>
          <w:iCs/>
          <w:color w:val="475569"/>
          <w:sz w:val="16"/>
          <w:szCs w:val="16"/>
        </w:rPr>
        <w:t xml:space="preserve">Citations: Wis. Admin. Code § Ins 3.40 (COB rule); Wis. Stat. §§ 632.32, 631.43, 895.045; Rimes v. State Farm 106 Wis. 2d 263 (1982); Vogt v. Schroeder; Petta v. ABC Insurance Co. · Engine note: Made-whole and common-fund apply to fully-insured plans; ERISA self-funded plans may preempt under Sereboff line. Confirm preemption posture before negotiating lien reduction.</w:t>
      </w:r>
    </w:p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2026-05-17T13:29:05.664Z</dcterms:created>
  <dcterms:modified xsi:type="dcterms:W3CDTF">2026-05-17T13:29:05.664Z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