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8"/>
          <w:szCs w:val="48"/>
        </w:rPr>
        <w:t xml:space="preserve">COB Flow</w:t>
      </w:r>
    </w:p>
    <w:p>
      <w:pPr>
        <w:spacing w:after="60"/>
        <w:jc w:val="center"/>
      </w:pPr>
      <w:r>
        <w:rPr>
          <w:b/>
          <w:bCs/>
          <w:sz w:val="32"/>
          <w:szCs w:val="32"/>
        </w:rPr>
        <w:t xml:space="preserve">Go-to-Market Roadmap</w:t>
      </w:r>
    </w:p>
    <w:p>
      <w:pPr>
        <w:spacing w:after="60"/>
        <w:jc w:val="center"/>
      </w:pPr>
      <w:r>
        <w:rPr>
          <w:sz w:val="24"/>
          <w:szCs w:val="24"/>
        </w:rPr>
        <w:t xml:space="preserve">Wisconsin Pilot — Validation Through First Commercial Tenant</w:t>
      </w:r>
    </w:p>
    <w:p>
      <w:pPr>
        <w:spacing w:after="480"/>
        <w:jc w:val="center"/>
      </w:pPr>
      <w:r>
        <w:rPr>
          <w:i/>
          <w:iCs/>
          <w:color w:val="666666"/>
        </w:rPr>
        <w:t xml:space="preserve">v1.0  ·  May 2026</w:t>
      </w:r>
    </w:p>
    <w:p>
      <w:pPr>
        <w:pStyle w:val="Heading1"/>
        <w:spacing w:after="180" w:before="360"/>
      </w:pPr>
      <w:r>
        <w:t xml:space="preserve">1. Executive Summary</w:t>
      </w:r>
    </w:p>
    <w:p>
      <w:pPr>
        <w:spacing w:after="120"/>
      </w:pPr>
      <w:r>
        <w:t xml:space="preserve">This roadmap takes COB Flow from a working prototype to a paying first commercial tenant in roughly forty weeks across six sequenced phases. The plan is built around two non-negotiable principles. First, validate before build — every dollar of engineering spent before a signed pilot is a dollar at risk. Second, learn fast, decide at the gates — each phase ends with an explicit go/no-go decision so we don't drift past a failing assumption.</w:t>
      </w:r>
    </w:p>
    <w:p>
      <w:pPr>
        <w:spacing w:after="120"/>
      </w:pPr>
      <w:r>
        <w:t xml:space="preserve">Wisconsin is the pilot state. It is an at-fault tort jurisdiction with deep made-whole doctrine case law (Rimes, Vogt, Petta), an active commercial auto market, and Jim's home network — meaning interview outreach and the first pilot conversation start warm rather than cold. The pilot will exercise the auto med-pay/PIP recovery workflow against Wisconsin-specific recovery rules, not the no-fault-PIP path that drove the original prototype examples.</w:t>
      </w:r>
    </w:p>
    <w:p>
      <w:pPr>
        <w:spacing w:after="120"/>
      </w:pPr>
      <w:r>
        <w:t xml:space="preserve">Each of the six phases below is structured the same way (goal, duration, owner, deliverable, decision gate, activities) so any single phase can be detached and expanded into its own working document as the work begins.</w:t>
      </w:r>
    </w:p>
    <w:p>
      <w:pPr>
        <w:pStyle w:val="Heading1"/>
        <w:spacing w:after="180" w:before="360"/>
      </w:pPr>
      <w:r>
        <w:t xml:space="preserve">2. Why Wisconsin as the Pilot State</w:t>
      </w:r>
    </w:p>
    <w:p>
      <w:pPr>
        <w:pStyle w:val="ListParagraph"/>
        <w:numPr>
          <w:ilvl w:val="0"/>
          <w:numId w:val="2"/>
        </w:numPr>
        <w:spacing w:after="60"/>
      </w:pPr>
      <w:r>
        <w:rPr>
          <w:b/>
          <w:bCs/>
        </w:rPr>
        <w:t xml:space="preserve">Jim's local network. </w:t>
      </w:r>
      <w:r>
        <w:t xml:space="preserve">Brookfield-based founder with relationships in the Wisconsin carrier, TPA, and self-funded employer market. Cold-call rate for discovery interviews drops materially; first pilot conversation starts warm.</w:t>
      </w:r>
    </w:p>
    <w:p>
      <w:pPr>
        <w:pStyle w:val="ListParagraph"/>
        <w:numPr>
          <w:ilvl w:val="0"/>
          <w:numId w:val="2"/>
        </w:numPr>
        <w:spacing w:after="60"/>
      </w:pPr>
      <w:r>
        <w:rPr>
          <w:b/>
          <w:bCs/>
        </w:rPr>
        <w:t xml:space="preserve">Tort state with active subrogation. </w:t>
      </w:r>
      <w:r>
        <w:t xml:space="preserve">Wisconsin is at-fault, not no-fault. Auto med-pay is optional but commonly carried. Health-plan subrogation against auto carriers is a real and recurring workflow — meaning the recovery dollars exist and analysts already do this work manually.</w:t>
      </w:r>
    </w:p>
    <w:p>
      <w:pPr>
        <w:pStyle w:val="ListParagraph"/>
        <w:numPr>
          <w:ilvl w:val="0"/>
          <w:numId w:val="2"/>
        </w:numPr>
        <w:spacing w:after="60"/>
      </w:pPr>
      <w:r>
        <w:rPr>
          <w:b/>
          <w:bCs/>
        </w:rPr>
        <w:t xml:space="preserve">Made-whole doctrine state. </w:t>
      </w:r>
      <w:r>
        <w:t xml:space="preserve">Rimes v. State Farm Mut. Auto Ins. Co., 106 Wis. 2d 263 (1982) and subsequent cases (Vogt v. Schroeder, Petta v. ABC Ins.) establish that an insurer's subrogation rights are subject to the insured being made whole first. This is a material constraint on recovery analysis that COB Flow's engine must handle natively for Wisconsin claims.</w:t>
      </w:r>
    </w:p>
    <w:p>
      <w:pPr>
        <w:pStyle w:val="ListParagraph"/>
        <w:numPr>
          <w:ilvl w:val="0"/>
          <w:numId w:val="2"/>
        </w:numPr>
        <w:spacing w:after="60"/>
      </w:pPr>
      <w:r>
        <w:rPr>
          <w:b/>
          <w:bCs/>
        </w:rPr>
        <w:t xml:space="preserve">Statutory framework. </w:t>
      </w:r>
      <w:r>
        <w:t xml:space="preserve">Wis. Stat. § 632.32 governs auto insurance policies. Wis. Stat. § 632.32(4) mandates uninsured/underinsured motorist coverage. The Office of the Commissioner of Insurance (OCI) is the state regulator — light-touch compared to NY DFS or CA DOI, but contractual review will still be required for any third-party recovery activity.</w:t>
      </w:r>
    </w:p>
    <w:p>
      <w:pPr>
        <w:pStyle w:val="ListParagraph"/>
        <w:numPr>
          <w:ilvl w:val="0"/>
          <w:numId w:val="2"/>
        </w:numPr>
        <w:spacing w:after="60"/>
      </w:pPr>
      <w:r>
        <w:rPr>
          <w:b/>
          <w:bCs/>
        </w:rPr>
        <w:t xml:space="preserve">ERISA preemption interaction. </w:t>
      </w:r>
      <w:r>
        <w:t xml:space="preserve">Wisconsin made-whole doctrine may be preempted by clear self-funded ERISA plan language. Engine must distinguish self-funded vs. fully-insured plans on every Wisconsin determination — this is a feature, not an edge case, and it's exactly the kind of nuance carriers will test our tool on.</w:t>
      </w:r>
    </w:p>
    <w:p>
      <w:pPr>
        <w:pStyle w:val="Heading1"/>
        <w:spacing w:after="180" w:before="360"/>
      </w:pPr>
      <w:r>
        <w:t xml:space="preserve">3. Decision Framework</w:t>
      </w:r>
    </w:p>
    <w:p>
      <w:pPr>
        <w:pStyle w:val="Heading2"/>
        <w:spacing w:after="120" w:before="240"/>
      </w:pPr>
      <w:r>
        <w:t xml:space="preserve">3.1 What success looks like at each gate</w:t>
      </w:r>
    </w:p>
    <w:p>
      <w:pPr>
        <w:spacing w:after="120"/>
      </w:pPr>
      <w:r>
        <w:t xml:space="preserve">Each phase ends with a binary decision: continue, pivot, or stop. The decision criteria below define what we need to see before unlocking the next phase's investment of time or money.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80"/>
        <w:gridCol w:w="3480"/>
      </w:tblGrid>
      <w:tr>
        <w:trPr>
          <w:tblHeader/>
        </w:trPr>
        <w:tc>
          <w:tcPr>
            <w:tcW w:type="dxa" w:w="1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Phase</w:t>
            </w:r>
          </w:p>
        </w:tc>
        <w:tc>
          <w:tcPr>
            <w:tcW w:type="dxa" w:w="42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Gate criteria (what we need to see)</w:t>
            </w:r>
          </w:p>
        </w:tc>
        <w:tc>
          <w:tcPr>
            <w:tcW w:type="dxa" w:w="348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If we don't see it</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 → 1</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LLC formed, working folder organized, financial tracking in place, target interview list of 25+ named contacts.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Delay discovery until basics are set — don't try to do customer development from a half-built foundation.</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 2</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≥15 completed discovery interviews. Repeatable pain pattern identified. At least 3 interviewees say "I would pay for this" with a dollar figure attached.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Pivot: reframe the product, or stop. Do not advance to ROI/pricing if the pain isn't validated.</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 3</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ROI calculator predicts ≥3× payback in year one for a typical Wisconsin tenant. Pricing model chosen and stress-tested with 5+ interviewees.</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Revise the product scope to reach the ROI threshold, or stop.</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 → 4</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Signed Letter of Intent or pilot contract with at least one Wisconsin tenant. Pilot scope, success metrics, and term agreed in writing.</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Do not build production software without a signed commitment. Return to phase 3.</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 → 5</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Pilot software handles real (de-identified) claims end-to-end. HIPAA controls in place. BAA executed with pilot tenant. Wisconsin made-whole module shipped.</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Extend build phase rather than starting pilot ops on an incomplete platform.</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 → 6</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Pilot produces measurable recovery improvement (target: ≥20% lift over tenant's baseline) or equivalent FTE-hours saved. Pilot tenant gives reference permission.</w:t>
            </w:r>
          </w:p>
        </w:tc>
        <w:tc>
          <w:tcPr>
            <w:tcW w:type="dxa" w:w="34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Extend the pilot, fix the product, or kill the project. Don't sell what doesn't work.</w:t>
            </w:r>
          </w:p>
        </w:tc>
      </w:tr>
    </w:tbl>
    <w:p>
      <w:pPr>
        <w:pStyle w:val="Heading1"/>
        <w:spacing w:after="180" w:before="360"/>
      </w:pPr>
      <w:r>
        <w:t xml:space="preserve">4.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Weeks</w:t>
            </w:r>
          </w:p>
        </w:tc>
        <w:tc>
          <w:tcPr>
            <w:tcW w:type="dxa" w:w="15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Phase</w:t>
            </w:r>
          </w:p>
        </w:tc>
        <w:tc>
          <w:tcPr>
            <w:tcW w:type="dxa" w:w="66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r>
              <w:rPr>
                <w:b/>
                <w:bCs/>
                <w:sz w:val="20"/>
                <w:szCs w:val="20"/>
              </w:rPr>
              <w:t xml:space="preserve">Headline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0 — Foundation</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Stand up the business. Brookfield LLC, financial tracking, project hygiene, Wisconsin legal/insurance baseline, advisor outreach.</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2–8</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 — Discovery</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15–25 structured interviews across Wisconsin and adjacent markets. Validate pain, language, and willingness-to-pay.</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6–10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 — ROI &amp; Pricing</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Quantify recovery economics. Build the leave-behind ROI calculator. Pick a pricing model.</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8–14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 — Secure Pilot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Refine pitch, draft pilot agreement template, sign LOI or pilot contract with first Wisconsin tenant.</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14–24</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 — Build Pilot Software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Graduate prototype to production stack. HIPAA-ready hosting. Wisconsin made-whole module. Real intake pipeline.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24–40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 — Run Pilot</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Operate the pilot. Weekly metrics. Iterate. Produce the case study that opens every later sales conversation.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 — Commercialize</w:t>
            </w:r>
          </w:p>
        </w:tc>
        <w:tc>
          <w:tcPr>
            <w:tcW w:type="dxa" w:w="6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Sales playbook, second and third tenant, SOC 2 readiness kickoff, fundraising decision.</w:t>
            </w:r>
          </w:p>
        </w:tc>
      </w:tr>
    </w:tbl>
    <w:p>
      <w:pPr>
        <w:pStyle w:val="Heading1"/>
        <w:spacing w:after="180" w:before="360"/>
      </w:pPr>
      <w:r>
        <w:t xml:space="preserve">5. Phase 0 — Foundation</w:t>
      </w:r>
    </w:p>
    <w:p>
      <w:pPr>
        <w:pStyle w:val="Heading2"/>
        <w:spacing w:after="120" w:before="240"/>
      </w:pPr>
      <w:r>
        <w:t xml:space="preserve">Phase 0 detail</w:t>
      </w:r>
    </w:p>
    <w:p>
      <w:pPr>
        <w:spacing w:after="120"/>
      </w:pPr>
      <w:r>
        <w:rPr>
          <w:b/>
          <w:bCs/>
        </w:rPr>
        <w:t xml:space="preserve">Goal: </w:t>
      </w:r>
      <w:r>
        <w:t xml:space="preserve">Have the legal, financial, and operational basics in place so customer-discovery conversations and pilot contracts can move quickly when the time comes.</w:t>
      </w:r>
    </w:p>
    <w:p>
      <w:pPr>
        <w:spacing w:after="120"/>
      </w:pPr>
      <w:r>
        <w:rPr>
          <w:b/>
          <w:bCs/>
        </w:rPr>
        <w:t xml:space="preserve">Duration: </w:t>
      </w:r>
      <w:r>
        <w:t xml:space="preserve">Weeks 0–2</w:t>
      </w:r>
    </w:p>
    <w:p>
      <w:pPr>
        <w:spacing w:after="120"/>
      </w:pPr>
      <w:r>
        <w:rPr>
          <w:b/>
          <w:bCs/>
        </w:rPr>
        <w:t xml:space="preserve">Owner: </w:t>
      </w:r>
      <w:r>
        <w:t xml:space="preserve">Jim (with attorney and CPA on retainer)</w:t>
      </w:r>
    </w:p>
    <w:p>
      <w:pPr>
        <w:spacing w:after="120"/>
      </w:pPr>
      <w:r>
        <w:rPr>
          <w:b/>
          <w:bCs/>
        </w:rPr>
        <w:t xml:space="preserve">Deliverable: </w:t>
      </w:r>
      <w:r>
        <w:t xml:space="preserve">Operational business entity, Wisconsin compliance baseline document, target interview list of 25+ named contacts, advisor short-list.</w:t>
      </w:r>
    </w:p>
    <w:p>
      <w:pPr>
        <w:spacing w:after="120"/>
      </w:pPr>
      <w:r>
        <w:rPr>
          <w:b/>
          <w:bCs/>
        </w:rPr>
        <w:t xml:space="preserve">Decision gate: </w:t>
      </w:r>
      <w:r>
        <w:t xml:space="preserve">Business entity exists, target interview list is built, first three discovery interviews are on the calendar.</w:t>
      </w:r>
    </w:p>
    <w:p>
      <w:pPr>
        <w:pStyle w:val="Heading3"/>
        <w:spacing w:after="80" w:before="180"/>
      </w:pPr>
      <w:r>
        <w:t xml:space="preserve">Activities</w:t>
      </w:r>
    </w:p>
    <w:p>
      <w:pPr>
        <w:pStyle w:val="ListParagraph"/>
        <w:numPr>
          <w:ilvl w:val="0"/>
          <w:numId w:val="3"/>
        </w:numPr>
        <w:spacing w:after="60"/>
      </w:pPr>
      <w:r>
        <w:t xml:space="preserve">Form Wisconsin LLC (single-member, S-corp election deferred until revenue). Open business checking and a separate corporate credit card. Set up accounting in QuickBooks or Wave.</w:t>
      </w:r>
    </w:p>
    <w:p>
      <w:pPr>
        <w:pStyle w:val="ListParagraph"/>
        <w:numPr>
          <w:ilvl w:val="0"/>
          <w:numId w:val="3"/>
        </w:numPr>
        <w:spacing w:after="60"/>
      </w:pPr>
      <w:r>
        <w:t xml:space="preserve">Engage a Wisconsin-licensed attorney for one-hour scoping conversation: state insurance regulator (OCI) registration requirements for third-party recovery vendors, contractor vs. employee posture for early hires, baseline NDA and consulting templates.</w:t>
      </w:r>
    </w:p>
    <w:p>
      <w:pPr>
        <w:pStyle w:val="ListParagraph"/>
        <w:numPr>
          <w:ilvl w:val="0"/>
          <w:numId w:val="3"/>
        </w:numPr>
        <w:spacing w:after="60"/>
      </w:pPr>
      <w:r>
        <w:t xml:space="preserve">Engage a CPA for tax structure, R&amp;D credit eligibility, and bookkeeping cadence.</w:t>
      </w:r>
    </w:p>
    <w:p>
      <w:pPr>
        <w:pStyle w:val="ListParagraph"/>
        <w:numPr>
          <w:ilvl w:val="0"/>
          <w:numId w:val="3"/>
        </w:numPr>
        <w:spacing w:after="60"/>
      </w:pPr>
      <w:r>
        <w:t xml:space="preserve">Stand up the working-document repository (this folder), a CRM (HubSpot Free or Attio), and a calendar that protects discovery interview slots two days a week.</w:t>
      </w:r>
    </w:p>
    <w:p>
      <w:pPr>
        <w:pStyle w:val="ListParagraph"/>
        <w:numPr>
          <w:ilvl w:val="0"/>
          <w:numId w:val="3"/>
        </w:numPr>
        <w:spacing w:after="60"/>
      </w:pPr>
      <w:r>
        <w:t xml:space="preserve">Draft a one-page COB Flow positioning brief from the existing spec — for emails and warm intros, not for the website yet.</w:t>
      </w:r>
    </w:p>
    <w:p>
      <w:pPr>
        <w:pStyle w:val="ListParagraph"/>
        <w:numPr>
          <w:ilvl w:val="0"/>
          <w:numId w:val="3"/>
        </w:numPr>
        <w:spacing w:after="60"/>
      </w:pPr>
      <w:r>
        <w:t xml:space="preserve">Build the target interview list: at least 25 named Wisconsin-area contacts split across carriers (e.g., WPS, Network Health, Quartz, Common Ground, regional Aetna and UHC contacts), TPAs and self-funded employer benefits admins, subrogation vendors with WI books, and one or two friendly hospital revenue-cycle leaders.</w:t>
      </w:r>
    </w:p>
    <w:p>
      <w:pPr>
        <w:pStyle w:val="ListParagraph"/>
        <w:numPr>
          <w:ilvl w:val="0"/>
          <w:numId w:val="3"/>
        </w:numPr>
        <w:spacing w:after="60"/>
      </w:pPr>
      <w:r>
        <w:t xml:space="preserve">Identify two to three potential advisors: an experienced subrogation operator outside Wisconsin, a healthcare regulatory attorney, and a SaaS founder who has sold into carriers. Make initial outreach.</w:t>
      </w:r>
    </w:p>
    <w:p>
      <w:pPr>
        <w:pStyle w:val="ListParagraph"/>
        <w:numPr>
          <w:ilvl w:val="0"/>
          <w:numId w:val="3"/>
        </w:numPr>
        <w:spacing w:after="60"/>
      </w:pPr>
      <w:r>
        <w:t xml:space="preserve">Decide whether to keep working from the Brookfield home office or rent a coworking spot for Wisconsin-based meetings (presence matters in this industry).</w:t>
      </w:r>
    </w:p>
    <w:p>
      <w:pPr>
        <w:pStyle w:val="Heading1"/>
        <w:spacing w:after="180" w:before="360"/>
      </w:pPr>
      <w:r>
        <w:t xml:space="preserve">6. Phase 1 — Customer Discovery</w:t>
      </w:r>
    </w:p>
    <w:p>
      <w:pPr>
        <w:pStyle w:val="Heading2"/>
        <w:spacing w:after="120" w:before="240"/>
      </w:pPr>
      <w:r>
        <w:t xml:space="preserve">Phase 1 detail</w:t>
      </w:r>
    </w:p>
    <w:p>
      <w:pPr>
        <w:spacing w:after="120"/>
      </w:pPr>
      <w:r>
        <w:rPr>
          <w:b/>
          <w:bCs/>
        </w:rPr>
        <w:t xml:space="preserve">Goal: </w:t>
      </w:r>
      <w:r>
        <w:t xml:space="preserve">Validate that the problem COB Flow solves is real, painful, and worth paying for — without leading the witness.</w:t>
      </w:r>
    </w:p>
    <w:p>
      <w:pPr>
        <w:spacing w:after="120"/>
      </w:pPr>
      <w:r>
        <w:rPr>
          <w:b/>
          <w:bCs/>
        </w:rPr>
        <w:t xml:space="preserve">Duration: </w:t>
      </w:r>
      <w:r>
        <w:t xml:space="preserve">Weeks 2–8 (15–25 interviews)</w:t>
      </w:r>
    </w:p>
    <w:p>
      <w:pPr>
        <w:spacing w:after="120"/>
      </w:pPr>
      <w:r>
        <w:rPr>
          <w:b/>
          <w:bCs/>
        </w:rPr>
        <w:t xml:space="preserve">Owner: </w:t>
      </w:r>
      <w:r>
        <w:t xml:space="preserve">Jim, conducting 4–6 interviews per week</w:t>
      </w:r>
    </w:p>
    <w:p>
      <w:pPr>
        <w:spacing w:after="120"/>
      </w:pPr>
      <w:r>
        <w:rPr>
          <w:b/>
          <w:bCs/>
        </w:rPr>
        <w:t xml:space="preserve">Deliverable: </w:t>
      </w:r>
      <w:r>
        <w:t xml:space="preserve">Interview synthesis document, target-customer persona refined, top three pain points ranked, willingness-to-pay distribution, three named pilot candidates.</w:t>
      </w:r>
    </w:p>
    <w:p>
      <w:pPr>
        <w:spacing w:after="120"/>
      </w:pPr>
      <w:r>
        <w:rPr>
          <w:b/>
          <w:bCs/>
        </w:rPr>
        <w:t xml:space="preserve">Decision gate: </w:t>
      </w:r>
      <w:r>
        <w:t xml:space="preserve">≥15 completed interviews. A repeatable pain pattern is visible. At least three interviewees, unprompted, attach a dollar figure to what they would pay.</w:t>
      </w:r>
    </w:p>
    <w:p>
      <w:pPr>
        <w:pStyle w:val="Heading3"/>
        <w:spacing w:after="80" w:before="180"/>
      </w:pPr>
      <w:r>
        <w:t xml:space="preserve">Activities</w:t>
      </w:r>
    </w:p>
    <w:p>
      <w:pPr>
        <w:pStyle w:val="ListParagraph"/>
        <w:numPr>
          <w:ilvl w:val="0"/>
          <w:numId w:val="3"/>
        </w:numPr>
        <w:spacing w:after="60"/>
      </w:pPr>
      <w:r>
        <w:t xml:space="preserve">Write a 12–15 question interview script. Open-ended. Topics: current COB and subrogation workflow, time per recovery, FTE count, where the worst friction sits, what tooling they have today, what they would pay to remove the top friction. Never demo the prototype in the first 30 minutes — listen first.</w:t>
      </w:r>
    </w:p>
    <w:p>
      <w:pPr>
        <w:pStyle w:val="ListParagraph"/>
        <w:numPr>
          <w:ilvl w:val="0"/>
          <w:numId w:val="3"/>
        </w:numPr>
        <w:spacing w:after="60"/>
      </w:pPr>
      <w:r>
        <w:t xml:space="preserve">Schedule interviews two days per week (e.g., Tue/Thu). Block other work those days. Aim for 45 minutes; record (with permission) so synthesis is faithful.</w:t>
      </w:r>
    </w:p>
    <w:p>
      <w:pPr>
        <w:pStyle w:val="ListParagraph"/>
        <w:numPr>
          <w:ilvl w:val="0"/>
          <w:numId w:val="3"/>
        </w:numPr>
        <w:spacing w:after="60"/>
      </w:pPr>
      <w:r>
        <w:t xml:space="preserve">Show the COB Flow prototype only after the interviewee has talked through their current workflow. Watch their reaction more than their words.</w:t>
      </w:r>
    </w:p>
    <w:p>
      <w:pPr>
        <w:pStyle w:val="ListParagraph"/>
        <w:numPr>
          <w:ilvl w:val="0"/>
          <w:numId w:val="3"/>
        </w:numPr>
        <w:spacing w:after="60"/>
      </w:pPr>
      <w:r>
        <w:t xml:space="preserve">Maintain an interview log: name, role, organization, key quotes, pain rank, willingness-to-pay (if shared), follow-up commitment. Weekly review.</w:t>
      </w:r>
    </w:p>
    <w:p>
      <w:pPr>
        <w:pStyle w:val="ListParagraph"/>
        <w:numPr>
          <w:ilvl w:val="0"/>
          <w:numId w:val="3"/>
        </w:numPr>
        <w:spacing w:after="60"/>
      </w:pPr>
      <w:r>
        <w:t xml:space="preserve">After every five interviews, synthesize: are we hearing the same pain three times? If not, the script or the target persona is wrong — fix it before the next batch.</w:t>
      </w:r>
    </w:p>
    <w:p>
      <w:pPr>
        <w:pStyle w:val="ListParagraph"/>
        <w:numPr>
          <w:ilvl w:val="0"/>
          <w:numId w:val="3"/>
        </w:numPr>
        <w:spacing w:after="60"/>
      </w:pPr>
      <w:r>
        <w:t xml:space="preserve">Identify the three to five interviewees who lean in hardest. These become the candidate pool for the pilot conversation in Phase 3.</w:t>
      </w:r>
    </w:p>
    <w:p>
      <w:pPr>
        <w:pStyle w:val="ListParagraph"/>
        <w:numPr>
          <w:ilvl w:val="0"/>
          <w:numId w:val="3"/>
        </w:numPr>
        <w:spacing w:after="60"/>
      </w:pPr>
      <w:r>
        <w:t xml:space="preserve">Final synthesis document at the end of the phase: pain pattern, customer persona, pricing signals, competitive overlap (especially Rawlings/Optum exposure inside Wisconsin), open questions for Phase 2.</w:t>
      </w:r>
    </w:p>
    <w:p>
      <w:pPr>
        <w:pStyle w:val="Heading1"/>
        <w:spacing w:after="180" w:before="360"/>
      </w:pPr>
      <w:r>
        <w:t xml:space="preserve">7. Phase 2 — ROI Validation &amp; Pricing</w:t>
      </w:r>
    </w:p>
    <w:p>
      <w:pPr>
        <w:pStyle w:val="Heading2"/>
        <w:spacing w:after="120" w:before="240"/>
      </w:pPr>
      <w:r>
        <w:t xml:space="preserve">Phase 2 detail</w:t>
      </w:r>
    </w:p>
    <w:p>
      <w:pPr>
        <w:spacing w:after="120"/>
      </w:pPr>
      <w:r>
        <w:rPr>
          <w:b/>
          <w:bCs/>
        </w:rPr>
        <w:t xml:space="preserve">Goal: </w:t>
      </w:r>
      <w:r>
        <w:t xml:space="preserve">Convert discovery learnings into a defensible ROI argument and a pricing model that closes deals.</w:t>
      </w:r>
    </w:p>
    <w:p>
      <w:pPr>
        <w:spacing w:after="120"/>
      </w:pPr>
      <w:r>
        <w:rPr>
          <w:b/>
          <w:bCs/>
        </w:rPr>
        <w:t xml:space="preserve">Duration: </w:t>
      </w:r>
      <w:r>
        <w:t xml:space="preserve">Weeks 6–10 (overlaps with the back half of Phase 1)</w:t>
      </w:r>
    </w:p>
    <w:p>
      <w:pPr>
        <w:spacing w:after="120"/>
      </w:pPr>
      <w:r>
        <w:rPr>
          <w:b/>
          <w:bCs/>
        </w:rPr>
        <w:t xml:space="preserve">Owner: </w:t>
      </w:r>
      <w:r>
        <w:t xml:space="preserve">Jim (with input from one operator advisor)</w:t>
      </w:r>
    </w:p>
    <w:p>
      <w:pPr>
        <w:spacing w:after="120"/>
      </w:pPr>
      <w:r>
        <w:rPr>
          <w:b/>
          <w:bCs/>
        </w:rPr>
        <w:t xml:space="preserve">Deliverable: </w:t>
      </w:r>
      <w:r>
        <w:t xml:space="preserve">ROI calculator (Excel or web), one-page ROI leave-behind for sales meetings, decided pricing model with documented rationale.</w:t>
      </w:r>
    </w:p>
    <w:p>
      <w:pPr>
        <w:spacing w:after="120"/>
      </w:pPr>
      <w:r>
        <w:rPr>
          <w:b/>
          <w:bCs/>
        </w:rPr>
        <w:t xml:space="preserve">Decision gate: </w:t>
      </w:r>
      <w:r>
        <w:t xml:space="preserve">ROI calculator predicts ≥3× year-one payback for a typical Wisconsin tenant on conservative inputs. Pricing has been stress-tested with at least five interviewees and survives.</w:t>
      </w:r>
    </w:p>
    <w:p>
      <w:pPr>
        <w:pStyle w:val="Heading3"/>
        <w:spacing w:after="80" w:before="180"/>
      </w:pPr>
      <w:r>
        <w:t xml:space="preserve">Activities</w:t>
      </w:r>
    </w:p>
    <w:p>
      <w:pPr>
        <w:pStyle w:val="ListParagraph"/>
        <w:numPr>
          <w:ilvl w:val="0"/>
          <w:numId w:val="3"/>
        </w:numPr>
        <w:spacing w:after="60"/>
      </w:pPr>
      <w:r>
        <w:t xml:space="preserve">Build the ROI calculator inputs from interview data: average analyst FTE cost, average recoveries per analyst per month, average recovery dollar, leakage rate from manual misses, time per claim across the four workflows (intake, COB determination, demand, follow-up).</w:t>
      </w:r>
    </w:p>
    <w:p>
      <w:pPr>
        <w:pStyle w:val="ListParagraph"/>
        <w:numPr>
          <w:ilvl w:val="0"/>
          <w:numId w:val="3"/>
        </w:numPr>
        <w:spacing w:after="60"/>
      </w:pPr>
      <w:r>
        <w:t xml:space="preserve">Model three pricing scenarios: pure contingency (20–30% of net recoveries), monthly per-seat license, and hybrid (low monthly base plus 10–15% contingency). Use Wisconsin-realistic recovery volumes.</w:t>
      </w:r>
    </w:p>
    <w:p>
      <w:pPr>
        <w:pStyle w:val="ListParagraph"/>
        <w:numPr>
          <w:ilvl w:val="0"/>
          <w:numId w:val="3"/>
        </w:numPr>
        <w:spacing w:after="60"/>
      </w:pPr>
      <w:r>
        <w:t xml:space="preserve">Test each pricing scenario in a second-round conversation with 5+ Phase 1 interviewees. Listen for hesitation and where it sits — base price, contingency rate, term length, exit terms.</w:t>
      </w:r>
    </w:p>
    <w:p>
      <w:pPr>
        <w:pStyle w:val="ListParagraph"/>
        <w:numPr>
          <w:ilvl w:val="0"/>
          <w:numId w:val="3"/>
        </w:numPr>
        <w:spacing w:after="60"/>
      </w:pPr>
      <w:r>
        <w:t xml:space="preserve">Decide the pricing model. Document why. Write a draft pricing page for internal use (don't publish yet).</w:t>
      </w:r>
    </w:p>
    <w:p>
      <w:pPr>
        <w:pStyle w:val="ListParagraph"/>
        <w:numPr>
          <w:ilvl w:val="0"/>
          <w:numId w:val="3"/>
        </w:numPr>
        <w:spacing w:after="60"/>
      </w:pPr>
      <w:r>
        <w:t xml:space="preserve">Write the ROI leave-behind: one page, two scenarios (conservative and realistic), tenant-fillable inputs, sourced from the underlying calculator. This becomes the close artifact for every Phase 3 conversation.</w:t>
      </w:r>
    </w:p>
    <w:p>
      <w:pPr>
        <w:pStyle w:val="ListParagraph"/>
        <w:numPr>
          <w:ilvl w:val="0"/>
          <w:numId w:val="3"/>
        </w:numPr>
        <w:spacing w:after="60"/>
      </w:pPr>
      <w:r>
        <w:t xml:space="preserve">Confirm the Phase 1 "competitive overlap" finding holds up under pricing pressure — particularly whether Rawlings or Optum already have exclusive arrangements that would block COB Flow from a candidate tenant.</w:t>
      </w:r>
    </w:p>
    <w:p>
      <w:pPr>
        <w:pStyle w:val="Heading1"/>
        <w:spacing w:after="180" w:before="360"/>
      </w:pPr>
      <w:r>
        <w:t xml:space="preserve">8. Phase 3 — Secure the First Pilot</w:t>
      </w:r>
    </w:p>
    <w:p>
      <w:pPr>
        <w:pStyle w:val="Heading2"/>
        <w:spacing w:after="120" w:before="240"/>
      </w:pPr>
      <w:r>
        <w:t xml:space="preserve">Phase 3 detail</w:t>
      </w:r>
    </w:p>
    <w:p>
      <w:pPr>
        <w:spacing w:after="120"/>
      </w:pPr>
      <w:r>
        <w:rPr>
          <w:b/>
          <w:bCs/>
        </w:rPr>
        <w:t xml:space="preserve">Goal: </w:t>
      </w:r>
      <w:r>
        <w:t xml:space="preserve">Convert one of the strongest Phase 1 conversations into a signed pilot commitment.</w:t>
      </w:r>
    </w:p>
    <w:p>
      <w:pPr>
        <w:spacing w:after="120"/>
      </w:pPr>
      <w:r>
        <w:rPr>
          <w:b/>
          <w:bCs/>
        </w:rPr>
        <w:t xml:space="preserve">Duration: </w:t>
      </w:r>
      <w:r>
        <w:t xml:space="preserve">Weeks 8–14</w:t>
      </w:r>
    </w:p>
    <w:p>
      <w:pPr>
        <w:spacing w:after="120"/>
      </w:pPr>
      <w:r>
        <w:rPr>
          <w:b/>
          <w:bCs/>
        </w:rPr>
        <w:t xml:space="preserve">Owner: </w:t>
      </w:r>
      <w:r>
        <w:t xml:space="preserve">Jim</w:t>
      </w:r>
    </w:p>
    <w:p>
      <w:pPr>
        <w:spacing w:after="120"/>
      </w:pPr>
      <w:r>
        <w:rPr>
          <w:b/>
          <w:bCs/>
        </w:rPr>
        <w:t xml:space="preserve">Deliverable: </w:t>
      </w:r>
      <w:r>
        <w:t xml:space="preserve">Signed Letter of Intent or pilot contract with at least one Wisconsin tenant. Pilot scope, success metrics, and term documented.</w:t>
      </w:r>
    </w:p>
    <w:p>
      <w:pPr>
        <w:spacing w:after="120"/>
      </w:pPr>
      <w:r>
        <w:rPr>
          <w:b/>
          <w:bCs/>
        </w:rPr>
        <w:t xml:space="preserve">Decision gate: </w:t>
      </w:r>
      <w:r>
        <w:t xml:space="preserve">Signed LOI or pilot contract. Without it, Phase 4 does not start.</w:t>
      </w:r>
    </w:p>
    <w:p>
      <w:pPr>
        <w:pStyle w:val="Heading3"/>
        <w:spacing w:after="80" w:before="180"/>
      </w:pPr>
      <w:r>
        <w:t xml:space="preserve">Activities</w:t>
      </w:r>
    </w:p>
    <w:p>
      <w:pPr>
        <w:pStyle w:val="ListParagraph"/>
        <w:numPr>
          <w:ilvl w:val="0"/>
          <w:numId w:val="3"/>
        </w:numPr>
        <w:spacing w:after="60"/>
      </w:pPr>
      <w:r>
        <w:t xml:space="preserve">Refine the pitch deck from discovery learnings: open with the customer's own words on pain, then the prototype demo, then the ROI calculator, then the pilot offer.</w:t>
      </w:r>
    </w:p>
    <w:p>
      <w:pPr>
        <w:pStyle w:val="ListParagraph"/>
        <w:numPr>
          <w:ilvl w:val="0"/>
          <w:numId w:val="3"/>
        </w:numPr>
        <w:spacing w:after="60"/>
      </w:pPr>
      <w:r>
        <w:t xml:space="preserve">Define pilot scope tightly: which workflows COB Flow will run (recommend: COB primacy + auto med-pay recovery only for v1), claim volume, term (90–120 days), success metric (recovery dollars or analyst-hours saved against a baseline the tenant agrees to upfront), exit terms.</w:t>
      </w:r>
    </w:p>
    <w:p>
      <w:pPr>
        <w:pStyle w:val="ListParagraph"/>
        <w:numPr>
          <w:ilvl w:val="0"/>
          <w:numId w:val="3"/>
        </w:numPr>
        <w:spacing w:after="60"/>
      </w:pPr>
      <w:r>
        <w:t xml:space="preserve">Draft the pilot agreement template with the Wisconsin attorney. Cover: BAA, IP ownership, data retention and destruction, indemnification cap, mutual NDA, termination triggers, conversion price if pilot succeeds.</w:t>
      </w:r>
    </w:p>
    <w:p>
      <w:pPr>
        <w:pStyle w:val="ListParagraph"/>
        <w:numPr>
          <w:ilvl w:val="0"/>
          <w:numId w:val="3"/>
        </w:numPr>
        <w:spacing w:after="60"/>
      </w:pPr>
      <w:r>
        <w:t xml:space="preserve">Run focused second meetings with the top three Phase 1 candidates. Present the pilot offer. Read the room. Adjust scope or commercial terms to remove blockers.</w:t>
      </w:r>
    </w:p>
    <w:p>
      <w:pPr>
        <w:pStyle w:val="ListParagraph"/>
        <w:numPr>
          <w:ilvl w:val="0"/>
          <w:numId w:val="3"/>
        </w:numPr>
        <w:spacing w:after="60"/>
      </w:pPr>
      <w:r>
        <w:t xml:space="preserve">Negotiate. Expect 2–3 rounds. Common asks: lower commercial commitment, expanded indemnification, exclusivity-during-pilot.</w:t>
      </w:r>
    </w:p>
    <w:p>
      <w:pPr>
        <w:pStyle w:val="ListParagraph"/>
        <w:numPr>
          <w:ilvl w:val="0"/>
          <w:numId w:val="3"/>
        </w:numPr>
        <w:spacing w:after="60"/>
      </w:pPr>
      <w:r>
        <w:t xml:space="preserve">Get something in writing. LOI is fine; signed pilot contract is better.</w:t>
      </w:r>
    </w:p>
    <w:p>
      <w:pPr>
        <w:pStyle w:val="Heading1"/>
        <w:spacing w:after="180" w:before="360"/>
      </w:pPr>
      <w:r>
        <w:t xml:space="preserve">9. Phase 4 — Build Pilot-Ready Software</w:t>
      </w:r>
    </w:p>
    <w:p>
      <w:pPr>
        <w:pStyle w:val="Heading2"/>
        <w:spacing w:after="120" w:before="240"/>
      </w:pPr>
      <w:r>
        <w:t xml:space="preserve">Phase 4 detail</w:t>
      </w:r>
    </w:p>
    <w:p>
      <w:pPr>
        <w:spacing w:after="120"/>
      </w:pPr>
      <w:r>
        <w:rPr>
          <w:b/>
          <w:bCs/>
        </w:rPr>
        <w:t xml:space="preserve">Goal: </w:t>
      </w:r>
      <w:r>
        <w:t xml:space="preserve">Graduate the prototype into software that can run a real pilot under HIPAA and Wisconsin-specific recovery rules.</w:t>
      </w:r>
    </w:p>
    <w:p>
      <w:pPr>
        <w:spacing w:after="120"/>
      </w:pPr>
      <w:r>
        <w:rPr>
          <w:b/>
          <w:bCs/>
        </w:rPr>
        <w:t xml:space="preserve">Duration: </w:t>
      </w:r>
      <w:r>
        <w:t xml:space="preserve">Weeks 14–24</w:t>
      </w:r>
    </w:p>
    <w:p>
      <w:pPr>
        <w:spacing w:after="120"/>
      </w:pPr>
      <w:r>
        <w:rPr>
          <w:b/>
          <w:bCs/>
        </w:rPr>
        <w:t xml:space="preserve">Owner: </w:t>
      </w:r>
      <w:r>
        <w:t xml:space="preserve">Jim plus a contract or co-founder engineer; minimum one senior full-stack hire</w:t>
      </w:r>
    </w:p>
    <w:p>
      <w:pPr>
        <w:spacing w:after="120"/>
      </w:pPr>
      <w:r>
        <w:rPr>
          <w:b/>
          <w:bCs/>
        </w:rPr>
        <w:t xml:space="preserve">Deliverable: </w:t>
      </w:r>
      <w:r>
        <w:t xml:space="preserve">Production-ready COB Flow v1.0 deployed in a HIPAA-eligible environment with BAA-covered subprocessors. Wisconsin made-whole module live. Real (de-identified) pilot data flowing end-to-end.</w:t>
      </w:r>
    </w:p>
    <w:p>
      <w:pPr>
        <w:spacing w:after="120"/>
      </w:pPr>
      <w:r>
        <w:rPr>
          <w:b/>
          <w:bCs/>
        </w:rPr>
        <w:t xml:space="preserve">Decision gate: </w:t>
      </w:r>
      <w:r>
        <w:t xml:space="preserve">Pilot tenant successfully runs ten real claims through the platform with the analyst signing off on each determination. No P0/P1 bugs open.</w:t>
      </w:r>
    </w:p>
    <w:p>
      <w:pPr>
        <w:pStyle w:val="Heading3"/>
        <w:spacing w:after="80" w:before="180"/>
      </w:pPr>
      <w:r>
        <w:t xml:space="preserve">Activities</w:t>
      </w:r>
    </w:p>
    <w:p>
      <w:pPr>
        <w:pStyle w:val="ListParagraph"/>
        <w:numPr>
          <w:ilvl w:val="0"/>
          <w:numId w:val="3"/>
        </w:numPr>
        <w:spacing w:after="60"/>
      </w:pPr>
      <w:r>
        <w:t xml:space="preserve">Decide the engineering posture: solo founder build, contract engineering firm, or hire a senior full-stack engineer (recommended). Hiring is 6–8 weeks; start in Phase 3.</w:t>
      </w:r>
    </w:p>
    <w:p>
      <w:pPr>
        <w:pStyle w:val="ListParagraph"/>
        <w:numPr>
          <w:ilvl w:val="0"/>
          <w:numId w:val="3"/>
        </w:numPr>
        <w:spacing w:after="60"/>
      </w:pPr>
      <w:r>
        <w:t xml:space="preserve">Stand up production infrastructure: Next.js + React on Vercel or AWS with HIPAA-eligible services (RDS Postgres, S3 + KMS, Cognito or Auth0 with BAA, Anthropic or OpenAI with BAA for the LLM extraction layer).</w:t>
      </w:r>
    </w:p>
    <w:p>
      <w:pPr>
        <w:pStyle w:val="ListParagraph"/>
        <w:numPr>
          <w:ilvl w:val="0"/>
          <w:numId w:val="3"/>
        </w:numPr>
        <w:spacing w:after="60"/>
      </w:pPr>
      <w:r>
        <w:t xml:space="preserve">Migrate the prototype's COB engine into the production service. Add the Wisconsin module: made-whole doctrine constraint, Wis. Stat. § 632.32 references, ERISA self-funded preemption flag, NO mandatory-no-fault-PIP path for Wisconsin claims.</w:t>
      </w:r>
    </w:p>
    <w:p>
      <w:pPr>
        <w:pStyle w:val="ListParagraph"/>
        <w:numPr>
          <w:ilvl w:val="0"/>
          <w:numId w:val="3"/>
        </w:numPr>
        <w:spacing w:after="60"/>
      </w:pPr>
      <w:r>
        <w:t xml:space="preserve">Build the real intake pipeline for the pilot tenant: SFTP file drop or a thin REST adapter. Schema mapping to COB Flow's Claim and Coverage entities. Manual fallback for early-pilot edge cases.</w:t>
      </w:r>
    </w:p>
    <w:p>
      <w:pPr>
        <w:pStyle w:val="ListParagraph"/>
        <w:numPr>
          <w:ilvl w:val="0"/>
          <w:numId w:val="3"/>
        </w:numPr>
        <w:spacing w:after="60"/>
      </w:pPr>
      <w:r>
        <w:t xml:space="preserve">Ship the LLM-assisted document parsing pipeline (Option B from the spec — analyst confirms every extracted field).</w:t>
      </w:r>
    </w:p>
    <w:p>
      <w:pPr>
        <w:pStyle w:val="ListParagraph"/>
        <w:numPr>
          <w:ilvl w:val="0"/>
          <w:numId w:val="3"/>
        </w:numPr>
        <w:spacing w:after="60"/>
      </w:pPr>
      <w:r>
        <w:t xml:space="preserve">Pen test, HIPAA risk assessment, BAA executed with pilot tenant, audit logging verified. Brief the pilot tenant's compliance team in writing.</w:t>
      </w:r>
    </w:p>
    <w:p>
      <w:pPr>
        <w:pStyle w:val="ListParagraph"/>
        <w:numPr>
          <w:ilvl w:val="0"/>
          <w:numId w:val="3"/>
        </w:numPr>
        <w:spacing w:after="60"/>
      </w:pPr>
      <w:r>
        <w:t xml:space="preserve">Train pilot tenant analysts. Run ten real claims with side-by-side observation. Fix everything that comes up.</w:t>
      </w:r>
    </w:p>
    <w:p>
      <w:pPr>
        <w:pStyle w:val="Heading1"/>
        <w:spacing w:after="180" w:before="360"/>
      </w:pPr>
      <w:r>
        <w:t xml:space="preserve">10. Phase 5 — Run the Pilot</w:t>
      </w:r>
    </w:p>
    <w:p>
      <w:pPr>
        <w:pStyle w:val="Heading2"/>
        <w:spacing w:after="120" w:before="240"/>
      </w:pPr>
      <w:r>
        <w:t xml:space="preserve">Phase 5 detail</w:t>
      </w:r>
    </w:p>
    <w:p>
      <w:pPr>
        <w:spacing w:after="120"/>
      </w:pPr>
      <w:r>
        <w:rPr>
          <w:b/>
          <w:bCs/>
        </w:rPr>
        <w:t xml:space="preserve">Goal: </w:t>
      </w:r>
      <w:r>
        <w:t xml:space="preserve">Operate the pilot, measure honestly, and produce the case study that opens every later sales conversation.</w:t>
      </w:r>
    </w:p>
    <w:p>
      <w:pPr>
        <w:spacing w:after="120"/>
      </w:pPr>
      <w:r>
        <w:rPr>
          <w:b/>
          <w:bCs/>
        </w:rPr>
        <w:t xml:space="preserve">Duration: </w:t>
      </w:r>
      <w:r>
        <w:t xml:space="preserve">Weeks 24–40</w:t>
      </w:r>
    </w:p>
    <w:p>
      <w:pPr>
        <w:spacing w:after="120"/>
      </w:pPr>
      <w:r>
        <w:rPr>
          <w:b/>
          <w:bCs/>
        </w:rPr>
        <w:t xml:space="preserve">Owner: </w:t>
      </w:r>
      <w:r>
        <w:t xml:space="preserve">Jim plus the engineering hire; weekly operational cadence with the pilot tenant</w:t>
      </w:r>
    </w:p>
    <w:p>
      <w:pPr>
        <w:spacing w:after="120"/>
      </w:pPr>
      <w:r>
        <w:rPr>
          <w:b/>
          <w:bCs/>
        </w:rPr>
        <w:t xml:space="preserve">Deliverable: </w:t>
      </w:r>
      <w:r>
        <w:t xml:space="preserve">Pilot results report: recovery dollars vs. baseline, analyst-hours saved, error and override rates, tenant testimonial.</w:t>
      </w:r>
    </w:p>
    <w:p>
      <w:pPr>
        <w:spacing w:after="120"/>
      </w:pPr>
      <w:r>
        <w:rPr>
          <w:b/>
          <w:bCs/>
        </w:rPr>
        <w:t xml:space="preserve">Decision gate: </w:t>
      </w:r>
      <w:r>
        <w:t xml:space="preserve">Recovery lift or hours-saved meet the success threshold agreed in the pilot contract. Pilot tenant signs a reference or case-study release.</w:t>
      </w:r>
    </w:p>
    <w:p>
      <w:pPr>
        <w:pStyle w:val="Heading3"/>
        <w:spacing w:after="80" w:before="180"/>
      </w:pPr>
      <w:r>
        <w:t xml:space="preserve">Activities</w:t>
      </w:r>
    </w:p>
    <w:p>
      <w:pPr>
        <w:pStyle w:val="ListParagraph"/>
        <w:numPr>
          <w:ilvl w:val="0"/>
          <w:numId w:val="3"/>
        </w:numPr>
        <w:spacing w:after="60"/>
      </w:pPr>
      <w:r>
        <w:t xml:space="preserve">Operate weekly: Monday metrics review, Wednesday tenant check-in, Friday issue triage. Track everything in the audit log; track outside the log too with a simple spreadsheet you trust.</w:t>
      </w:r>
    </w:p>
    <w:p>
      <w:pPr>
        <w:pStyle w:val="ListParagraph"/>
        <w:numPr>
          <w:ilvl w:val="0"/>
          <w:numId w:val="3"/>
        </w:numPr>
        <w:spacing w:after="60"/>
      </w:pPr>
      <w:r>
        <w:t xml:space="preserve">Track the engine's override rate. Every analyst override is labeled training data — feed it back into the rule library or the LLM prompts.</w:t>
      </w:r>
    </w:p>
    <w:p>
      <w:pPr>
        <w:pStyle w:val="ListParagraph"/>
        <w:numPr>
          <w:ilvl w:val="0"/>
          <w:numId w:val="3"/>
        </w:numPr>
        <w:spacing w:after="60"/>
      </w:pPr>
      <w:r>
        <w:t xml:space="preserve">Track recovery cycle time end-to-end. Compare against tenant's pre-pilot baseline. This is the headline number for the case study.</w:t>
      </w:r>
    </w:p>
    <w:p>
      <w:pPr>
        <w:pStyle w:val="ListParagraph"/>
        <w:numPr>
          <w:ilvl w:val="0"/>
          <w:numId w:val="3"/>
        </w:numPr>
        <w:spacing w:after="60"/>
      </w:pPr>
      <w:r>
        <w:t xml:space="preserve">After 60 days, run a midpoint review with the pilot tenant. Adjust scope or workflow if needed. Document what's working and what isn't.</w:t>
      </w:r>
    </w:p>
    <w:p>
      <w:pPr>
        <w:pStyle w:val="ListParagraph"/>
        <w:numPr>
          <w:ilvl w:val="0"/>
          <w:numId w:val="3"/>
        </w:numPr>
        <w:spacing w:after="60"/>
      </w:pPr>
      <w:r>
        <w:t xml:space="preserve">Begin SOC 2 readiness work in parallel: gap assessment, policy templates, evidence collection. SOC 2 Type II takes 9–12 months and the observation window has to start before Phase 6 sales conversations land.</w:t>
      </w:r>
    </w:p>
    <w:p>
      <w:pPr>
        <w:pStyle w:val="ListParagraph"/>
        <w:numPr>
          <w:ilvl w:val="0"/>
          <w:numId w:val="3"/>
        </w:numPr>
        <w:spacing w:after="60"/>
      </w:pPr>
      <w:r>
        <w:t xml:space="preserve">Write the case study (one page, blinded if tenant prefers). Get release in writing. This becomes the leave-behind for every Phase 6 conversation.</w:t>
      </w:r>
    </w:p>
    <w:p>
      <w:pPr>
        <w:pStyle w:val="ListParagraph"/>
        <w:numPr>
          <w:ilvl w:val="0"/>
          <w:numId w:val="3"/>
        </w:numPr>
        <w:spacing w:after="60"/>
      </w:pPr>
      <w:r>
        <w:t xml:space="preserve">If results are good: discuss conversion from pilot to commercial term with the tenant. If results are weak: extend the pilot or honestly retrench.</w:t>
      </w:r>
    </w:p>
    <w:p>
      <w:pPr>
        <w:pStyle w:val="Heading1"/>
        <w:spacing w:after="180" w:before="360"/>
      </w:pPr>
      <w:r>
        <w:t xml:space="preserve">11. Phase 6 — Commercialize</w:t>
      </w:r>
    </w:p>
    <w:p>
      <w:pPr>
        <w:pStyle w:val="Heading2"/>
        <w:spacing w:after="120" w:before="240"/>
      </w:pPr>
      <w:r>
        <w:t xml:space="preserve">Phase 6 detail</w:t>
      </w:r>
    </w:p>
    <w:p>
      <w:pPr>
        <w:spacing w:after="120"/>
      </w:pPr>
      <w:r>
        <w:rPr>
          <w:b/>
          <w:bCs/>
        </w:rPr>
        <w:t xml:space="preserve">Goal: </w:t>
      </w:r>
      <w:r>
        <w:t xml:space="preserve">Convert the pilot into recurring revenue, sign the second and third tenants, and decide on outside capital.</w:t>
      </w:r>
    </w:p>
    <w:p>
      <w:pPr>
        <w:spacing w:after="120"/>
      </w:pPr>
      <w:r>
        <w:rPr>
          <w:b/>
          <w:bCs/>
        </w:rPr>
        <w:t xml:space="preserve">Duration: </w:t>
      </w:r>
      <w:r>
        <w:t xml:space="preserve">Weeks 40+</w:t>
      </w:r>
    </w:p>
    <w:p>
      <w:pPr>
        <w:spacing w:after="120"/>
      </w:pPr>
      <w:r>
        <w:rPr>
          <w:b/>
          <w:bCs/>
        </w:rPr>
        <w:t xml:space="preserve">Owner: </w:t>
      </w:r>
      <w:r>
        <w:t xml:space="preserve">Jim plus first non-engineering hire (sales/CS) and continued engineering</w:t>
      </w:r>
    </w:p>
    <w:p>
      <w:pPr>
        <w:spacing w:after="120"/>
      </w:pPr>
      <w:r>
        <w:rPr>
          <w:b/>
          <w:bCs/>
        </w:rPr>
        <w:t xml:space="preserve">Deliverable: </w:t>
      </w:r>
      <w:r>
        <w:t xml:space="preserve">Pilot converted to paid commercial agreement. Two additional signed Wisconsin or adjacent-market tenants. SOC 2 observation window started.</w:t>
      </w:r>
    </w:p>
    <w:p>
      <w:pPr>
        <w:spacing w:after="120"/>
      </w:pPr>
      <w:r>
        <w:rPr>
          <w:b/>
          <w:bCs/>
        </w:rPr>
        <w:t xml:space="preserve">Decision gate: </w:t>
      </w:r>
      <w:r>
        <w:t xml:space="preserve">Three paying tenants and a defensible monthly recurring revenue figure. Fundraising decision made (bootstrap, friends-and-family, or seed round).</w:t>
      </w:r>
    </w:p>
    <w:p>
      <w:pPr>
        <w:pStyle w:val="Heading3"/>
        <w:spacing w:after="80" w:before="180"/>
      </w:pPr>
      <w:r>
        <w:t xml:space="preserve">Activities</w:t>
      </w:r>
    </w:p>
    <w:p>
      <w:pPr>
        <w:pStyle w:val="ListParagraph"/>
        <w:numPr>
          <w:ilvl w:val="0"/>
          <w:numId w:val="3"/>
        </w:numPr>
        <w:spacing w:after="60"/>
      </w:pPr>
      <w:r>
        <w:t xml:space="preserve">Sales playbook v1: ideal customer profile, qualification questions, demo script, objection-handling guide, ROI calculator, pilot agreement template, commercial agreement template.</w:t>
      </w:r>
    </w:p>
    <w:p>
      <w:pPr>
        <w:pStyle w:val="ListParagraph"/>
        <w:numPr>
          <w:ilvl w:val="0"/>
          <w:numId w:val="3"/>
        </w:numPr>
        <w:spacing w:after="60"/>
      </w:pPr>
      <w:r>
        <w:t xml:space="preserve">Two additional tenant signings: warm intros from the pilot tenant, second-round outreach to Phase 1 interviewees who passed the first time, expansion outside Wisconsin (Illinois and Minnesota are adjacent and culturally similar).</w:t>
      </w:r>
    </w:p>
    <w:p>
      <w:pPr>
        <w:pStyle w:val="ListParagraph"/>
        <w:numPr>
          <w:ilvl w:val="0"/>
          <w:numId w:val="3"/>
        </w:numPr>
        <w:spacing w:after="60"/>
      </w:pPr>
      <w:r>
        <w:t xml:space="preserve">First non-engineering hire: customer success / implementation specialist (subrogation domain background preferred).</w:t>
      </w:r>
    </w:p>
    <w:p>
      <w:pPr>
        <w:pStyle w:val="ListParagraph"/>
        <w:numPr>
          <w:ilvl w:val="0"/>
          <w:numId w:val="3"/>
        </w:numPr>
        <w:spacing w:after="60"/>
      </w:pPr>
      <w:r>
        <w:t xml:space="preserve">Decide fundraising posture: continue to bootstrap on contingency revenue, raise a friends-and-family round to extend runway, or raise a priced seed round once two or three tenants and a clean case study are in hand.</w:t>
      </w:r>
    </w:p>
    <w:p>
      <w:pPr>
        <w:pStyle w:val="ListParagraph"/>
        <w:numPr>
          <w:ilvl w:val="0"/>
          <w:numId w:val="3"/>
        </w:numPr>
        <w:spacing w:after="60"/>
      </w:pPr>
      <w:r>
        <w:t xml:space="preserve">SOC 2 observation window underway. Aim for Type II readiness in time for the first enterprise carrier sales conversation in roughly month 18–20.</w:t>
      </w:r>
    </w:p>
    <w:p>
      <w:pPr>
        <w:pStyle w:val="ListParagraph"/>
        <w:numPr>
          <w:ilvl w:val="0"/>
          <w:numId w:val="3"/>
        </w:numPr>
        <w:spacing w:after="60"/>
      </w:pPr>
      <w:r>
        <w:t xml:space="preserve">Begin Phase 3 customer expansion: hospital revenue-cycle teams and reimbursement-side law firms. These were deferred from Phase 1 — revisit with the case study in hand.</w:t>
      </w:r>
    </w:p>
    <w:p>
      <w:pPr>
        <w:pStyle w:val="Heading1"/>
        <w:spacing w:after="180" w:before="360"/>
      </w:pPr>
      <w:r>
        <w:t xml:space="preserve">12. Cross-Cutting Workstreams</w:t>
      </w:r>
    </w:p>
    <w:p>
      <w:pPr>
        <w:spacing w:after="120"/>
      </w:pPr>
      <w:r>
        <w:t xml:space="preserve">These run alongside the six phases rather than living inside any one of them.</w:t>
      </w:r>
    </w:p>
    <w:p>
      <w:pPr>
        <w:pStyle w:val="Heading2"/>
        <w:spacing w:after="120" w:before="240"/>
      </w:pPr>
      <w:r>
        <w:t xml:space="preserve">12.1 Compliance</w:t>
      </w:r>
    </w:p>
    <w:p>
      <w:pPr>
        <w:pStyle w:val="ListParagraph"/>
        <w:numPr>
          <w:ilvl w:val="0"/>
          <w:numId w:val="2"/>
        </w:numPr>
        <w:spacing w:after="60"/>
      </w:pPr>
      <w:r>
        <w:t xml:space="preserve">HIPAA: BAAs executed with every subprocessor before pilot data flows. Risk assessment, security policies, breach notification plan. Phase 4 deliverable.</w:t>
      </w:r>
    </w:p>
    <w:p>
      <w:pPr>
        <w:pStyle w:val="ListParagraph"/>
        <w:numPr>
          <w:ilvl w:val="0"/>
          <w:numId w:val="2"/>
        </w:numPr>
        <w:spacing w:after="60"/>
      </w:pPr>
      <w:r>
        <w:t xml:space="preserve">SOC 2 Type II: readiness work begins Phase 5, observation window starts immediately after, target Type II report in time for Phase 6 enterprise conversations.</w:t>
      </w:r>
    </w:p>
    <w:p>
      <w:pPr>
        <w:pStyle w:val="ListParagraph"/>
        <w:numPr>
          <w:ilvl w:val="0"/>
          <w:numId w:val="2"/>
        </w:numPr>
        <w:spacing w:after="60"/>
      </w:pPr>
      <w:r>
        <w:t xml:space="preserve">Wisconsin OCI: confirm whether a third-party recovery vendor registration is required for COB Flow's operating posture (likely yes for the independent-vendor service mode, likely no for the licensed-software mode). Phase 0 attorney scoping call.</w:t>
      </w:r>
    </w:p>
    <w:p>
      <w:pPr>
        <w:pStyle w:val="ListParagraph"/>
        <w:numPr>
          <w:ilvl w:val="0"/>
          <w:numId w:val="2"/>
        </w:numPr>
        <w:spacing w:after="60"/>
      </w:pPr>
      <w:r>
        <w:t xml:space="preserve">Errors and omissions insurance: scale to recovery dollar volume. Bind before pilot launch in Phase 4.</w:t>
      </w:r>
    </w:p>
    <w:p>
      <w:pPr>
        <w:pStyle w:val="Heading2"/>
        <w:spacing w:after="120" w:before="240"/>
      </w:pPr>
      <w:r>
        <w:t xml:space="preserve">12.2 Brand &amp; collateral</w:t>
      </w:r>
    </w:p>
    <w:p>
      <w:pPr>
        <w:pStyle w:val="ListParagraph"/>
        <w:numPr>
          <w:ilvl w:val="0"/>
          <w:numId w:val="2"/>
        </w:numPr>
        <w:spacing w:after="60"/>
      </w:pPr>
      <w:r>
        <w:t xml:space="preserve">Logo and word-mark: simple, professional, Wisconsin-discreet. Done in Phase 0.</w:t>
      </w:r>
    </w:p>
    <w:p>
      <w:pPr>
        <w:pStyle w:val="ListParagraph"/>
        <w:numPr>
          <w:ilvl w:val="0"/>
          <w:numId w:val="2"/>
        </w:numPr>
        <w:spacing w:after="60"/>
      </w:pPr>
      <w:r>
        <w:t xml:space="preserve">Website: one-page placeholder in Phase 0. Real site after pilot case study lands (Phase 5).</w:t>
      </w:r>
    </w:p>
    <w:p>
      <w:pPr>
        <w:pStyle w:val="ListParagraph"/>
        <w:numPr>
          <w:ilvl w:val="0"/>
          <w:numId w:val="2"/>
        </w:numPr>
        <w:spacing w:after="60"/>
      </w:pPr>
      <w:r>
        <w:t xml:space="preserve">LinkedIn presence: Jim's profile updated to reflect the company. Personal-brand thought leadership posts begin Phase 1, two per month.</w:t>
      </w:r>
    </w:p>
    <w:p>
      <w:pPr>
        <w:pStyle w:val="Heading2"/>
        <w:spacing w:after="120" w:before="240"/>
      </w:pPr>
      <w:r>
        <w:t xml:space="preserve">12.3 Advisory network</w:t>
      </w:r>
    </w:p>
    <w:p>
      <w:pPr>
        <w:pStyle w:val="ListParagraph"/>
        <w:numPr>
          <w:ilvl w:val="0"/>
          <w:numId w:val="2"/>
        </w:numPr>
        <w:spacing w:after="60"/>
      </w:pPr>
      <w:r>
        <w:t xml:space="preserve">Three to five advisors: subrogation operator, healthcare regulatory attorney, SaaS founder who has sold into carriers, plus one carrier-side claims operations leader if accessible.</w:t>
      </w:r>
    </w:p>
    <w:p>
      <w:pPr>
        <w:pStyle w:val="ListParagraph"/>
        <w:numPr>
          <w:ilvl w:val="0"/>
          <w:numId w:val="2"/>
        </w:numPr>
        <w:spacing w:after="60"/>
      </w:pPr>
      <w:r>
        <w:t xml:space="preserve">Advisor compensation: 0.25%–0.50% equity over a 1-year vest with a 3-month cliff, or hourly cash for project-specific scopes. Document in writing.</w:t>
      </w:r>
    </w:p>
    <w:p>
      <w:pPr>
        <w:pStyle w:val="ListParagraph"/>
        <w:numPr>
          <w:ilvl w:val="0"/>
          <w:numId w:val="2"/>
        </w:numPr>
        <w:spacing w:after="60"/>
      </w:pPr>
      <w:r>
        <w:t xml:space="preserve">Quarterly advisory check-ins; ad-hoc when stuck.</w:t>
      </w:r>
    </w:p>
    <w:p>
      <w:pPr>
        <w:pStyle w:val="Heading2"/>
        <w:spacing w:after="120" w:before="240"/>
      </w:pPr>
      <w:r>
        <w:t xml:space="preserve">12.4 Funding &amp; runway</w:t>
      </w:r>
    </w:p>
    <w:p>
      <w:pPr>
        <w:pStyle w:val="ListParagraph"/>
        <w:numPr>
          <w:ilvl w:val="0"/>
          <w:numId w:val="2"/>
        </w:numPr>
        <w:spacing w:after="60"/>
      </w:pPr>
      <w:r>
        <w:t xml:space="preserve">Phase 0–3 should be fundable from personal runway. Target: 6 months of operating cost reserved before quitting any other income.</w:t>
      </w:r>
    </w:p>
    <w:p>
      <w:pPr>
        <w:pStyle w:val="ListParagraph"/>
        <w:numPr>
          <w:ilvl w:val="0"/>
          <w:numId w:val="2"/>
        </w:numPr>
        <w:spacing w:after="60"/>
      </w:pPr>
      <w:r>
        <w:t xml:space="preserve">Phase 4 engineering hire is the first big cash decision: contract engineer ($150–250k/yr equivalent) vs. equity-track co-founder. Decide based on whether the candidate is willing to take equity-heavy compensation.</w:t>
      </w:r>
    </w:p>
    <w:p>
      <w:pPr>
        <w:pStyle w:val="ListParagraph"/>
        <w:numPr>
          <w:ilvl w:val="0"/>
          <w:numId w:val="2"/>
        </w:numPr>
        <w:spacing w:after="60"/>
      </w:pPr>
      <w:r>
        <w:t xml:space="preserve">Friends-and-family round (target: $250–500k) becomes relevant if Phase 4 needs to extend past 10 weeks or a second engineer is needed.</w:t>
      </w:r>
    </w:p>
    <w:p>
      <w:pPr>
        <w:pStyle w:val="ListParagraph"/>
        <w:numPr>
          <w:ilvl w:val="0"/>
          <w:numId w:val="2"/>
        </w:numPr>
        <w:spacing w:after="60"/>
      </w:pPr>
      <w:r>
        <w:t xml:space="preserve">Priced seed round becomes relevant after Phase 5 pilot results land — only with a clean case study in hand.</w:t>
      </w:r>
    </w:p>
    <w:p>
      <w:pPr>
        <w:pStyle w:val="Heading1"/>
        <w:spacing w:after="180" w:before="360"/>
      </w:pPr>
      <w:r>
        <w:t xml:space="preserve">13. Top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FBFBF" w:sz="4"/>
              <w:left w:val="single" w:color="BFBFBF" w:sz="4"/>
              <w:bottom w:val="single" w:color="BFBFBF" w:sz="4"/>
              <w:right w:val="single" w:color="BFBFBF" w:sz="4"/>
            </w:tcBorders>
            <w:shd w:fill="F4D9D9" w:val="clear"/>
            <w:tcMar>
              <w:top w:type="dxa" w:w="80"/>
              <w:left w:type="dxa" w:w="120"/>
              <w:bottom w:type="dxa" w:w="80"/>
              <w:right w:type="dxa" w:w="120"/>
            </w:tcMar>
          </w:tcPr>
          <w:p>
            <w:r>
              <w:rPr>
                <w:b/>
                <w:bCs/>
                <w:sz w:val="20"/>
                <w:szCs w:val="20"/>
              </w:rPr>
              <w:t xml:space="preserve">Risk</w:t>
            </w:r>
          </w:p>
        </w:tc>
        <w:tc>
          <w:tcPr>
            <w:tcW w:type="dxa" w:w="3200"/>
            <w:tcBorders>
              <w:top w:val="single" w:color="BFBFBF" w:sz="4"/>
              <w:left w:val="single" w:color="BFBFBF" w:sz="4"/>
              <w:bottom w:val="single" w:color="BFBFBF" w:sz="4"/>
              <w:right w:val="single" w:color="BFBFBF" w:sz="4"/>
            </w:tcBorders>
            <w:shd w:fill="F4D9D9" w:val="clear"/>
            <w:tcMar>
              <w:top w:type="dxa" w:w="80"/>
              <w:left w:type="dxa" w:w="120"/>
              <w:bottom w:type="dxa" w:w="80"/>
              <w:right w:type="dxa" w:w="120"/>
            </w:tcMar>
          </w:tcPr>
          <w:p>
            <w:r>
              <w:rPr>
                <w:b/>
                <w:bCs/>
                <w:sz w:val="20"/>
                <w:szCs w:val="20"/>
              </w:rPr>
              <w:t xml:space="preserve">Why it matters</w:t>
            </w:r>
          </w:p>
        </w:tc>
        <w:tc>
          <w:tcPr>
            <w:tcW w:type="dxa" w:w="2960"/>
            <w:tcBorders>
              <w:top w:val="single" w:color="BFBFBF" w:sz="4"/>
              <w:left w:val="single" w:color="BFBFBF" w:sz="4"/>
              <w:bottom w:val="single" w:color="BFBFBF" w:sz="4"/>
              <w:right w:val="single" w:color="BFBFBF" w:sz="4"/>
            </w:tcBorders>
            <w:shd w:fill="F4D9D9" w:val="clear"/>
            <w:tcMar>
              <w:top w:type="dxa" w:w="80"/>
              <w:left w:type="dxa" w:w="120"/>
              <w:bottom w:type="dxa" w:w="80"/>
              <w:right w:type="dxa" w:w="120"/>
            </w:tcMar>
          </w:tcPr>
          <w:p>
            <w:r>
              <w:rPr>
                <w:b/>
                <w:bCs/>
                <w:sz w:val="20"/>
                <w:szCs w:val="20"/>
              </w:rPr>
              <w:t xml:space="preserve">Mitigation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Discovery interviews reveal the pain is real but already solved by Rawlings/Optum at major tenants.</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Could narrow the addressable market to TPAs, self-funded employers, and independent-vendor mode only.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Lean harder into the independent-vendor service mode and the sub-enterprise segment. Hospital RCM becomes Phase 2 expansion.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Wisconsin made-whole doctrine analysis is more complex than expected to encode.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Pilot software ships late or produces wrong recovery recommendations on Wisconsin claims.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Engage a Wisconsin subrogation-experienced attorney in Phase 0 to scope the rule set. Treat the made-whole module as its own deliverable in Phase 4.</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HIPAA/SOC 2 readiness slows the engineering build.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Pilot tenant compliance teams could block go-live for weeks.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Start compliance work in Phase 4 day one, not at the end. Pre-execute BAAs with cloud subprocessors. Brief pilot tenant compliance team in writing.</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LLM extraction produces silently wrong fields and the analyst confirms without checking.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Wrong determination with high apparent confidence and full audit trail — worst possible failure mode.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Side-by-side source document highlight is mandatory in the UI. Random monthly audits. Track reviewer disagreement rate as a service-level metric.</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Pilot tenant data is messier than expected.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Integration eats more Phase 4 time than budgeted, pushing pilot launch.</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Manual fallback path in v1. Treat the first 20 claims as integration debugging, not pilot operations.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Founder burnout — solo founder, regulated industry, long pre-revenue path.</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Phases stretch, decisions get delayed, learning compounds badly.</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Protect two interview-blocked days per week. Quarterly advisor check-ins are mandatory. Don't skip the gates — they exist partly so you can stop.</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Carrier procurement cycles are 6–12 months even after a successful pilot.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Phase 6 revenue ramp is slower than the cash plan assumes.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Sub-enterprise (TPA, self-funded employer, independent-vendor service) is the cash-flow strategy for the first 18 months. Enterprise is the second-year story.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ERISA self-funded plan preemption analysis is wrong on a Wisconsin claim and the demand is misrouted.</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Legal exposure plus tenant trust damage on the very first errors.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Analyst sign-off required on every determination in v1. Errors and omissions coverage bound before pilot launch.</w:t>
            </w:r>
          </w:p>
        </w:tc>
      </w:tr>
    </w:tbl>
    <w:p>
      <w:pPr>
        <w:pStyle w:val="Heading1"/>
        <w:spacing w:after="180" w:before="360"/>
      </w:pPr>
      <w:r>
        <w:t xml:space="preserve">14. Open Questions / Decisions to Revisit</w:t>
      </w:r>
    </w:p>
    <w:p>
      <w:pPr>
        <w:pStyle w:val="ListParagraph"/>
        <w:numPr>
          <w:ilvl w:val="0"/>
          <w:numId w:val="2"/>
        </w:numPr>
        <w:spacing w:after="60"/>
      </w:pPr>
      <w:r>
        <w:t xml:space="preserve">Pilot tenant target: is the first conversation aimed at a Wisconsin carrier (Network Health, Quartz, WPS, Common Ground), a regional TPA, a self-funded employer, or your own independent-vendor service shop running on someone else's book?</w:t>
      </w:r>
    </w:p>
    <w:p>
      <w:pPr>
        <w:pStyle w:val="ListParagraph"/>
        <w:numPr>
          <w:ilvl w:val="0"/>
          <w:numId w:val="2"/>
        </w:numPr>
        <w:spacing w:after="60"/>
      </w:pPr>
      <w:r>
        <w:t xml:space="preserve">Engineering hire vs. contract firm vs. co-founder for Phase 4.</w:t>
      </w:r>
    </w:p>
    <w:p>
      <w:pPr>
        <w:pStyle w:val="ListParagraph"/>
        <w:numPr>
          <w:ilvl w:val="0"/>
          <w:numId w:val="2"/>
        </w:numPr>
        <w:spacing w:after="60"/>
      </w:pPr>
      <w:r>
        <w:t xml:space="preserve">Independent-vendor service mode: does COB Flow handle billing and collections, or only the recovery determination and correspondence?</w:t>
      </w:r>
    </w:p>
    <w:p>
      <w:pPr>
        <w:pStyle w:val="ListParagraph"/>
        <w:numPr>
          <w:ilvl w:val="0"/>
          <w:numId w:val="2"/>
        </w:numPr>
        <w:spacing w:after="60"/>
      </w:pPr>
      <w:r>
        <w:t xml:space="preserve">Pricing model finalization — held open until Phase 2 interview data is in.</w:t>
      </w:r>
    </w:p>
    <w:p>
      <w:pPr>
        <w:pStyle w:val="ListParagraph"/>
        <w:numPr>
          <w:ilvl w:val="0"/>
          <w:numId w:val="2"/>
        </w:numPr>
        <w:spacing w:after="60"/>
      </w:pPr>
      <w:r>
        <w:t xml:space="preserve">White-label expectations for vendor tenants — full rebrand vs. co-branded.</w:t>
      </w:r>
    </w:p>
    <w:p>
      <w:pPr>
        <w:pStyle w:val="ListParagraph"/>
        <w:numPr>
          <w:ilvl w:val="0"/>
          <w:numId w:val="2"/>
        </w:numPr>
        <w:spacing w:after="60"/>
      </w:pPr>
      <w:r>
        <w:t xml:space="preserve">Fundraising posture decision — locked at the end of Phase 5.</w:t>
      </w:r>
    </w:p>
    <w:p>
      <w:pPr>
        <w:pStyle w:val="Heading1"/>
        <w:spacing w:after="180" w:before="360"/>
      </w:pPr>
      <w:r>
        <w:t xml:space="preserve">15. How to Use This Document</w:t>
      </w:r>
    </w:p>
    <w:p>
      <w:pPr>
        <w:spacing w:after="120"/>
      </w:pPr>
      <w:r>
        <w:t xml:space="preserve">Each of the six phases above is built on the same template — goal, duration, owner, deliverable, decision gate, activities — so any single phase can be detached and expanded into its own working document. The expected sequence is to live inside one phase at a time and refer back to the others only to confirm the decision gates haven't moved.</w:t>
      </w:r>
    </w:p>
    <w:p>
      <w:pPr>
        <w:spacing w:after="120"/>
      </w:pPr>
      <w:r>
        <w:t xml:space="preserve">This roadmap is not a contract with the future. The discovery interviews will change at least one assumption in here, probably more. Revisit this document at every gate; rewrite the next phase as soon as the prior gate is cleared. The document is most useful when it is most recent.</w:t>
      </w:r>
    </w:p>
    <w:p>
      <w:pPr>
        <w:spacing w:before="600"/>
        <w:jc w:val="center"/>
      </w:pPr>
      <w:r>
        <w:rPr>
          <w:i/>
          <w:iCs/>
          <w:color w:val="999999"/>
        </w:rPr>
        <w:t xml:space="preserve">— end of v1.0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COB Flow Go-to-Market Roadmap — v1.0   |   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2026-05-16T14:20:43.102Z</dcterms:created>
  <dcterms:modified xsi:type="dcterms:W3CDTF">2026-05-16T14:20:43.102Z</dcterms:modified>
</cp:coreProperties>
</file>

<file path=docProps/custom.xml><?xml version="1.0" encoding="utf-8"?>
<Properties xmlns="http://schemas.openxmlformats.org/officeDocument/2006/custom-properties" xmlns:vt="http://schemas.openxmlformats.org/officeDocument/2006/docPropsVTypes"/>
</file>