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d4ed8"/>
          <w:sz w:val="36"/>
          <w:szCs w:val="36"/>
        </w:rPr>
        <w:t xml:space="preserve">COB Flow</w:t>
      </w:r>
    </w:p>
    <w:p>
      <w:pPr>
        <w:spacing w:after="60"/>
      </w:pPr>
      <w:r>
        <w:rPr>
          <w:rFonts w:ascii="Arial" w:cs="Arial" w:eastAsia="Arial" w:hAnsi="Arial"/>
          <w:b/>
          <w:bCs/>
          <w:color w:val="475569"/>
          <w:sz w:val="28"/>
          <w:szCs w:val="28"/>
        </w:rPr>
        <w:t xml:space="preserve">Auto COB Learning Syllabus</w:t>
      </w:r>
    </w:p>
    <w:p>
      <w:pPr>
        <w:spacing w:after="200"/>
      </w:pPr>
      <w:r>
        <w:rPr>
          <w:rFonts w:ascii="Arial" w:cs="Arial" w:eastAsia="Arial" w:hAnsi="Arial"/>
          <w:i/>
          <w:iCs/>
          <w:color w:val="94a3b8"/>
          <w:sz w:val="22"/>
          <w:szCs w:val="22"/>
        </w:rPr>
        <w:t xml:space="preserve">For learners with general health insurance knowledge and no prior Auto COB exposure</w:t>
      </w:r>
    </w:p>
    <w:p>
      <w:pPr>
        <w:pStyle w:val="Heading1"/>
        <w:spacing w:after="140" w:before="280"/>
      </w:pPr>
      <w:r>
        <w:rPr>
          <w:rFonts w:ascii="Arial" w:cs="Arial" w:eastAsia="Arial" w:hAnsi="Arial"/>
          <w:b/>
          <w:bCs/>
          <w:color w:val="1d4ed8"/>
          <w:sz w:val="32"/>
          <w:szCs w:val="32"/>
        </w:rPr>
        <w:t xml:space="preserve">How to use this syllabus</w:t>
      </w:r>
    </w:p>
    <w:p>
      <w:pPr>
        <w:spacing w:after="100" w:before="0" w:line="280"/>
      </w:pPr>
      <w:r>
        <w:rPr>
          <w:rFonts w:ascii="Arial" w:cs="Arial" w:eastAsia="Arial" w:hAnsi="Arial"/>
          <w:sz w:val="22"/>
          <w:szCs w:val="22"/>
        </w:rPr>
        <w:t xml:space="preserve">This syllabus assumes you already understand the basics of health insurance — premiums, deductibles, copays, coinsurance, claim processing, EOBs, the difference between PPO, HMO, and POS plans. From there, it walks twelve sequential modules that take you from no Auto COB knowledge to functional competence with the analyst-grade work the COB Flow product is designed to support.</w:t>
      </w:r>
    </w:p>
    <w:p>
      <w:pPr>
        <w:spacing w:after="100" w:before="0" w:line="280"/>
      </w:pPr>
      <w:r>
        <w:rPr>
          <w:rFonts w:ascii="Arial" w:cs="Arial" w:eastAsia="Arial" w:hAnsi="Arial"/>
          <w:sz w:val="22"/>
          <w:szCs w:val="22"/>
        </w:rPr>
        <w:t xml:space="preserve">Twelve modules total. Studied sequentially, the full path runs about 40–55 hours of focused reading and practice — roughly two weeks intensive, or six to eight weeks part-time. Modules 1–4 are pure foundation; modules 5–8 are the analytical core; modules 9–12 are operational and professional. A learner moving from generalist claims work into Auto COB recovery should treat modules 1–4 as required prereqs before working a real file.</w:t>
      </w:r>
    </w:p>
    <w:p>
      <w:pPr>
        <w:spacing w:after="100" w:before="0" w:line="280"/>
      </w:pPr>
      <w:r>
        <w:rPr>
          <w:rFonts w:ascii="Arial" w:cs="Arial" w:eastAsia="Arial" w:hAnsi="Arial"/>
          <w:sz w:val="22"/>
          <w:szCs w:val="22"/>
        </w:rPr>
        <w:t xml:space="preserve">Each module lists topics, a one-line objective, an estimated time range, and the key references inside the COB Flow project where each topic is treated in depth. Where there's a public source worth knowing (CMS, NAIC, statute), it's named. Where the field has no good consolidated training material (which is most of it — per the Udemy research, dedicated COB analyst curricula don't exist), the COB Flow spec and prototype are the substitute.</w:t>
      </w:r>
    </w:p>
    <w:p>
      <w:pPr>
        <w:spacing w:after="100" w:before="0" w:line="280"/>
      </w:pPr>
      <w:r>
        <w:rPr>
          <w:rFonts w:ascii="Arial" w:cs="Arial" w:eastAsia="Arial" w:hAnsi="Arial"/>
          <w:b/>
          <w:bCs/>
          <w:sz w:val="22"/>
          <w:szCs w:val="22"/>
        </w:rPr>
        <w:t xml:space="preserve">Terminology pitfall to settle now: </w:t>
      </w:r>
      <w:r>
        <w:rPr>
          <w:rFonts w:ascii="Arial" w:cs="Arial" w:eastAsia="Arial" w:hAnsi="Arial"/>
          <w:sz w:val="22"/>
          <w:szCs w:val="22"/>
        </w:rPr>
        <w:t xml:space="preserve">"Coordination of Care" (clinical workflow between providers) is </w:t>
      </w:r>
      <w:r>
        <w:rPr>
          <w:rFonts w:ascii="Arial" w:cs="Arial" w:eastAsia="Arial" w:hAnsi="Arial"/>
          <w:i/>
          <w:iCs/>
          <w:sz w:val="22"/>
          <w:szCs w:val="22"/>
        </w:rPr>
        <w:t xml:space="preserve">not</w:t>
      </w:r>
      <w:r>
        <w:rPr>
          <w:rFonts w:ascii="Arial" w:cs="Arial" w:eastAsia="Arial" w:hAnsi="Arial"/>
          <w:sz w:val="22"/>
          <w:szCs w:val="22"/>
        </w:rPr>
        <w:t xml:space="preserve"> "Coordination of Benefits" (financial workflow between payers). They share a name and live in different domains. Always say COB or coordination </w:t>
      </w:r>
      <w:r>
        <w:rPr>
          <w:rFonts w:ascii="Arial" w:cs="Arial" w:eastAsia="Arial" w:hAnsi="Arial"/>
          <w:i/>
          <w:iCs/>
          <w:sz w:val="22"/>
          <w:szCs w:val="22"/>
        </w:rPr>
        <w:t xml:space="preserve">of benefits</w:t>
      </w:r>
      <w:r>
        <w:rPr>
          <w:rFonts w:ascii="Arial" w:cs="Arial" w:eastAsia="Arial" w:hAnsi="Arial"/>
          <w:sz w:val="22"/>
          <w:szCs w:val="22"/>
        </w:rPr>
        <w:t xml:space="preserve"> — never the unqualified "coordination."</w:t>
      </w:r>
    </w:p>
    <w:p>
      <w:pPr>
        <w:pStyle w:val="Heading1"/>
        <w:spacing w:after="140" w:before="280"/>
      </w:pPr>
      <w:r>
        <w:rPr>
          <w:rFonts w:ascii="Arial" w:cs="Arial" w:eastAsia="Arial" w:hAnsi="Arial"/>
          <w:b/>
          <w:bCs/>
          <w:color w:val="1d4ed8"/>
          <w:sz w:val="32"/>
          <w:szCs w:val="32"/>
        </w:rPr>
        <w:t xml:space="preserve">Modules</w:t>
      </w:r>
    </w:p>
    <w:p>
      <w:pPr>
        <w:pStyle w:val="Heading2"/>
        <w:spacing w:after="100" w:before="240"/>
      </w:pPr>
      <w:r>
        <w:rPr>
          <w:rFonts w:ascii="Arial" w:cs="Arial" w:eastAsia="Arial" w:hAnsi="Arial"/>
          <w:b/>
          <w:bCs/>
          <w:color w:val="1d4ed8"/>
          <w:sz w:val="26"/>
          <w:szCs w:val="26"/>
        </w:rPr>
        <w:t xml:space="preserve">Module 1 · Foundations — why Auto COB exists</w:t>
      </w:r>
    </w:p>
    <w:p>
      <w:pPr>
        <w:spacing w:after="80" w:before="0" w:line="280"/>
      </w:pPr>
      <w:r>
        <w:rPr>
          <w:rFonts w:ascii="Arial" w:cs="Arial" w:eastAsia="Arial" w:hAnsi="Arial"/>
          <w:b/>
          <w:bCs/>
          <w:color w:val="475569"/>
          <w:sz w:val="22"/>
          <w:szCs w:val="22"/>
        </w:rPr>
        <w:t xml:space="preserve">Objective: </w:t>
      </w:r>
      <w:r>
        <w:rPr>
          <w:rFonts w:ascii="Arial" w:cs="Arial" w:eastAsia="Arial" w:hAnsi="Arial"/>
          <w:sz w:val="22"/>
          <w:szCs w:val="22"/>
        </w:rPr>
        <w:t xml:space="preserve">Articulate why auto and health insurance overlap when someone is injured, and the cost of getting primacy wrong.</w:t>
      </w:r>
      <w:r>
        <w:rPr>
          <w:rFonts w:ascii="Arial" w:cs="Arial" w:eastAsia="Arial" w:hAnsi="Arial"/>
          <w:color w:val="94a3b8"/>
          <w:sz w:val="22"/>
          <w:szCs w:val="22"/>
        </w:rPr>
        <w:t xml:space="preserve">   ·   </w:t>
      </w:r>
      <w:r>
        <w:rPr>
          <w:rFonts w:ascii="Arial" w:cs="Arial" w:eastAsia="Arial" w:hAnsi="Arial"/>
          <w:b/>
          <w:bCs/>
          <w:color w:val="475569"/>
          <w:sz w:val="22"/>
          <w:szCs w:val="22"/>
        </w:rPr>
        <w:t xml:space="preserve">Estimated study time: </w:t>
      </w:r>
      <w:r>
        <w:rPr>
          <w:rFonts w:ascii="Arial" w:cs="Arial" w:eastAsia="Arial" w:hAnsi="Arial"/>
          <w:sz w:val="22"/>
          <w:szCs w:val="22"/>
        </w:rPr>
        <w:t xml:space="preserve">2–3 hours</w:t>
      </w:r>
    </w:p>
    <w:p>
      <w:pPr>
        <w:spacing w:after="60" w:before="0"/>
      </w:pPr>
      <w:r>
        <w:rPr>
          <w:rFonts w:ascii="Arial" w:cs="Arial" w:eastAsia="Arial" w:hAnsi="Arial"/>
          <w:b/>
          <w:bCs/>
          <w:color w:val="475569"/>
          <w:sz w:val="22"/>
          <w:szCs w:val="22"/>
        </w:rPr>
        <w:t xml:space="preserve">Topics</w:t>
      </w:r>
    </w:p>
    <w:p>
      <w:pPr>
        <w:pStyle w:val="ListParagraph"/>
        <w:numPr>
          <w:ilvl w:val="0"/>
          <w:numId w:val="2"/>
        </w:numPr>
        <w:spacing w:after="50" w:before="0" w:line="280"/>
      </w:pPr>
      <w:r>
        <w:rPr>
          <w:rFonts w:ascii="Arial" w:cs="Arial" w:eastAsia="Arial" w:hAnsi="Arial"/>
          <w:sz w:val="22"/>
          <w:szCs w:val="22"/>
        </w:rPr>
        <w:t xml:space="preserve">The injury claim that creates the problem: a member is hurt in a car accident; the same medical bills are potentially payable by health insurance, auto med-pay or PIP, the at-fault driver's liability carrier, worker's comp (sometimes), Medicare or Medicaid (sometimes).</w:t>
      </w:r>
    </w:p>
    <w:p>
      <w:pPr>
        <w:pStyle w:val="ListParagraph"/>
        <w:numPr>
          <w:ilvl w:val="0"/>
          <w:numId w:val="2"/>
        </w:numPr>
        <w:spacing w:after="50" w:before="0" w:line="280"/>
      </w:pPr>
      <w:r>
        <w:rPr>
          <w:rFonts w:ascii="Arial" w:cs="Arial" w:eastAsia="Arial" w:hAnsi="Arial"/>
          <w:sz w:val="22"/>
          <w:szCs w:val="22"/>
        </w:rPr>
        <w:t xml:space="preserve">What "primacy" means: which payer is legally responsible to pay first; secondary may then reduce its payment.</w:t>
      </w:r>
    </w:p>
    <w:p>
      <w:pPr>
        <w:pStyle w:val="ListParagraph"/>
        <w:numPr>
          <w:ilvl w:val="0"/>
          <w:numId w:val="2"/>
        </w:numPr>
        <w:spacing w:after="50" w:before="0" w:line="280"/>
      </w:pPr>
      <w:r>
        <w:rPr>
          <w:rFonts w:ascii="Arial" w:cs="Arial" w:eastAsia="Arial" w:hAnsi="Arial"/>
          <w:sz w:val="22"/>
          <w:szCs w:val="22"/>
        </w:rPr>
        <w:t xml:space="preserve">The cost of getting it wrong: leakage (health plan pays for something auto should have covered), duplicate payment (multiple payers each pay full), audit findings, regulatory exposure.</w:t>
      </w:r>
    </w:p>
    <w:p>
      <w:pPr>
        <w:pStyle w:val="ListParagraph"/>
        <w:numPr>
          <w:ilvl w:val="0"/>
          <w:numId w:val="2"/>
        </w:numPr>
        <w:spacing w:after="50" w:before="0" w:line="280"/>
      </w:pPr>
      <w:r>
        <w:rPr>
          <w:rFonts w:ascii="Arial" w:cs="Arial" w:eastAsia="Arial" w:hAnsi="Arial"/>
          <w:sz w:val="22"/>
          <w:szCs w:val="22"/>
        </w:rPr>
        <w:t xml:space="preserve">Where Auto COB sits in the broader recovery universe: COB → subrogation → recovery, and where each begins and ends.</w:t>
      </w:r>
    </w:p>
    <w:p>
      <w:pPr>
        <w:spacing w:after="60" w:before="80"/>
      </w:pPr>
      <w:r>
        <w:rPr>
          <w:rFonts w:ascii="Arial" w:cs="Arial" w:eastAsia="Arial" w:hAnsi="Arial"/>
          <w:b/>
          <w:bCs/>
          <w:color w:val="b45309"/>
          <w:sz w:val="22"/>
          <w:szCs w:val="22"/>
        </w:rPr>
        <w:t xml:space="preserve">Why it matters: </w:t>
      </w:r>
      <w:r>
        <w:rPr>
          <w:rFonts w:ascii="Arial" w:cs="Arial" w:eastAsia="Arial" w:hAnsi="Arial"/>
          <w:i/>
          <w:iCs/>
          <w:color w:val="475569"/>
          <w:sz w:val="22"/>
          <w:szCs w:val="22"/>
        </w:rPr>
        <w:t xml:space="preserve">Most analysts learn this from a war story rather than a textbook. Starting with the framing prevents the common confusion between COB (who pays first) and subrogation (recovering from a third party after payment).</w:t>
      </w:r>
    </w:p>
    <w:p>
      <w:pPr>
        <w:spacing w:after="100" w:before="40"/>
      </w:pPr>
      <w:r>
        <w:rPr>
          <w:rFonts w:ascii="Arial" w:cs="Arial" w:eastAsia="Arial" w:hAnsi="Arial"/>
          <w:b/>
          <w:bCs/>
          <w:color w:val="475569"/>
          <w:sz w:val="22"/>
          <w:szCs w:val="22"/>
        </w:rPr>
        <w:t xml:space="preserve">Key references: </w:t>
      </w:r>
      <w:r>
        <w:rPr>
          <w:rFonts w:ascii="Arial" w:cs="Arial" w:eastAsia="Arial" w:hAnsi="Arial"/>
          <w:color w:val="475569"/>
          <w:sz w:val="20"/>
          <w:szCs w:val="20"/>
        </w:rPr>
        <w:t xml:space="preserve">COB Flow Product Spec §§ 1, 5; COB Flow Handoff §§ 1, 4</w:t>
      </w:r>
    </w:p>
    <w:p>
      <w:pPr>
        <w:pStyle w:val="Heading2"/>
        <w:spacing w:after="100" w:before="240"/>
      </w:pPr>
      <w:r>
        <w:rPr>
          <w:rFonts w:ascii="Arial" w:cs="Arial" w:eastAsia="Arial" w:hAnsi="Arial"/>
          <w:b/>
          <w:bCs/>
          <w:color w:val="1d4ed8"/>
          <w:sz w:val="26"/>
          <w:szCs w:val="26"/>
        </w:rPr>
        <w:t xml:space="preserve">Module 2 · Auto insurance — a crash course for health-side learners</w:t>
      </w:r>
    </w:p>
    <w:p>
      <w:pPr>
        <w:spacing w:after="80" w:before="0" w:line="280"/>
      </w:pPr>
      <w:r>
        <w:rPr>
          <w:rFonts w:ascii="Arial" w:cs="Arial" w:eastAsia="Arial" w:hAnsi="Arial"/>
          <w:b/>
          <w:bCs/>
          <w:color w:val="475569"/>
          <w:sz w:val="22"/>
          <w:szCs w:val="22"/>
        </w:rPr>
        <w:t xml:space="preserve">Objective: </w:t>
      </w:r>
      <w:r>
        <w:rPr>
          <w:rFonts w:ascii="Arial" w:cs="Arial" w:eastAsia="Arial" w:hAnsi="Arial"/>
          <w:sz w:val="22"/>
          <w:szCs w:val="22"/>
        </w:rPr>
        <w:t xml:space="preserve">Read an auto insurance declarations page and identify the coverages that matter for Auto COB.</w:t>
      </w:r>
      <w:r>
        <w:rPr>
          <w:rFonts w:ascii="Arial" w:cs="Arial" w:eastAsia="Arial" w:hAnsi="Arial"/>
          <w:color w:val="94a3b8"/>
          <w:sz w:val="22"/>
          <w:szCs w:val="22"/>
        </w:rPr>
        <w:t xml:space="preserve">   ·   </w:t>
      </w:r>
      <w:r>
        <w:rPr>
          <w:rFonts w:ascii="Arial" w:cs="Arial" w:eastAsia="Arial" w:hAnsi="Arial"/>
          <w:b/>
          <w:bCs/>
          <w:color w:val="475569"/>
          <w:sz w:val="22"/>
          <w:szCs w:val="22"/>
        </w:rPr>
        <w:t xml:space="preserve">Estimated study time: </w:t>
      </w:r>
      <w:r>
        <w:rPr>
          <w:rFonts w:ascii="Arial" w:cs="Arial" w:eastAsia="Arial" w:hAnsi="Arial"/>
          <w:sz w:val="22"/>
          <w:szCs w:val="22"/>
        </w:rPr>
        <w:t xml:space="preserve">4–6 hours</w:t>
      </w:r>
    </w:p>
    <w:p>
      <w:pPr>
        <w:spacing w:after="60" w:before="0"/>
      </w:pPr>
      <w:r>
        <w:rPr>
          <w:rFonts w:ascii="Arial" w:cs="Arial" w:eastAsia="Arial" w:hAnsi="Arial"/>
          <w:b/>
          <w:bCs/>
          <w:color w:val="475569"/>
          <w:sz w:val="22"/>
          <w:szCs w:val="22"/>
        </w:rPr>
        <w:t xml:space="preserve">Topics</w:t>
      </w:r>
    </w:p>
    <w:p>
      <w:pPr>
        <w:pStyle w:val="ListParagraph"/>
        <w:numPr>
          <w:ilvl w:val="0"/>
          <w:numId w:val="2"/>
        </w:numPr>
        <w:spacing w:after="50" w:before="0" w:line="280"/>
      </w:pPr>
      <w:r>
        <w:rPr>
          <w:rFonts w:ascii="Arial" w:cs="Arial" w:eastAsia="Arial" w:hAnsi="Arial"/>
          <w:sz w:val="22"/>
          <w:szCs w:val="22"/>
        </w:rPr>
        <w:t xml:space="preserve">First-party medical coverages (the insured's own auto policy):</w:t>
      </w:r>
    </w:p>
    <w:p>
      <w:pPr>
        <w:pStyle w:val="ListParagraph"/>
        <w:numPr>
          <w:ilvl w:val="1"/>
          <w:numId w:val="2"/>
        </w:numPr>
        <w:spacing w:after="50" w:before="0" w:line="280"/>
      </w:pPr>
      <w:r>
        <w:rPr>
          <w:rFonts w:ascii="Arial" w:cs="Arial" w:eastAsia="Arial" w:hAnsi="Arial"/>
          <w:sz w:val="22"/>
          <w:szCs w:val="22"/>
        </w:rPr>
        <w:t xml:space="preserve">PIP (Personal Injury Protection) — mandatory in no-fault states; pays the insured's accident-related medical regardless of fault, up to PIP limits.</w:t>
      </w:r>
    </w:p>
    <w:p>
      <w:pPr>
        <w:pStyle w:val="ListParagraph"/>
        <w:numPr>
          <w:ilvl w:val="1"/>
          <w:numId w:val="2"/>
        </w:numPr>
        <w:spacing w:after="50" w:before="0" w:line="280"/>
      </w:pPr>
      <w:r>
        <w:rPr>
          <w:rFonts w:ascii="Arial" w:cs="Arial" w:eastAsia="Arial" w:hAnsi="Arial"/>
          <w:sz w:val="22"/>
          <w:szCs w:val="22"/>
        </w:rPr>
        <w:t xml:space="preserve">Med-Pay (Medical Payments) — optional add-on in most states including Wisconsin; pays accident-related medical regardless of fault, smaller limits typically ($1,000–$25,000).</w:t>
      </w:r>
    </w:p>
    <w:p>
      <w:pPr>
        <w:pStyle w:val="ListParagraph"/>
        <w:numPr>
          <w:ilvl w:val="1"/>
          <w:numId w:val="2"/>
        </w:numPr>
        <w:spacing w:after="50" w:before="0" w:line="280"/>
      </w:pPr>
      <w:r>
        <w:rPr>
          <w:rFonts w:ascii="Arial" w:cs="Arial" w:eastAsia="Arial" w:hAnsi="Arial"/>
          <w:sz w:val="22"/>
          <w:szCs w:val="22"/>
        </w:rPr>
        <w:t xml:space="preserve">UM/UIM Medical (Uninsured/Underinsured Motorist) — pays the insured when the at-fault party is uninsured or underinsured; medical component of UM/UIM can also touch COB.</w:t>
      </w:r>
    </w:p>
    <w:p>
      <w:pPr>
        <w:pStyle w:val="ListParagraph"/>
        <w:numPr>
          <w:ilvl w:val="0"/>
          <w:numId w:val="2"/>
        </w:numPr>
        <w:spacing w:after="50" w:before="0" w:line="280"/>
      </w:pPr>
      <w:r>
        <w:rPr>
          <w:rFonts w:ascii="Arial" w:cs="Arial" w:eastAsia="Arial" w:hAnsi="Arial"/>
          <w:sz w:val="22"/>
          <w:szCs w:val="22"/>
        </w:rPr>
        <w:t xml:space="preserve">Third-party coverage (the at-fault driver's auto policy):</w:t>
      </w:r>
    </w:p>
    <w:p>
      <w:pPr>
        <w:pStyle w:val="ListParagraph"/>
        <w:numPr>
          <w:ilvl w:val="1"/>
          <w:numId w:val="2"/>
        </w:numPr>
        <w:spacing w:after="50" w:before="0" w:line="280"/>
      </w:pPr>
      <w:r>
        <w:rPr>
          <w:rFonts w:ascii="Arial" w:cs="Arial" w:eastAsia="Arial" w:hAnsi="Arial"/>
          <w:sz w:val="22"/>
          <w:szCs w:val="22"/>
        </w:rPr>
        <w:t xml:space="preserve">Bodily Injury (BI) liability — pays the injured non-insured for medical, pain &amp; suffering, lost wages, etc. Subject to settlement negotiation, not first-party med-pay rules.</w:t>
      </w:r>
    </w:p>
    <w:p>
      <w:pPr>
        <w:pStyle w:val="ListParagraph"/>
        <w:numPr>
          <w:ilvl w:val="1"/>
          <w:numId w:val="2"/>
        </w:numPr>
        <w:spacing w:after="50" w:before="0" w:line="280"/>
      </w:pPr>
      <w:r>
        <w:rPr>
          <w:rFonts w:ascii="Arial" w:cs="Arial" w:eastAsia="Arial" w:hAnsi="Arial"/>
          <w:sz w:val="22"/>
          <w:szCs w:val="22"/>
        </w:rPr>
        <w:t xml:space="preserve">Property Damage liability — irrelevant to Auto COB (just car repair).</w:t>
      </w:r>
    </w:p>
    <w:p>
      <w:pPr>
        <w:pStyle w:val="ListParagraph"/>
        <w:numPr>
          <w:ilvl w:val="0"/>
          <w:numId w:val="2"/>
        </w:numPr>
        <w:spacing w:after="50" w:before="0" w:line="280"/>
      </w:pPr>
      <w:r>
        <w:rPr>
          <w:rFonts w:ascii="Arial" w:cs="Arial" w:eastAsia="Arial" w:hAnsi="Arial"/>
          <w:sz w:val="22"/>
          <w:szCs w:val="22"/>
        </w:rPr>
        <w:t xml:space="preserve">Policy limits: per-person, per-accident, aggregate. Limits drive whether full medical can be recovered.</w:t>
      </w:r>
    </w:p>
    <w:p>
      <w:pPr>
        <w:pStyle w:val="ListParagraph"/>
        <w:numPr>
          <w:ilvl w:val="0"/>
          <w:numId w:val="2"/>
        </w:numPr>
        <w:spacing w:after="50" w:before="0" w:line="280"/>
      </w:pPr>
      <w:r>
        <w:rPr>
          <w:rFonts w:ascii="Arial" w:cs="Arial" w:eastAsia="Arial" w:hAnsi="Arial"/>
          <w:sz w:val="22"/>
          <w:szCs w:val="22"/>
        </w:rPr>
        <w:t xml:space="preserve">The fault model: tort states vs. no-fault states; comparative negligence percentages; the "made whole" question.</w:t>
      </w:r>
    </w:p>
    <w:p>
      <w:pPr>
        <w:pStyle w:val="ListParagraph"/>
        <w:numPr>
          <w:ilvl w:val="0"/>
          <w:numId w:val="2"/>
        </w:numPr>
        <w:spacing w:after="50" w:before="0" w:line="280"/>
      </w:pPr>
      <w:r>
        <w:rPr>
          <w:rFonts w:ascii="Arial" w:cs="Arial" w:eastAsia="Arial" w:hAnsi="Arial"/>
          <w:sz w:val="22"/>
          <w:szCs w:val="22"/>
        </w:rPr>
        <w:t xml:space="preserve">Settlement vs. policy-limit demand: when settlement falls short of total medical, lien-reduction negotiation begins.</w:t>
      </w:r>
    </w:p>
    <w:p>
      <w:pPr>
        <w:spacing w:after="60" w:before="80"/>
      </w:pPr>
      <w:r>
        <w:rPr>
          <w:rFonts w:ascii="Arial" w:cs="Arial" w:eastAsia="Arial" w:hAnsi="Arial"/>
          <w:b/>
          <w:bCs/>
          <w:color w:val="b45309"/>
          <w:sz w:val="22"/>
          <w:szCs w:val="22"/>
        </w:rPr>
        <w:t xml:space="preserve">Why it matters: </w:t>
      </w:r>
      <w:r>
        <w:rPr>
          <w:rFonts w:ascii="Arial" w:cs="Arial" w:eastAsia="Arial" w:hAnsi="Arial"/>
          <w:i/>
          <w:iCs/>
          <w:color w:val="475569"/>
          <w:sz w:val="22"/>
          <w:szCs w:val="22"/>
        </w:rPr>
        <w:t xml:space="preserve">Most health-side analysts have never read an auto declarations page. This module closes the most common knowledge gap.</w:t>
      </w:r>
    </w:p>
    <w:p>
      <w:pPr>
        <w:spacing w:after="100" w:before="40"/>
      </w:pPr>
      <w:r>
        <w:rPr>
          <w:rFonts w:ascii="Arial" w:cs="Arial" w:eastAsia="Arial" w:hAnsi="Arial"/>
          <w:b/>
          <w:bCs/>
          <w:color w:val="475569"/>
          <w:sz w:val="22"/>
          <w:szCs w:val="22"/>
        </w:rPr>
        <w:t xml:space="preserve">Key references: </w:t>
      </w:r>
      <w:r>
        <w:rPr>
          <w:rFonts w:ascii="Arial" w:cs="Arial" w:eastAsia="Arial" w:hAnsi="Arial"/>
          <w:color w:val="475569"/>
          <w:sz w:val="20"/>
          <w:szCs w:val="20"/>
        </w:rPr>
        <w:t xml:space="preserve">Wis. Stat. § 632.32 (WI auto policy regulation, Med-Pay optional); Spec § 6.1 Rule 1 (no-fault states list)</w:t>
      </w:r>
    </w:p>
    <w:p>
      <w:pPr>
        <w:pStyle w:val="Heading2"/>
        <w:spacing w:after="100" w:before="240"/>
      </w:pPr>
      <w:r>
        <w:rPr>
          <w:rFonts w:ascii="Arial" w:cs="Arial" w:eastAsia="Arial" w:hAnsi="Arial"/>
          <w:b/>
          <w:bCs/>
          <w:color w:val="1d4ed8"/>
          <w:sz w:val="26"/>
          <w:szCs w:val="26"/>
        </w:rPr>
        <w:t xml:space="preserve">Module 3 · COB fundamentals — the NAIC framework</w:t>
      </w:r>
    </w:p>
    <w:p>
      <w:pPr>
        <w:spacing w:after="80" w:before="0" w:line="280"/>
      </w:pPr>
      <w:r>
        <w:rPr>
          <w:rFonts w:ascii="Arial" w:cs="Arial" w:eastAsia="Arial" w:hAnsi="Arial"/>
          <w:b/>
          <w:bCs/>
          <w:color w:val="475569"/>
          <w:sz w:val="22"/>
          <w:szCs w:val="22"/>
        </w:rPr>
        <w:t xml:space="preserve">Objective: </w:t>
      </w:r>
      <w:r>
        <w:rPr>
          <w:rFonts w:ascii="Arial" w:cs="Arial" w:eastAsia="Arial" w:hAnsi="Arial"/>
          <w:sz w:val="22"/>
          <w:szCs w:val="22"/>
        </w:rPr>
        <w:t xml:space="preserve">Apply the NAIC-model order of benefit determination rules to a multi-coverage scenario.</w:t>
      </w:r>
      <w:r>
        <w:rPr>
          <w:rFonts w:ascii="Arial" w:cs="Arial" w:eastAsia="Arial" w:hAnsi="Arial"/>
          <w:color w:val="94a3b8"/>
          <w:sz w:val="22"/>
          <w:szCs w:val="22"/>
        </w:rPr>
        <w:t xml:space="preserve">   ·   </w:t>
      </w:r>
      <w:r>
        <w:rPr>
          <w:rFonts w:ascii="Arial" w:cs="Arial" w:eastAsia="Arial" w:hAnsi="Arial"/>
          <w:b/>
          <w:bCs/>
          <w:color w:val="475569"/>
          <w:sz w:val="22"/>
          <w:szCs w:val="22"/>
        </w:rPr>
        <w:t xml:space="preserve">Estimated study time: </w:t>
      </w:r>
      <w:r>
        <w:rPr>
          <w:rFonts w:ascii="Arial" w:cs="Arial" w:eastAsia="Arial" w:hAnsi="Arial"/>
          <w:sz w:val="22"/>
          <w:szCs w:val="22"/>
        </w:rPr>
        <w:t xml:space="preserve">4–6 hours</w:t>
      </w:r>
    </w:p>
    <w:p>
      <w:pPr>
        <w:spacing w:after="60" w:before="0"/>
      </w:pPr>
      <w:r>
        <w:rPr>
          <w:rFonts w:ascii="Arial" w:cs="Arial" w:eastAsia="Arial" w:hAnsi="Arial"/>
          <w:b/>
          <w:bCs/>
          <w:color w:val="475569"/>
          <w:sz w:val="22"/>
          <w:szCs w:val="22"/>
        </w:rPr>
        <w:t xml:space="preserve">Topics</w:t>
      </w:r>
    </w:p>
    <w:p>
      <w:pPr>
        <w:pStyle w:val="ListParagraph"/>
        <w:numPr>
          <w:ilvl w:val="0"/>
          <w:numId w:val="2"/>
        </w:numPr>
        <w:spacing w:after="50" w:before="0" w:line="280"/>
      </w:pPr>
      <w:r>
        <w:rPr>
          <w:rFonts w:ascii="Arial" w:cs="Arial" w:eastAsia="Arial" w:hAnsi="Arial"/>
          <w:sz w:val="22"/>
          <w:szCs w:val="22"/>
        </w:rPr>
        <w:t xml:space="preserve">What COB does: orders payers when more than one plan covers the same person for the same expense.</w:t>
      </w:r>
    </w:p>
    <w:p>
      <w:pPr>
        <w:pStyle w:val="ListParagraph"/>
        <w:numPr>
          <w:ilvl w:val="0"/>
          <w:numId w:val="2"/>
        </w:numPr>
        <w:spacing w:after="50" w:before="0" w:line="280"/>
      </w:pPr>
      <w:r>
        <w:rPr>
          <w:rFonts w:ascii="Arial" w:cs="Arial" w:eastAsia="Arial" w:hAnsi="Arial"/>
          <w:sz w:val="22"/>
          <w:szCs w:val="22"/>
        </w:rPr>
        <w:t xml:space="preserve">What COB does NOT do: it does not adjudicate clinical appropriateness, does not deny coverage, does not change the underlying contracts. It only orders payment.</w:t>
      </w:r>
    </w:p>
    <w:p>
      <w:pPr>
        <w:pStyle w:val="ListParagraph"/>
        <w:numPr>
          <w:ilvl w:val="0"/>
          <w:numId w:val="2"/>
        </w:numPr>
        <w:spacing w:after="50" w:before="0" w:line="280"/>
      </w:pPr>
      <w:r>
        <w:rPr>
          <w:rFonts w:ascii="Arial" w:cs="Arial" w:eastAsia="Arial" w:hAnsi="Arial"/>
          <w:sz w:val="22"/>
          <w:szCs w:val="22"/>
        </w:rPr>
        <w:t xml:space="preserve">The NAIC-model order of benefit determination (codified in most states' insurance code):</w:t>
      </w:r>
    </w:p>
    <w:p>
      <w:pPr>
        <w:pStyle w:val="ListParagraph"/>
        <w:numPr>
          <w:ilvl w:val="1"/>
          <w:numId w:val="2"/>
        </w:numPr>
        <w:spacing w:after="50" w:before="0" w:line="280"/>
      </w:pPr>
      <w:r>
        <w:rPr>
          <w:rFonts w:ascii="Arial" w:cs="Arial" w:eastAsia="Arial" w:hAnsi="Arial"/>
          <w:sz w:val="22"/>
          <w:szCs w:val="22"/>
        </w:rPr>
        <w:t xml:space="preserve">Non-dependent vs. dependent — employee/subscriber plan first.</w:t>
      </w:r>
    </w:p>
    <w:p>
      <w:pPr>
        <w:pStyle w:val="ListParagraph"/>
        <w:numPr>
          <w:ilvl w:val="1"/>
          <w:numId w:val="2"/>
        </w:numPr>
        <w:spacing w:after="50" w:before="0" w:line="280"/>
      </w:pPr>
      <w:r>
        <w:rPr>
          <w:rFonts w:ascii="Arial" w:cs="Arial" w:eastAsia="Arial" w:hAnsi="Arial"/>
          <w:sz w:val="22"/>
          <w:szCs w:val="22"/>
        </w:rPr>
        <w:t xml:space="preserve">Dependent child / parents not separated — birthday rule (earlier birthday in calendar year, ignoring birth year). Tiebreaker: longer coverage.</w:t>
      </w:r>
    </w:p>
    <w:p>
      <w:pPr>
        <w:pStyle w:val="ListParagraph"/>
        <w:numPr>
          <w:ilvl w:val="1"/>
          <w:numId w:val="2"/>
        </w:numPr>
        <w:spacing w:after="50" w:before="0" w:line="280"/>
      </w:pPr>
      <w:r>
        <w:rPr>
          <w:rFonts w:ascii="Arial" w:cs="Arial" w:eastAsia="Arial" w:hAnsi="Arial"/>
          <w:sz w:val="22"/>
          <w:szCs w:val="22"/>
        </w:rPr>
        <w:t xml:space="preserve">Dependent child / separated parents — custodial parent → custodial spouse → non-custodial. Court decree (QMCSO) overrides.</w:t>
      </w:r>
    </w:p>
    <w:p>
      <w:pPr>
        <w:pStyle w:val="ListParagraph"/>
        <w:numPr>
          <w:ilvl w:val="1"/>
          <w:numId w:val="2"/>
        </w:numPr>
        <w:spacing w:after="50" w:before="0" w:line="280"/>
      </w:pPr>
      <w:r>
        <w:rPr>
          <w:rFonts w:ascii="Arial" w:cs="Arial" w:eastAsia="Arial" w:hAnsi="Arial"/>
          <w:sz w:val="22"/>
          <w:szCs w:val="22"/>
        </w:rPr>
        <w:t xml:space="preserve">Active vs. inactive employee — active first.</w:t>
      </w:r>
    </w:p>
    <w:p>
      <w:pPr>
        <w:pStyle w:val="ListParagraph"/>
        <w:numPr>
          <w:ilvl w:val="1"/>
          <w:numId w:val="2"/>
        </w:numPr>
        <w:spacing w:after="50" w:before="0" w:line="280"/>
      </w:pPr>
      <w:r>
        <w:rPr>
          <w:rFonts w:ascii="Arial" w:cs="Arial" w:eastAsia="Arial" w:hAnsi="Arial"/>
          <w:sz w:val="22"/>
          <w:szCs w:val="22"/>
        </w:rPr>
        <w:t xml:space="preserve">Continuation coverage (COBRA / state continuation) — employee plan first, continuation second.</w:t>
      </w:r>
    </w:p>
    <w:p>
      <w:pPr>
        <w:pStyle w:val="ListParagraph"/>
        <w:numPr>
          <w:ilvl w:val="1"/>
          <w:numId w:val="2"/>
        </w:numPr>
        <w:spacing w:after="50" w:before="0" w:line="280"/>
      </w:pPr>
      <w:r>
        <w:rPr>
          <w:rFonts w:ascii="Arial" w:cs="Arial" w:eastAsia="Arial" w:hAnsi="Arial"/>
          <w:sz w:val="22"/>
          <w:szCs w:val="22"/>
        </w:rPr>
        <w:t xml:space="preserve">Longer/shorter length of coverage — fallback when no other rule resolves.</w:t>
      </w:r>
    </w:p>
    <w:p>
      <w:pPr>
        <w:pStyle w:val="ListParagraph"/>
        <w:numPr>
          <w:ilvl w:val="0"/>
          <w:numId w:val="2"/>
        </w:numPr>
        <w:spacing w:after="50" w:before="0" w:line="280"/>
      </w:pPr>
      <w:r>
        <w:rPr>
          <w:rFonts w:ascii="Arial" w:cs="Arial" w:eastAsia="Arial" w:hAnsi="Arial"/>
          <w:sz w:val="22"/>
          <w:szCs w:val="22"/>
        </w:rPr>
        <w:t xml:space="preserve">The financial mechanics: primary pays per its terms ignoring other coverage; secondary may reduce its benefits so total doesn't exceed allowable expenses (the COB cap).</w:t>
      </w:r>
    </w:p>
    <w:p>
      <w:pPr>
        <w:pStyle w:val="ListParagraph"/>
        <w:numPr>
          <w:ilvl w:val="0"/>
          <w:numId w:val="2"/>
        </w:numPr>
        <w:spacing w:after="50" w:before="0" w:line="280"/>
      </w:pPr>
      <w:r>
        <w:rPr>
          <w:rFonts w:ascii="Arial" w:cs="Arial" w:eastAsia="Arial" w:hAnsi="Arial"/>
          <w:sz w:val="22"/>
          <w:szCs w:val="22"/>
        </w:rPr>
        <w:t xml:space="preserve">Allowable expenses and credit savings: secondary tracks reductions across the claim determination period and can apply them later.</w:t>
      </w:r>
    </w:p>
    <w:p>
      <w:pPr>
        <w:spacing w:after="60" w:before="80"/>
      </w:pPr>
      <w:r>
        <w:rPr>
          <w:rFonts w:ascii="Arial" w:cs="Arial" w:eastAsia="Arial" w:hAnsi="Arial"/>
          <w:b/>
          <w:bCs/>
          <w:color w:val="b45309"/>
          <w:sz w:val="22"/>
          <w:szCs w:val="22"/>
        </w:rPr>
        <w:t xml:space="preserve">Why it matters: </w:t>
      </w:r>
      <w:r>
        <w:rPr>
          <w:rFonts w:ascii="Arial" w:cs="Arial" w:eastAsia="Arial" w:hAnsi="Arial"/>
          <w:i/>
          <w:iCs/>
          <w:color w:val="475569"/>
          <w:sz w:val="22"/>
          <w:szCs w:val="22"/>
        </w:rPr>
        <w:t xml:space="preserve">The order of benefit determination is the analytical core. Without it, you can't reason about any COB case.</w:t>
      </w:r>
    </w:p>
    <w:p>
      <w:pPr>
        <w:spacing w:after="100" w:before="40"/>
      </w:pPr>
      <w:r>
        <w:rPr>
          <w:rFonts w:ascii="Arial" w:cs="Arial" w:eastAsia="Arial" w:hAnsi="Arial"/>
          <w:b/>
          <w:bCs/>
          <w:color w:val="475569"/>
          <w:sz w:val="22"/>
          <w:szCs w:val="22"/>
        </w:rPr>
        <w:t xml:space="preserve">Key references: </w:t>
      </w:r>
      <w:r>
        <w:rPr>
          <w:rFonts w:ascii="Arial" w:cs="Arial" w:eastAsia="Arial" w:hAnsi="Arial"/>
          <w:color w:val="475569"/>
          <w:sz w:val="20"/>
          <w:szCs w:val="20"/>
        </w:rPr>
        <w:t xml:space="preserve">Wis. Admin. Code § Ins 3.40 (full text in project folder); Spec § 6.1 (engine rules); Spec § 6.2 (WI overlay)</w:t>
      </w:r>
    </w:p>
    <w:p>
      <w:pPr>
        <w:pStyle w:val="Heading2"/>
        <w:spacing w:after="100" w:before="240"/>
      </w:pPr>
      <w:r>
        <w:rPr>
          <w:rFonts w:ascii="Arial" w:cs="Arial" w:eastAsia="Arial" w:hAnsi="Arial"/>
          <w:b/>
          <w:bCs/>
          <w:color w:val="1d4ed8"/>
          <w:sz w:val="26"/>
          <w:szCs w:val="26"/>
        </w:rPr>
        <w:t xml:space="preserve">Module 4 · Where health and auto meet — the intersection</w:t>
      </w:r>
    </w:p>
    <w:p>
      <w:pPr>
        <w:spacing w:after="80" w:before="0" w:line="280"/>
      </w:pPr>
      <w:r>
        <w:rPr>
          <w:rFonts w:ascii="Arial" w:cs="Arial" w:eastAsia="Arial" w:hAnsi="Arial"/>
          <w:b/>
          <w:bCs/>
          <w:color w:val="475569"/>
          <w:sz w:val="22"/>
          <w:szCs w:val="22"/>
        </w:rPr>
        <w:t xml:space="preserve">Objective: </w:t>
      </w:r>
      <w:r>
        <w:rPr>
          <w:rFonts w:ascii="Arial" w:cs="Arial" w:eastAsia="Arial" w:hAnsi="Arial"/>
          <w:sz w:val="22"/>
          <w:szCs w:val="22"/>
        </w:rPr>
        <w:t xml:space="preserve">Determine whether the health plan or the auto coverage is primary for accident-related medical, based on state law and plan-document language.</w:t>
      </w:r>
      <w:r>
        <w:rPr>
          <w:rFonts w:ascii="Arial" w:cs="Arial" w:eastAsia="Arial" w:hAnsi="Arial"/>
          <w:color w:val="94a3b8"/>
          <w:sz w:val="22"/>
          <w:szCs w:val="22"/>
        </w:rPr>
        <w:t xml:space="preserve">   ·   </w:t>
      </w:r>
      <w:r>
        <w:rPr>
          <w:rFonts w:ascii="Arial" w:cs="Arial" w:eastAsia="Arial" w:hAnsi="Arial"/>
          <w:b/>
          <w:bCs/>
          <w:color w:val="475569"/>
          <w:sz w:val="22"/>
          <w:szCs w:val="22"/>
        </w:rPr>
        <w:t xml:space="preserve">Estimated study time: </w:t>
      </w:r>
      <w:r>
        <w:rPr>
          <w:rFonts w:ascii="Arial" w:cs="Arial" w:eastAsia="Arial" w:hAnsi="Arial"/>
          <w:sz w:val="22"/>
          <w:szCs w:val="22"/>
        </w:rPr>
        <w:t xml:space="preserve">3–4 hours</w:t>
      </w:r>
    </w:p>
    <w:p>
      <w:pPr>
        <w:spacing w:after="60" w:before="0"/>
      </w:pPr>
      <w:r>
        <w:rPr>
          <w:rFonts w:ascii="Arial" w:cs="Arial" w:eastAsia="Arial" w:hAnsi="Arial"/>
          <w:b/>
          <w:bCs/>
          <w:color w:val="475569"/>
          <w:sz w:val="22"/>
          <w:szCs w:val="22"/>
        </w:rPr>
        <w:t xml:space="preserve">Topics</w:t>
      </w:r>
    </w:p>
    <w:p>
      <w:pPr>
        <w:pStyle w:val="ListParagraph"/>
        <w:numPr>
          <w:ilvl w:val="0"/>
          <w:numId w:val="2"/>
        </w:numPr>
        <w:spacing w:after="50" w:before="0" w:line="280"/>
      </w:pPr>
      <w:r>
        <w:rPr>
          <w:rFonts w:ascii="Arial" w:cs="Arial" w:eastAsia="Arial" w:hAnsi="Arial"/>
          <w:sz w:val="22"/>
          <w:szCs w:val="22"/>
        </w:rPr>
        <w:t xml:space="preserve">The core question of Auto COB: when both health insurance and auto medical coverage exist, which pays first for accident-related medical?</w:t>
      </w:r>
    </w:p>
    <w:p>
      <w:pPr>
        <w:pStyle w:val="ListParagraph"/>
        <w:numPr>
          <w:ilvl w:val="0"/>
          <w:numId w:val="2"/>
        </w:numPr>
        <w:spacing w:after="50" w:before="0" w:line="280"/>
      </w:pPr>
      <w:r>
        <w:rPr>
          <w:rFonts w:ascii="Arial" w:cs="Arial" w:eastAsia="Arial" w:hAnsi="Arial"/>
          <w:sz w:val="22"/>
          <w:szCs w:val="22"/>
        </w:rPr>
        <w:t xml:space="preserve">Three controlling inputs: (a) is the state no-fault or tort? (b) does the health plan's SPD coordinate with auto med-pay, treat it as excess, or remain silent? (c) does the auto policy include an excess or escape clause?</w:t>
      </w:r>
    </w:p>
    <w:p>
      <w:pPr>
        <w:pStyle w:val="ListParagraph"/>
        <w:numPr>
          <w:ilvl w:val="0"/>
          <w:numId w:val="2"/>
        </w:numPr>
        <w:spacing w:after="50" w:before="0" w:line="280"/>
      </w:pPr>
      <w:r>
        <w:rPr>
          <w:rFonts w:ascii="Arial" w:cs="Arial" w:eastAsia="Arial" w:hAnsi="Arial"/>
          <w:sz w:val="22"/>
          <w:szCs w:val="22"/>
        </w:rPr>
        <w:t xml:space="preserve">Plan-language patterns to learn:</w:t>
      </w:r>
    </w:p>
    <w:p>
      <w:pPr>
        <w:pStyle w:val="ListParagraph"/>
        <w:numPr>
          <w:ilvl w:val="1"/>
          <w:numId w:val="2"/>
        </w:numPr>
        <w:spacing w:after="50" w:before="0" w:line="280"/>
      </w:pPr>
      <w:r>
        <w:rPr>
          <w:rFonts w:ascii="Arial" w:cs="Arial" w:eastAsia="Arial" w:hAnsi="Arial"/>
          <w:sz w:val="22"/>
          <w:szCs w:val="22"/>
        </w:rPr>
        <w:t xml:space="preserve">"NAIC-standard" coordination — the plan accepts NAIC ordering rules.</w:t>
      </w:r>
    </w:p>
    <w:p>
      <w:pPr>
        <w:pStyle w:val="ListParagraph"/>
        <w:numPr>
          <w:ilvl w:val="1"/>
          <w:numId w:val="2"/>
        </w:numPr>
        <w:spacing w:after="50" w:before="0" w:line="280"/>
      </w:pPr>
      <w:r>
        <w:rPr>
          <w:rFonts w:ascii="Arial" w:cs="Arial" w:eastAsia="Arial" w:hAnsi="Arial"/>
          <w:sz w:val="22"/>
          <w:szCs w:val="22"/>
        </w:rPr>
        <w:t xml:space="preserve">Excess clause — "this plan pays only what is not covered by any other plan." Generally unenforceable between two ERISA plans (McGurl, PM Group Life).</w:t>
      </w:r>
    </w:p>
    <w:p>
      <w:pPr>
        <w:pStyle w:val="ListParagraph"/>
        <w:numPr>
          <w:ilvl w:val="1"/>
          <w:numId w:val="2"/>
        </w:numPr>
        <w:spacing w:after="50" w:before="0" w:line="280"/>
      </w:pPr>
      <w:r>
        <w:rPr>
          <w:rFonts w:ascii="Arial" w:cs="Arial" w:eastAsia="Arial" w:hAnsi="Arial"/>
          <w:sz w:val="22"/>
          <w:szCs w:val="22"/>
        </w:rPr>
        <w:t xml:space="preserve">Escape clause — "this plan does not cover services covered by another plan." Also unenforceable per McGurl line.</w:t>
      </w:r>
    </w:p>
    <w:p>
      <w:pPr>
        <w:pStyle w:val="ListParagraph"/>
        <w:numPr>
          <w:ilvl w:val="1"/>
          <w:numId w:val="2"/>
        </w:numPr>
        <w:spacing w:after="50" w:before="0" w:line="280"/>
      </w:pPr>
      <w:r>
        <w:rPr>
          <w:rFonts w:ascii="Arial" w:cs="Arial" w:eastAsia="Arial" w:hAnsi="Arial"/>
          <w:sz w:val="22"/>
          <w:szCs w:val="22"/>
        </w:rPr>
        <w:t xml:space="preserve">Non-conforming or silent — analyst must apply state default rules.</w:t>
      </w:r>
    </w:p>
    <w:p>
      <w:pPr>
        <w:pStyle w:val="ListParagraph"/>
        <w:numPr>
          <w:ilvl w:val="0"/>
          <w:numId w:val="2"/>
        </w:numPr>
        <w:spacing w:after="50" w:before="0" w:line="280"/>
      </w:pPr>
      <w:r>
        <w:rPr>
          <w:rFonts w:ascii="Arial" w:cs="Arial" w:eastAsia="Arial" w:hAnsi="Arial"/>
          <w:sz w:val="22"/>
          <w:szCs w:val="22"/>
        </w:rPr>
        <w:t xml:space="preserve">How auto med-pay treatment varies: in no-fault states PIP is typically primary; in tort states like Wisconsin med-pay is typically secondary but plan language can flip it.</w:t>
      </w:r>
    </w:p>
    <w:p>
      <w:pPr>
        <w:spacing w:after="60" w:before="80"/>
      </w:pPr>
      <w:r>
        <w:rPr>
          <w:rFonts w:ascii="Arial" w:cs="Arial" w:eastAsia="Arial" w:hAnsi="Arial"/>
          <w:b/>
          <w:bCs/>
          <w:color w:val="b45309"/>
          <w:sz w:val="22"/>
          <w:szCs w:val="22"/>
        </w:rPr>
        <w:t xml:space="preserve">Why it matters: </w:t>
      </w:r>
      <w:r>
        <w:rPr>
          <w:rFonts w:ascii="Arial" w:cs="Arial" w:eastAsia="Arial" w:hAnsi="Arial"/>
          <w:i/>
          <w:iCs/>
          <w:color w:val="475569"/>
          <w:sz w:val="22"/>
          <w:szCs w:val="22"/>
        </w:rPr>
        <w:t xml:space="preserve">This is the analytical seam where most disputed COB cases sit. The module teaches the pattern-recognition.</w:t>
      </w:r>
    </w:p>
    <w:p>
      <w:pPr>
        <w:spacing w:after="100" w:before="40"/>
      </w:pPr>
      <w:r>
        <w:rPr>
          <w:rFonts w:ascii="Arial" w:cs="Arial" w:eastAsia="Arial" w:hAnsi="Arial"/>
          <w:b/>
          <w:bCs/>
          <w:color w:val="475569"/>
          <w:sz w:val="22"/>
          <w:szCs w:val="22"/>
        </w:rPr>
        <w:t xml:space="preserve">Key references: </w:t>
      </w:r>
      <w:r>
        <w:rPr>
          <w:rFonts w:ascii="Arial" w:cs="Arial" w:eastAsia="Arial" w:hAnsi="Arial"/>
          <w:color w:val="475569"/>
          <w:sz w:val="20"/>
          <w:szCs w:val="20"/>
        </w:rPr>
        <w:t xml:space="preserve">Wis. Admin. Code § Ins 3.40(10) (prohibited "excess/always secondary" clauses); Spec § 6.1 Rules 1–2</w:t>
      </w:r>
    </w:p>
    <w:p>
      <w:pPr>
        <w:pStyle w:val="Heading2"/>
        <w:spacing w:after="100" w:before="240"/>
      </w:pPr>
      <w:r>
        <w:rPr>
          <w:rFonts w:ascii="Arial" w:cs="Arial" w:eastAsia="Arial" w:hAnsi="Arial"/>
          <w:b/>
          <w:bCs/>
          <w:color w:val="1d4ed8"/>
          <w:sz w:val="26"/>
          <w:szCs w:val="26"/>
        </w:rPr>
        <w:t xml:space="preserve">Module 5 · State law overlay — no-fault, tort, made-whole, common-fund, comparative negligence</w:t>
      </w:r>
    </w:p>
    <w:p>
      <w:pPr>
        <w:spacing w:after="80" w:before="0" w:line="280"/>
      </w:pPr>
      <w:r>
        <w:rPr>
          <w:rFonts w:ascii="Arial" w:cs="Arial" w:eastAsia="Arial" w:hAnsi="Arial"/>
          <w:b/>
          <w:bCs/>
          <w:color w:val="475569"/>
          <w:sz w:val="22"/>
          <w:szCs w:val="22"/>
        </w:rPr>
        <w:t xml:space="preserve">Objective: </w:t>
      </w:r>
      <w:r>
        <w:rPr>
          <w:rFonts w:ascii="Arial" w:cs="Arial" w:eastAsia="Arial" w:hAnsi="Arial"/>
          <w:sz w:val="22"/>
          <w:szCs w:val="22"/>
        </w:rPr>
        <w:t xml:space="preserve">Identify which state-law doctrines apply to a given claim and how they modify the COB outcome.</w:t>
      </w:r>
      <w:r>
        <w:rPr>
          <w:rFonts w:ascii="Arial" w:cs="Arial" w:eastAsia="Arial" w:hAnsi="Arial"/>
          <w:color w:val="94a3b8"/>
          <w:sz w:val="22"/>
          <w:szCs w:val="22"/>
        </w:rPr>
        <w:t xml:space="preserve">   ·   </w:t>
      </w:r>
      <w:r>
        <w:rPr>
          <w:rFonts w:ascii="Arial" w:cs="Arial" w:eastAsia="Arial" w:hAnsi="Arial"/>
          <w:b/>
          <w:bCs/>
          <w:color w:val="475569"/>
          <w:sz w:val="22"/>
          <w:szCs w:val="22"/>
        </w:rPr>
        <w:t xml:space="preserve">Estimated study time: </w:t>
      </w:r>
      <w:r>
        <w:rPr>
          <w:rFonts w:ascii="Arial" w:cs="Arial" w:eastAsia="Arial" w:hAnsi="Arial"/>
          <w:sz w:val="22"/>
          <w:szCs w:val="22"/>
        </w:rPr>
        <w:t xml:space="preserve">5–7 hours</w:t>
      </w:r>
    </w:p>
    <w:p>
      <w:pPr>
        <w:spacing w:after="60" w:before="0"/>
      </w:pPr>
      <w:r>
        <w:rPr>
          <w:rFonts w:ascii="Arial" w:cs="Arial" w:eastAsia="Arial" w:hAnsi="Arial"/>
          <w:b/>
          <w:bCs/>
          <w:color w:val="475569"/>
          <w:sz w:val="22"/>
          <w:szCs w:val="22"/>
        </w:rPr>
        <w:t xml:space="preserve">Topics</w:t>
      </w:r>
    </w:p>
    <w:p>
      <w:pPr>
        <w:pStyle w:val="ListParagraph"/>
        <w:numPr>
          <w:ilvl w:val="0"/>
          <w:numId w:val="2"/>
        </w:numPr>
        <w:spacing w:after="50" w:before="0" w:line="280"/>
      </w:pPr>
      <w:r>
        <w:rPr>
          <w:rFonts w:ascii="Arial" w:cs="Arial" w:eastAsia="Arial" w:hAnsi="Arial"/>
          <w:sz w:val="22"/>
          <w:szCs w:val="22"/>
        </w:rPr>
        <w:t xml:space="preserve">No-fault states (12 of them, mandatory PIP):</w:t>
      </w:r>
    </w:p>
    <w:p>
      <w:pPr>
        <w:pStyle w:val="ListParagraph"/>
        <w:numPr>
          <w:ilvl w:val="1"/>
          <w:numId w:val="2"/>
        </w:numPr>
        <w:spacing w:after="50" w:before="0" w:line="280"/>
      </w:pPr>
      <w:r>
        <w:rPr>
          <w:rFonts w:ascii="Arial" w:cs="Arial" w:eastAsia="Arial" w:hAnsi="Arial"/>
          <w:sz w:val="22"/>
          <w:szCs w:val="22"/>
        </w:rPr>
        <w:t xml:space="preserve">MI, FL, NY, NJ, PA, HI, KS, KY, MA, MN, ND, UT.</w:t>
      </w:r>
    </w:p>
    <w:p>
      <w:pPr>
        <w:pStyle w:val="ListParagraph"/>
        <w:numPr>
          <w:ilvl w:val="1"/>
          <w:numId w:val="2"/>
        </w:numPr>
        <w:spacing w:after="50" w:before="0" w:line="280"/>
      </w:pPr>
      <w:r>
        <w:rPr>
          <w:rFonts w:ascii="Arial" w:cs="Arial" w:eastAsia="Arial" w:hAnsi="Arial"/>
          <w:sz w:val="22"/>
          <w:szCs w:val="22"/>
        </w:rPr>
        <w:t xml:space="preserve">PIP is typically primary for accident-related medical up to PIP limits; health plan is secondary.</w:t>
      </w:r>
    </w:p>
    <w:p>
      <w:pPr>
        <w:pStyle w:val="ListParagraph"/>
        <w:numPr>
          <w:ilvl w:val="1"/>
          <w:numId w:val="2"/>
        </w:numPr>
        <w:spacing w:after="50" w:before="0" w:line="280"/>
      </w:pPr>
      <w:r>
        <w:rPr>
          <w:rFonts w:ascii="Arial" w:cs="Arial" w:eastAsia="Arial" w:hAnsi="Arial"/>
          <w:sz w:val="22"/>
          <w:szCs w:val="22"/>
        </w:rPr>
        <w:t xml:space="preserve">Exception: properly drafted ERISA self-funded plan with coordination clause + auto excess clause → preemption analysis (see Module 6).</w:t>
      </w:r>
    </w:p>
    <w:p>
      <w:pPr>
        <w:pStyle w:val="ListParagraph"/>
        <w:numPr>
          <w:ilvl w:val="0"/>
          <w:numId w:val="2"/>
        </w:numPr>
        <w:spacing w:after="50" w:before="0" w:line="280"/>
      </w:pPr>
      <w:r>
        <w:rPr>
          <w:rFonts w:ascii="Arial" w:cs="Arial" w:eastAsia="Arial" w:hAnsi="Arial"/>
          <w:sz w:val="22"/>
          <w:szCs w:val="22"/>
        </w:rPr>
        <w:t xml:space="preserve">Tort states (most other states, including Wisconsin):</w:t>
      </w:r>
    </w:p>
    <w:p>
      <w:pPr>
        <w:pStyle w:val="ListParagraph"/>
        <w:numPr>
          <w:ilvl w:val="1"/>
          <w:numId w:val="2"/>
        </w:numPr>
        <w:spacing w:after="50" w:before="0" w:line="280"/>
      </w:pPr>
      <w:r>
        <w:rPr>
          <w:rFonts w:ascii="Arial" w:cs="Arial" w:eastAsia="Arial" w:hAnsi="Arial"/>
          <w:sz w:val="22"/>
          <w:szCs w:val="22"/>
        </w:rPr>
        <w:t xml:space="preserve">Auto med-pay typically secondary to health plan; plan-document language controls.</w:t>
      </w:r>
    </w:p>
    <w:p>
      <w:pPr>
        <w:pStyle w:val="ListParagraph"/>
        <w:numPr>
          <w:ilvl w:val="1"/>
          <w:numId w:val="2"/>
        </w:numPr>
        <w:spacing w:after="50" w:before="0" w:line="280"/>
      </w:pPr>
      <w:r>
        <w:rPr>
          <w:rFonts w:ascii="Arial" w:cs="Arial" w:eastAsia="Arial" w:hAnsi="Arial"/>
          <w:sz w:val="22"/>
          <w:szCs w:val="22"/>
        </w:rPr>
        <w:t xml:space="preserve">At-fault driver's BI liability becomes the third-party recovery target after health plan has paid.</w:t>
      </w:r>
    </w:p>
    <w:p>
      <w:pPr>
        <w:pStyle w:val="ListParagraph"/>
        <w:numPr>
          <w:ilvl w:val="0"/>
          <w:numId w:val="2"/>
        </w:numPr>
        <w:spacing w:after="50" w:before="0" w:line="280"/>
      </w:pPr>
      <w:r>
        <w:rPr>
          <w:rFonts w:ascii="Arial" w:cs="Arial" w:eastAsia="Arial" w:hAnsi="Arial"/>
          <w:sz w:val="22"/>
          <w:szCs w:val="22"/>
        </w:rPr>
        <w:t xml:space="preserve">Made-whole doctrine:</w:t>
      </w:r>
    </w:p>
    <w:p>
      <w:pPr>
        <w:pStyle w:val="ListParagraph"/>
        <w:numPr>
          <w:ilvl w:val="1"/>
          <w:numId w:val="2"/>
        </w:numPr>
        <w:spacing w:after="50" w:before="0" w:line="280"/>
      </w:pPr>
      <w:r>
        <w:rPr>
          <w:rFonts w:ascii="Arial" w:cs="Arial" w:eastAsia="Arial" w:hAnsi="Arial"/>
          <w:sz w:val="22"/>
          <w:szCs w:val="22"/>
        </w:rPr>
        <w:t xml:space="preserve">Bar to plan subrogation/reimbursement until the member has been fully compensated for all losses (medical, pain &amp; suffering, lost wages, etc.).</w:t>
      </w:r>
    </w:p>
    <w:p>
      <w:pPr>
        <w:pStyle w:val="ListParagraph"/>
        <w:numPr>
          <w:ilvl w:val="1"/>
          <w:numId w:val="2"/>
        </w:numPr>
        <w:spacing w:after="50" w:before="0" w:line="280"/>
      </w:pPr>
      <w:r>
        <w:rPr>
          <w:rFonts w:ascii="Arial" w:cs="Arial" w:eastAsia="Arial" w:hAnsi="Arial"/>
          <w:sz w:val="22"/>
          <w:szCs w:val="22"/>
        </w:rPr>
        <w:t xml:space="preserve">Wisconsin anchor: Rimes v. State Farm 106 Wis. 2d 263 (1982); reinforced by Vogt v. Schroeder and Petta v. ABC Ins. Co.</w:t>
      </w:r>
    </w:p>
    <w:p>
      <w:pPr>
        <w:pStyle w:val="ListParagraph"/>
        <w:numPr>
          <w:ilvl w:val="1"/>
          <w:numId w:val="2"/>
        </w:numPr>
        <w:spacing w:after="50" w:before="0" w:line="280"/>
      </w:pPr>
      <w:r>
        <w:rPr>
          <w:rFonts w:ascii="Arial" w:cs="Arial" w:eastAsia="Arial" w:hAnsi="Arial"/>
          <w:sz w:val="22"/>
          <w:szCs w:val="22"/>
        </w:rPr>
        <w:t xml:space="preserve">Applies to fully-insured plans; preempted for properly drafted ERISA self-funded plans (Sereboff line, Module 6).</w:t>
      </w:r>
    </w:p>
    <w:p>
      <w:pPr>
        <w:pStyle w:val="ListParagraph"/>
        <w:numPr>
          <w:ilvl w:val="0"/>
          <w:numId w:val="2"/>
        </w:numPr>
        <w:spacing w:after="50" w:before="0" w:line="280"/>
      </w:pPr>
      <w:r>
        <w:rPr>
          <w:rFonts w:ascii="Arial" w:cs="Arial" w:eastAsia="Arial" w:hAnsi="Arial"/>
          <w:sz w:val="22"/>
          <w:szCs w:val="22"/>
        </w:rPr>
        <w:t xml:space="preserve">Common-fund doctrine:</w:t>
      </w:r>
    </w:p>
    <w:p>
      <w:pPr>
        <w:pStyle w:val="ListParagraph"/>
        <w:numPr>
          <w:ilvl w:val="1"/>
          <w:numId w:val="2"/>
        </w:numPr>
        <w:spacing w:after="50" w:before="0" w:line="280"/>
      </w:pPr>
      <w:r>
        <w:rPr>
          <w:rFonts w:ascii="Arial" w:cs="Arial" w:eastAsia="Arial" w:hAnsi="Arial"/>
          <w:sz w:val="22"/>
          <w:szCs w:val="22"/>
        </w:rPr>
        <w:t xml:space="preserve">Plan must contribute pro-rata to the member's attorney fees for the portion of settlement that becomes the plan's recovery.</w:t>
      </w:r>
    </w:p>
    <w:p>
      <w:pPr>
        <w:pStyle w:val="ListParagraph"/>
        <w:numPr>
          <w:ilvl w:val="1"/>
          <w:numId w:val="2"/>
        </w:numPr>
        <w:spacing w:after="50" w:before="0" w:line="280"/>
      </w:pPr>
      <w:r>
        <w:rPr>
          <w:rFonts w:ascii="Arial" w:cs="Arial" w:eastAsia="Arial" w:hAnsi="Arial"/>
          <w:sz w:val="22"/>
          <w:szCs w:val="22"/>
        </w:rPr>
        <w:t xml:space="preserve">Formula: (plan recovery / total recovery) × attorney fee = plan's pro-rata share.</w:t>
      </w:r>
    </w:p>
    <w:p>
      <w:pPr>
        <w:pStyle w:val="ListParagraph"/>
        <w:numPr>
          <w:ilvl w:val="1"/>
          <w:numId w:val="2"/>
        </w:numPr>
        <w:spacing w:after="50" w:before="0" w:line="280"/>
      </w:pPr>
      <w:r>
        <w:rPr>
          <w:rFonts w:ascii="Arial" w:cs="Arial" w:eastAsia="Arial" w:hAnsi="Arial"/>
          <w:sz w:val="22"/>
          <w:szCs w:val="22"/>
        </w:rPr>
        <w:t xml:space="preserve">Wisconsin: Petta and successor cases.</w:t>
      </w:r>
    </w:p>
    <w:p>
      <w:pPr>
        <w:pStyle w:val="ListParagraph"/>
        <w:numPr>
          <w:ilvl w:val="0"/>
          <w:numId w:val="2"/>
        </w:numPr>
        <w:spacing w:after="50" w:before="0" w:line="280"/>
      </w:pPr>
      <w:r>
        <w:rPr>
          <w:rFonts w:ascii="Arial" w:cs="Arial" w:eastAsia="Arial" w:hAnsi="Arial"/>
          <w:sz w:val="22"/>
          <w:szCs w:val="22"/>
        </w:rPr>
        <w:t xml:space="preserve">Comparative negligence:</w:t>
      </w:r>
    </w:p>
    <w:p>
      <w:pPr>
        <w:pStyle w:val="ListParagraph"/>
        <w:numPr>
          <w:ilvl w:val="1"/>
          <w:numId w:val="2"/>
        </w:numPr>
        <w:spacing w:after="50" w:before="0" w:line="280"/>
      </w:pPr>
      <w:r>
        <w:rPr>
          <w:rFonts w:ascii="Arial" w:cs="Arial" w:eastAsia="Arial" w:hAnsi="Arial"/>
          <w:sz w:val="22"/>
          <w:szCs w:val="22"/>
        </w:rPr>
        <w:t xml:space="preserve">Wisconsin: modified comparative negligence with 51% bar (Wis. Stat. § 895.045). Recoverable medical = total medical paid × (defendant's % fault); zeroed if claimant is 51% or more at fault.</w:t>
      </w:r>
    </w:p>
    <w:p>
      <w:pPr>
        <w:pStyle w:val="ListParagraph"/>
        <w:numPr>
          <w:ilvl w:val="1"/>
          <w:numId w:val="2"/>
        </w:numPr>
        <w:spacing w:after="50" w:before="0" w:line="280"/>
      </w:pPr>
      <w:r>
        <w:rPr>
          <w:rFonts w:ascii="Arial" w:cs="Arial" w:eastAsia="Arial" w:hAnsi="Arial"/>
          <w:sz w:val="22"/>
          <w:szCs w:val="22"/>
        </w:rPr>
        <w:t xml:space="preserve">Other states vary: pure comparative, modified 50% bar, contributory negligence in a few.</w:t>
      </w:r>
    </w:p>
    <w:p>
      <w:pPr>
        <w:spacing w:after="60" w:before="80"/>
      </w:pPr>
      <w:r>
        <w:rPr>
          <w:rFonts w:ascii="Arial" w:cs="Arial" w:eastAsia="Arial" w:hAnsi="Arial"/>
          <w:b/>
          <w:bCs/>
          <w:color w:val="b45309"/>
          <w:sz w:val="22"/>
          <w:szCs w:val="22"/>
        </w:rPr>
        <w:t xml:space="preserve">Why it matters: </w:t>
      </w:r>
      <w:r>
        <w:rPr>
          <w:rFonts w:ascii="Arial" w:cs="Arial" w:eastAsia="Arial" w:hAnsi="Arial"/>
          <w:i/>
          <w:iCs/>
          <w:color w:val="475569"/>
          <w:sz w:val="22"/>
          <w:szCs w:val="22"/>
        </w:rPr>
        <w:t xml:space="preserve">State law variation is what makes Auto COB resistant to pure automation. Each state needs its own rule overlay, and within a state, ERISA preemption flips outcomes case by case.</w:t>
      </w:r>
    </w:p>
    <w:p>
      <w:pPr>
        <w:spacing w:after="100" w:before="40"/>
      </w:pPr>
      <w:r>
        <w:rPr>
          <w:rFonts w:ascii="Arial" w:cs="Arial" w:eastAsia="Arial" w:hAnsi="Arial"/>
          <w:b/>
          <w:bCs/>
          <w:color w:val="475569"/>
          <w:sz w:val="22"/>
          <w:szCs w:val="22"/>
        </w:rPr>
        <w:t xml:space="preserve">Key references: </w:t>
      </w:r>
      <w:r>
        <w:rPr>
          <w:rFonts w:ascii="Arial" w:cs="Arial" w:eastAsia="Arial" w:hAnsi="Arial"/>
          <w:color w:val="475569"/>
          <w:sz w:val="20"/>
          <w:szCs w:val="20"/>
        </w:rPr>
        <w:t xml:space="preserve">Spec § 6.2 (WI overlay); Wis. Stat. § 895.045 (comparative negligence); Rimes, Vogt, Petta cases (cited in Spec § 15.4)</w:t>
      </w:r>
    </w:p>
    <w:p>
      <w:pPr>
        <w:pStyle w:val="Heading2"/>
        <w:spacing w:after="100" w:before="240"/>
      </w:pPr>
      <w:r>
        <w:rPr>
          <w:rFonts w:ascii="Arial" w:cs="Arial" w:eastAsia="Arial" w:hAnsi="Arial"/>
          <w:b/>
          <w:bCs/>
          <w:color w:val="1d4ed8"/>
          <w:sz w:val="26"/>
          <w:szCs w:val="26"/>
        </w:rPr>
        <w:t xml:space="preserve">Module 6 · ERISA — the game-changer</w:t>
      </w:r>
    </w:p>
    <w:p>
      <w:pPr>
        <w:spacing w:after="80" w:before="0" w:line="280"/>
      </w:pPr>
      <w:r>
        <w:rPr>
          <w:rFonts w:ascii="Arial" w:cs="Arial" w:eastAsia="Arial" w:hAnsi="Arial"/>
          <w:b/>
          <w:bCs/>
          <w:color w:val="475569"/>
          <w:sz w:val="22"/>
          <w:szCs w:val="22"/>
        </w:rPr>
        <w:t xml:space="preserve">Objective: </w:t>
      </w:r>
      <w:r>
        <w:rPr>
          <w:rFonts w:ascii="Arial" w:cs="Arial" w:eastAsia="Arial" w:hAnsi="Arial"/>
          <w:sz w:val="22"/>
          <w:szCs w:val="22"/>
        </w:rPr>
        <w:t xml:space="preserve">Determine whether a health plan is fully insured or ERISA self-funded, and articulate how that distinction changes the recovery posture.</w:t>
      </w:r>
      <w:r>
        <w:rPr>
          <w:rFonts w:ascii="Arial" w:cs="Arial" w:eastAsia="Arial" w:hAnsi="Arial"/>
          <w:color w:val="94a3b8"/>
          <w:sz w:val="22"/>
          <w:szCs w:val="22"/>
        </w:rPr>
        <w:t xml:space="preserve">   ·   </w:t>
      </w:r>
      <w:r>
        <w:rPr>
          <w:rFonts w:ascii="Arial" w:cs="Arial" w:eastAsia="Arial" w:hAnsi="Arial"/>
          <w:b/>
          <w:bCs/>
          <w:color w:val="475569"/>
          <w:sz w:val="22"/>
          <w:szCs w:val="22"/>
        </w:rPr>
        <w:t xml:space="preserve">Estimated study time: </w:t>
      </w:r>
      <w:r>
        <w:rPr>
          <w:rFonts w:ascii="Arial" w:cs="Arial" w:eastAsia="Arial" w:hAnsi="Arial"/>
          <w:sz w:val="22"/>
          <w:szCs w:val="22"/>
        </w:rPr>
        <w:t xml:space="preserve">4–5 hours</w:t>
      </w:r>
    </w:p>
    <w:p>
      <w:pPr>
        <w:spacing w:after="60" w:before="0"/>
      </w:pPr>
      <w:r>
        <w:rPr>
          <w:rFonts w:ascii="Arial" w:cs="Arial" w:eastAsia="Arial" w:hAnsi="Arial"/>
          <w:b/>
          <w:bCs/>
          <w:color w:val="475569"/>
          <w:sz w:val="22"/>
          <w:szCs w:val="22"/>
        </w:rPr>
        <w:t xml:space="preserve">Topics</w:t>
      </w:r>
    </w:p>
    <w:p>
      <w:pPr>
        <w:pStyle w:val="ListParagraph"/>
        <w:numPr>
          <w:ilvl w:val="0"/>
          <w:numId w:val="2"/>
        </w:numPr>
        <w:spacing w:after="50" w:before="0" w:line="280"/>
      </w:pPr>
      <w:r>
        <w:rPr>
          <w:rFonts w:ascii="Arial" w:cs="Arial" w:eastAsia="Arial" w:hAnsi="Arial"/>
          <w:sz w:val="22"/>
          <w:szCs w:val="22"/>
        </w:rPr>
        <w:t xml:space="preserve">What ERISA is: federal law governing employee benefit plans, including most employer-sponsored health plans.</w:t>
      </w:r>
    </w:p>
    <w:p>
      <w:pPr>
        <w:pStyle w:val="ListParagraph"/>
        <w:numPr>
          <w:ilvl w:val="0"/>
          <w:numId w:val="2"/>
        </w:numPr>
        <w:spacing w:after="50" w:before="0" w:line="280"/>
      </w:pPr>
      <w:r>
        <w:rPr>
          <w:rFonts w:ascii="Arial" w:cs="Arial" w:eastAsia="Arial" w:hAnsi="Arial"/>
          <w:sz w:val="22"/>
          <w:szCs w:val="22"/>
        </w:rPr>
        <w:t xml:space="preserve">The fully-insured vs. self-funded distinction:</w:t>
      </w:r>
    </w:p>
    <w:p>
      <w:pPr>
        <w:pStyle w:val="ListParagraph"/>
        <w:numPr>
          <w:ilvl w:val="1"/>
          <w:numId w:val="2"/>
        </w:numPr>
        <w:spacing w:after="50" w:before="0" w:line="280"/>
      </w:pPr>
      <w:r>
        <w:rPr>
          <w:rFonts w:ascii="Arial" w:cs="Arial" w:eastAsia="Arial" w:hAnsi="Arial"/>
          <w:sz w:val="22"/>
          <w:szCs w:val="22"/>
        </w:rPr>
        <w:t xml:space="preserve">Fully insured: employer pays premiums to an insurance company; the insurance company bears the risk. Subject to state insurance law.</w:t>
      </w:r>
    </w:p>
    <w:p>
      <w:pPr>
        <w:pStyle w:val="ListParagraph"/>
        <w:numPr>
          <w:ilvl w:val="1"/>
          <w:numId w:val="2"/>
        </w:numPr>
        <w:spacing w:after="50" w:before="0" w:line="280"/>
      </w:pPr>
      <w:r>
        <w:rPr>
          <w:rFonts w:ascii="Arial" w:cs="Arial" w:eastAsia="Arial" w:hAnsi="Arial"/>
          <w:sz w:val="22"/>
          <w:szCs w:val="22"/>
        </w:rPr>
        <w:t xml:space="preserve">Self-funded: employer bears the risk directly; uses a TPA or carrier for administration only. Subject to ERISA, with state insurance law largely preempted.</w:t>
      </w:r>
    </w:p>
    <w:p>
      <w:pPr>
        <w:pStyle w:val="ListParagraph"/>
        <w:numPr>
          <w:ilvl w:val="1"/>
          <w:numId w:val="2"/>
        </w:numPr>
        <w:spacing w:after="50" w:before="0" w:line="280"/>
      </w:pPr>
      <w:r>
        <w:rPr>
          <w:rFonts w:ascii="Arial" w:cs="Arial" w:eastAsia="Arial" w:hAnsi="Arial"/>
          <w:sz w:val="22"/>
          <w:szCs w:val="22"/>
        </w:rPr>
        <w:t xml:space="preserve">Level-funded / partially self-funded variants — increasingly common; analyst must read plan documents to classify.</w:t>
      </w:r>
    </w:p>
    <w:p>
      <w:pPr>
        <w:pStyle w:val="ListParagraph"/>
        <w:numPr>
          <w:ilvl w:val="0"/>
          <w:numId w:val="2"/>
        </w:numPr>
        <w:spacing w:after="50" w:before="0" w:line="280"/>
      </w:pPr>
      <w:r>
        <w:rPr>
          <w:rFonts w:ascii="Arial" w:cs="Arial" w:eastAsia="Arial" w:hAnsi="Arial"/>
          <w:sz w:val="22"/>
          <w:szCs w:val="22"/>
        </w:rPr>
        <w:t xml:space="preserve">What ERISA preempts:</w:t>
      </w:r>
    </w:p>
    <w:p>
      <w:pPr>
        <w:pStyle w:val="ListParagraph"/>
        <w:numPr>
          <w:ilvl w:val="1"/>
          <w:numId w:val="2"/>
        </w:numPr>
        <w:spacing w:after="50" w:before="0" w:line="280"/>
      </w:pPr>
      <w:r>
        <w:rPr>
          <w:rFonts w:ascii="Arial" w:cs="Arial" w:eastAsia="Arial" w:hAnsi="Arial"/>
          <w:sz w:val="22"/>
          <w:szCs w:val="22"/>
        </w:rPr>
        <w:t xml:space="preserve">State made-whole doctrine (the plan can contract around it).</w:t>
      </w:r>
    </w:p>
    <w:p>
      <w:pPr>
        <w:pStyle w:val="ListParagraph"/>
        <w:numPr>
          <w:ilvl w:val="1"/>
          <w:numId w:val="2"/>
        </w:numPr>
        <w:spacing w:after="50" w:before="0" w:line="280"/>
      </w:pPr>
      <w:r>
        <w:rPr>
          <w:rFonts w:ascii="Arial" w:cs="Arial" w:eastAsia="Arial" w:hAnsi="Arial"/>
          <w:sz w:val="22"/>
          <w:szCs w:val="22"/>
        </w:rPr>
        <w:t xml:space="preserve">State common-fund doctrine (the plan can disclaim).</w:t>
      </w:r>
    </w:p>
    <w:p>
      <w:pPr>
        <w:pStyle w:val="ListParagraph"/>
        <w:numPr>
          <w:ilvl w:val="1"/>
          <w:numId w:val="2"/>
        </w:numPr>
        <w:spacing w:after="50" w:before="0" w:line="280"/>
      </w:pPr>
      <w:r>
        <w:rPr>
          <w:rFonts w:ascii="Arial" w:cs="Arial" w:eastAsia="Arial" w:hAnsi="Arial"/>
          <w:sz w:val="22"/>
          <w:szCs w:val="22"/>
        </w:rPr>
        <w:t xml:space="preserve">Some state COB ordering rules — but the NAIC-model order is so widely adopted in plan language that this rarely matters in practice.</w:t>
      </w:r>
    </w:p>
    <w:p>
      <w:pPr>
        <w:pStyle w:val="ListParagraph"/>
        <w:numPr>
          <w:ilvl w:val="0"/>
          <w:numId w:val="2"/>
        </w:numPr>
        <w:spacing w:after="50" w:before="0" w:line="280"/>
      </w:pPr>
      <w:r>
        <w:rPr>
          <w:rFonts w:ascii="Arial" w:cs="Arial" w:eastAsia="Arial" w:hAnsi="Arial"/>
          <w:sz w:val="22"/>
          <w:szCs w:val="22"/>
        </w:rPr>
        <w:t xml:space="preserve">How to read a plan document for ERISA status: look for the "Plan Sponsor" definition, funding-source statements, and the boilerplate ERISA Statement of Rights.</w:t>
      </w:r>
    </w:p>
    <w:p>
      <w:pPr>
        <w:pStyle w:val="ListParagraph"/>
        <w:numPr>
          <w:ilvl w:val="0"/>
          <w:numId w:val="2"/>
        </w:numPr>
        <w:spacing w:after="50" w:before="0" w:line="280"/>
      </w:pPr>
      <w:r>
        <w:rPr>
          <w:rFonts w:ascii="Arial" w:cs="Arial" w:eastAsia="Arial" w:hAnsi="Arial"/>
          <w:sz w:val="22"/>
          <w:szCs w:val="22"/>
        </w:rPr>
        <w:t xml:space="preserve">The Sereboff v. Mid Atlantic Medical Services line: federal preemption when the plan has a written reimbursement provision designating a specific fund.</w:t>
      </w:r>
    </w:p>
    <w:p>
      <w:pPr>
        <w:pStyle w:val="ListParagraph"/>
        <w:numPr>
          <w:ilvl w:val="0"/>
          <w:numId w:val="2"/>
        </w:numPr>
        <w:spacing w:after="50" w:before="0" w:line="280"/>
      </w:pPr>
      <w:r>
        <w:rPr>
          <w:rFonts w:ascii="Arial" w:cs="Arial" w:eastAsia="Arial" w:hAnsi="Arial"/>
          <w:sz w:val="22"/>
          <w:szCs w:val="22"/>
        </w:rPr>
        <w:t xml:space="preserve">How a properly drafted ERISA plan responds to a Wisconsin claim: the plan's coordination and subrogation language controls regardless of state default doctrines.</w:t>
      </w:r>
    </w:p>
    <w:p>
      <w:pPr>
        <w:spacing w:after="60" w:before="80"/>
      </w:pPr>
      <w:r>
        <w:rPr>
          <w:rFonts w:ascii="Arial" w:cs="Arial" w:eastAsia="Arial" w:hAnsi="Arial"/>
          <w:b/>
          <w:bCs/>
          <w:color w:val="b45309"/>
          <w:sz w:val="22"/>
          <w:szCs w:val="22"/>
        </w:rPr>
        <w:t xml:space="preserve">Why it matters: </w:t>
      </w:r>
      <w:r>
        <w:rPr>
          <w:rFonts w:ascii="Arial" w:cs="Arial" w:eastAsia="Arial" w:hAnsi="Arial"/>
          <w:i/>
          <w:iCs/>
          <w:color w:val="475569"/>
          <w:sz w:val="22"/>
          <w:szCs w:val="22"/>
        </w:rPr>
        <w:t xml:space="preserve">This is the single highest-leverage distinction in the analyst's toolkit. Missing the ERISA status flips the entire outcome.</w:t>
      </w:r>
    </w:p>
    <w:p>
      <w:pPr>
        <w:spacing w:after="100" w:before="40"/>
      </w:pPr>
      <w:r>
        <w:rPr>
          <w:rFonts w:ascii="Arial" w:cs="Arial" w:eastAsia="Arial" w:hAnsi="Arial"/>
          <w:b/>
          <w:bCs/>
          <w:color w:val="475569"/>
          <w:sz w:val="22"/>
          <w:szCs w:val="22"/>
        </w:rPr>
        <w:t xml:space="preserve">Key references: </w:t>
      </w:r>
      <w:r>
        <w:rPr>
          <w:rFonts w:ascii="Arial" w:cs="Arial" w:eastAsia="Arial" w:hAnsi="Arial"/>
          <w:color w:val="475569"/>
          <w:sz w:val="20"/>
          <w:szCs w:val="20"/>
        </w:rPr>
        <w:t xml:space="preserve">Spec § 5.1 (PI attorney section discusses Sereboff implications); Spec § 6.1 Rule 2 (ERISA self-funded preemption); Great-West Life v. Knudson 534 U.S. 204</w:t>
      </w:r>
    </w:p>
    <w:p>
      <w:pPr>
        <w:pStyle w:val="Heading2"/>
        <w:spacing w:after="100" w:before="240"/>
      </w:pPr>
      <w:r>
        <w:rPr>
          <w:rFonts w:ascii="Arial" w:cs="Arial" w:eastAsia="Arial" w:hAnsi="Arial"/>
          <w:b/>
          <w:bCs/>
          <w:color w:val="1d4ed8"/>
          <w:sz w:val="26"/>
          <w:szCs w:val="26"/>
        </w:rPr>
        <w:t xml:space="preserve">Module 7 · Medicare, Medicaid, and other government coverages</w:t>
      </w:r>
    </w:p>
    <w:p>
      <w:pPr>
        <w:spacing w:after="80" w:before="0" w:line="280"/>
      </w:pPr>
      <w:r>
        <w:rPr>
          <w:rFonts w:ascii="Arial" w:cs="Arial" w:eastAsia="Arial" w:hAnsi="Arial"/>
          <w:b/>
          <w:bCs/>
          <w:color w:val="475569"/>
          <w:sz w:val="22"/>
          <w:szCs w:val="22"/>
        </w:rPr>
        <w:t xml:space="preserve">Objective: </w:t>
      </w:r>
      <w:r>
        <w:rPr>
          <w:rFonts w:ascii="Arial" w:cs="Arial" w:eastAsia="Arial" w:hAnsi="Arial"/>
          <w:sz w:val="22"/>
          <w:szCs w:val="22"/>
        </w:rPr>
        <w:t xml:space="preserve">Apply MSP, Medicaid TPL, and TRICARE rules correctly in a claim with government coverage present.</w:t>
      </w:r>
      <w:r>
        <w:rPr>
          <w:rFonts w:ascii="Arial" w:cs="Arial" w:eastAsia="Arial" w:hAnsi="Arial"/>
          <w:color w:val="94a3b8"/>
          <w:sz w:val="22"/>
          <w:szCs w:val="22"/>
        </w:rPr>
        <w:t xml:space="preserve">   ·   </w:t>
      </w:r>
      <w:r>
        <w:rPr>
          <w:rFonts w:ascii="Arial" w:cs="Arial" w:eastAsia="Arial" w:hAnsi="Arial"/>
          <w:b/>
          <w:bCs/>
          <w:color w:val="475569"/>
          <w:sz w:val="22"/>
          <w:szCs w:val="22"/>
        </w:rPr>
        <w:t xml:space="preserve">Estimated study time: </w:t>
      </w:r>
      <w:r>
        <w:rPr>
          <w:rFonts w:ascii="Arial" w:cs="Arial" w:eastAsia="Arial" w:hAnsi="Arial"/>
          <w:sz w:val="22"/>
          <w:szCs w:val="22"/>
        </w:rPr>
        <w:t xml:space="preserve">4–6 hours</w:t>
      </w:r>
    </w:p>
    <w:p>
      <w:pPr>
        <w:spacing w:after="60" w:before="0"/>
      </w:pPr>
      <w:r>
        <w:rPr>
          <w:rFonts w:ascii="Arial" w:cs="Arial" w:eastAsia="Arial" w:hAnsi="Arial"/>
          <w:b/>
          <w:bCs/>
          <w:color w:val="475569"/>
          <w:sz w:val="22"/>
          <w:szCs w:val="22"/>
        </w:rPr>
        <w:t xml:space="preserve">Topics</w:t>
      </w:r>
    </w:p>
    <w:p>
      <w:pPr>
        <w:pStyle w:val="ListParagraph"/>
        <w:numPr>
          <w:ilvl w:val="0"/>
          <w:numId w:val="2"/>
        </w:numPr>
        <w:spacing w:after="50" w:before="0" w:line="280"/>
      </w:pPr>
      <w:r>
        <w:rPr>
          <w:rFonts w:ascii="Arial" w:cs="Arial" w:eastAsia="Arial" w:hAnsi="Arial"/>
          <w:sz w:val="22"/>
          <w:szCs w:val="22"/>
        </w:rPr>
        <w:t xml:space="preserve">Medicare Secondary Payer (MSP) rules:</w:t>
      </w:r>
    </w:p>
    <w:p>
      <w:pPr>
        <w:pStyle w:val="ListParagraph"/>
        <w:numPr>
          <w:ilvl w:val="1"/>
          <w:numId w:val="2"/>
        </w:numPr>
        <w:spacing w:after="50" w:before="0" w:line="280"/>
      </w:pPr>
      <w:r>
        <w:rPr>
          <w:rFonts w:ascii="Arial" w:cs="Arial" w:eastAsia="Arial" w:hAnsi="Arial"/>
          <w:sz w:val="22"/>
          <w:szCs w:val="22"/>
        </w:rPr>
        <w:t xml:space="preserve">Working aged: member ≥65, active employee or spouse of one, employer size ≥20 → EGHP primary, Medicare secondary. 42 U.S.C. § 1395y(b)(1)(A).</w:t>
      </w:r>
    </w:p>
    <w:p>
      <w:pPr>
        <w:pStyle w:val="ListParagraph"/>
        <w:numPr>
          <w:ilvl w:val="1"/>
          <w:numId w:val="2"/>
        </w:numPr>
        <w:spacing w:after="50" w:before="0" w:line="280"/>
      </w:pPr>
      <w:r>
        <w:rPr>
          <w:rFonts w:ascii="Arial" w:cs="Arial" w:eastAsia="Arial" w:hAnsi="Arial"/>
          <w:sz w:val="22"/>
          <w:szCs w:val="22"/>
        </w:rPr>
        <w:t xml:space="preserve">Disability: member &lt;65, Medicare via disability, EGHP through current employment, employer size ≥100 → EGHP primary. 42 U.S.C. § 1395y(b)(1)(B).</w:t>
      </w:r>
    </w:p>
    <w:p>
      <w:pPr>
        <w:pStyle w:val="ListParagraph"/>
        <w:numPr>
          <w:ilvl w:val="1"/>
          <w:numId w:val="2"/>
        </w:numPr>
        <w:spacing w:after="50" w:before="0" w:line="280"/>
      </w:pPr>
      <w:r>
        <w:rPr>
          <w:rFonts w:ascii="Arial" w:cs="Arial" w:eastAsia="Arial" w:hAnsi="Arial"/>
          <w:sz w:val="22"/>
          <w:szCs w:val="22"/>
        </w:rPr>
        <w:t xml:space="preserve">ESRD coordination period: 30 months EGHP primary, then Medicare primary. 42 U.S.C. § 1395y(b)(1)(C).</w:t>
      </w:r>
    </w:p>
    <w:p>
      <w:pPr>
        <w:pStyle w:val="ListParagraph"/>
        <w:numPr>
          <w:ilvl w:val="1"/>
          <w:numId w:val="2"/>
        </w:numPr>
        <w:spacing w:after="50" w:before="0" w:line="280"/>
      </w:pPr>
      <w:r>
        <w:rPr>
          <w:rFonts w:ascii="Arial" w:cs="Arial" w:eastAsia="Arial" w:hAnsi="Arial"/>
          <w:sz w:val="22"/>
          <w:szCs w:val="22"/>
        </w:rPr>
        <w:t xml:space="preserve">Conditional payments: Medicare can pay if other carriers haven't paid within 120 days; recoverable on settlement.</w:t>
      </w:r>
    </w:p>
    <w:p>
      <w:pPr>
        <w:pStyle w:val="ListParagraph"/>
        <w:numPr>
          <w:ilvl w:val="0"/>
          <w:numId w:val="2"/>
        </w:numPr>
        <w:spacing w:after="50" w:before="0" w:line="280"/>
      </w:pPr>
      <w:r>
        <w:rPr>
          <w:rFonts w:ascii="Arial" w:cs="Arial" w:eastAsia="Arial" w:hAnsi="Arial"/>
          <w:sz w:val="22"/>
          <w:szCs w:val="22"/>
        </w:rPr>
        <w:t xml:space="preserve">Medicaid payer of last resort:</w:t>
      </w:r>
    </w:p>
    <w:p>
      <w:pPr>
        <w:pStyle w:val="ListParagraph"/>
        <w:numPr>
          <w:ilvl w:val="1"/>
          <w:numId w:val="2"/>
        </w:numPr>
        <w:spacing w:after="50" w:before="0" w:line="280"/>
      </w:pPr>
      <w:r>
        <w:rPr>
          <w:rFonts w:ascii="Arial" w:cs="Arial" w:eastAsia="Arial" w:hAnsi="Arial"/>
          <w:sz w:val="22"/>
          <w:szCs w:val="22"/>
        </w:rPr>
        <w:t xml:space="preserve">Federal mandate: Medicaid is always last (SSA § 1902(a)(25); 42 CFR 433 Subpart D).</w:t>
      </w:r>
    </w:p>
    <w:p>
      <w:pPr>
        <w:pStyle w:val="ListParagraph"/>
        <w:numPr>
          <w:ilvl w:val="1"/>
          <w:numId w:val="2"/>
        </w:numPr>
        <w:spacing w:after="50" w:before="0" w:line="280"/>
      </w:pPr>
      <w:r>
        <w:rPr>
          <w:rFonts w:ascii="Arial" w:cs="Arial" w:eastAsia="Arial" w:hAnsi="Arial"/>
          <w:sz w:val="22"/>
          <w:szCs w:val="22"/>
        </w:rPr>
        <w:t xml:space="preserve">Cost avoidance (provider bills third party first) vs. pay-and-chase (Medicaid pays, then recovers).</w:t>
      </w:r>
    </w:p>
    <w:p>
      <w:pPr>
        <w:pStyle w:val="ListParagraph"/>
        <w:numPr>
          <w:ilvl w:val="1"/>
          <w:numId w:val="2"/>
        </w:numPr>
        <w:spacing w:after="50" w:before="0" w:line="280"/>
      </w:pPr>
      <w:r>
        <w:rPr>
          <w:rFonts w:ascii="Arial" w:cs="Arial" w:eastAsia="Arial" w:hAnsi="Arial"/>
          <w:sz w:val="22"/>
          <w:szCs w:val="22"/>
        </w:rPr>
        <w:t xml:space="preserve">Wisconsin Medicaid carve-out: "certain governmental programs" override the payer-of-last-resort default in narrow cases (ForwardHealth Topic #29).</w:t>
      </w:r>
    </w:p>
    <w:p>
      <w:pPr>
        <w:pStyle w:val="ListParagraph"/>
        <w:numPr>
          <w:ilvl w:val="1"/>
          <w:numId w:val="2"/>
        </w:numPr>
        <w:spacing w:after="50" w:before="0" w:line="280"/>
      </w:pPr>
      <w:r>
        <w:rPr>
          <w:rFonts w:ascii="Arial" w:cs="Arial" w:eastAsia="Arial" w:hAnsi="Arial"/>
          <w:sz w:val="22"/>
          <w:szCs w:val="22"/>
        </w:rPr>
        <w:t xml:space="preserve">Ahlborn limit: Medicaid's recovery from a tort settlement is limited to the medical portion of the settlement allocation.</w:t>
      </w:r>
    </w:p>
    <w:p>
      <w:pPr>
        <w:pStyle w:val="ListParagraph"/>
        <w:numPr>
          <w:ilvl w:val="0"/>
          <w:numId w:val="2"/>
        </w:numPr>
        <w:spacing w:after="50" w:before="0" w:line="280"/>
      </w:pPr>
      <w:r>
        <w:rPr>
          <w:rFonts w:ascii="Arial" w:cs="Arial" w:eastAsia="Arial" w:hAnsi="Arial"/>
          <w:sz w:val="22"/>
          <w:szCs w:val="22"/>
        </w:rPr>
        <w:t xml:space="preserve">TRICARE and friends:</w:t>
      </w:r>
    </w:p>
    <w:p>
      <w:pPr>
        <w:pStyle w:val="ListParagraph"/>
        <w:numPr>
          <w:ilvl w:val="1"/>
          <w:numId w:val="2"/>
        </w:numPr>
        <w:spacing w:after="50" w:before="0" w:line="280"/>
      </w:pPr>
      <w:r>
        <w:rPr>
          <w:rFonts w:ascii="Arial" w:cs="Arial" w:eastAsia="Arial" w:hAnsi="Arial"/>
          <w:sz w:val="22"/>
          <w:szCs w:val="22"/>
        </w:rPr>
        <w:t xml:space="preserve">TRICARE for Life (TFL): Medicare primary, TFL secondary.</w:t>
      </w:r>
    </w:p>
    <w:p>
      <w:pPr>
        <w:pStyle w:val="ListParagraph"/>
        <w:numPr>
          <w:ilvl w:val="1"/>
          <w:numId w:val="2"/>
        </w:numPr>
        <w:spacing w:after="50" w:before="0" w:line="280"/>
      </w:pPr>
      <w:r>
        <w:rPr>
          <w:rFonts w:ascii="Arial" w:cs="Arial" w:eastAsia="Arial" w:hAnsi="Arial"/>
          <w:sz w:val="22"/>
          <w:szCs w:val="22"/>
        </w:rPr>
        <w:t xml:space="preserve">Regular TRICARE: coordinates as EGHP for active-duty families.</w:t>
      </w:r>
    </w:p>
    <w:p>
      <w:pPr>
        <w:pStyle w:val="ListParagraph"/>
        <w:numPr>
          <w:ilvl w:val="1"/>
          <w:numId w:val="2"/>
        </w:numPr>
        <w:spacing w:after="50" w:before="0" w:line="280"/>
      </w:pPr>
      <w:r>
        <w:rPr>
          <w:rFonts w:ascii="Arial" w:cs="Arial" w:eastAsia="Arial" w:hAnsi="Arial"/>
          <w:sz w:val="22"/>
          <w:szCs w:val="22"/>
        </w:rPr>
        <w:t xml:space="preserve">VA, Black Lung, Indian Health Service — niche but real; analyst should recognize the indicator codes.</w:t>
      </w:r>
    </w:p>
    <w:p>
      <w:pPr>
        <w:spacing w:after="60" w:before="80"/>
      </w:pPr>
      <w:r>
        <w:rPr>
          <w:rFonts w:ascii="Arial" w:cs="Arial" w:eastAsia="Arial" w:hAnsi="Arial"/>
          <w:b/>
          <w:bCs/>
          <w:color w:val="b45309"/>
          <w:sz w:val="22"/>
          <w:szCs w:val="22"/>
        </w:rPr>
        <w:t xml:space="preserve">Why it matters: </w:t>
      </w:r>
      <w:r>
        <w:rPr>
          <w:rFonts w:ascii="Arial" w:cs="Arial" w:eastAsia="Arial" w:hAnsi="Arial"/>
          <w:i/>
          <w:iCs/>
          <w:color w:val="475569"/>
          <w:sz w:val="22"/>
          <w:szCs w:val="22"/>
        </w:rPr>
        <w:t xml:space="preserve">Government coverages have their own rules that override or modify the standard COB hierarchy. Missing an MSP rule is one of the most common audit findings.</w:t>
      </w:r>
    </w:p>
    <w:p>
      <w:pPr>
        <w:spacing w:after="100" w:before="40"/>
      </w:pPr>
      <w:r>
        <w:rPr>
          <w:rFonts w:ascii="Arial" w:cs="Arial" w:eastAsia="Arial" w:hAnsi="Arial"/>
          <w:b/>
          <w:bCs/>
          <w:color w:val="475569"/>
          <w:sz w:val="22"/>
          <w:szCs w:val="22"/>
        </w:rPr>
        <w:t xml:space="preserve">Key references: </w:t>
      </w:r>
      <w:r>
        <w:rPr>
          <w:rFonts w:ascii="Arial" w:cs="Arial" w:eastAsia="Arial" w:hAnsi="Arial"/>
          <w:color w:val="475569"/>
          <w:sz w:val="20"/>
          <w:szCs w:val="20"/>
        </w:rPr>
        <w:t xml:space="preserve">CMS COB Workbook (Module 5, 2015); CMS Medicaid COB/TPL Handbook (2020); Spec § 6.1 Rules 3–7, 13</w:t>
      </w:r>
    </w:p>
    <w:p>
      <w:pPr>
        <w:pStyle w:val="Heading2"/>
        <w:spacing w:after="100" w:before="240"/>
      </w:pPr>
      <w:r>
        <w:rPr>
          <w:rFonts w:ascii="Arial" w:cs="Arial" w:eastAsia="Arial" w:hAnsi="Arial"/>
          <w:b/>
          <w:bCs/>
          <w:color w:val="1d4ed8"/>
          <w:sz w:val="26"/>
          <w:szCs w:val="26"/>
        </w:rPr>
        <w:t xml:space="preserve">Module 8 · Personal injury attorneys — the workflow counterparty</w:t>
      </w:r>
    </w:p>
    <w:p>
      <w:pPr>
        <w:spacing w:after="80" w:before="0" w:line="280"/>
      </w:pPr>
      <w:r>
        <w:rPr>
          <w:rFonts w:ascii="Arial" w:cs="Arial" w:eastAsia="Arial" w:hAnsi="Arial"/>
          <w:b/>
          <w:bCs/>
          <w:color w:val="475569"/>
          <w:sz w:val="22"/>
          <w:szCs w:val="22"/>
        </w:rPr>
        <w:t xml:space="preserve">Objective: </w:t>
      </w:r>
      <w:r>
        <w:rPr>
          <w:rFonts w:ascii="Arial" w:cs="Arial" w:eastAsia="Arial" w:hAnsi="Arial"/>
          <w:sz w:val="22"/>
          <w:szCs w:val="22"/>
        </w:rPr>
        <w:t xml:space="preserve">Manage the recovery workflow when a member has retained counsel, including lien notice, negotiation, and settlement allocation.</w:t>
      </w:r>
      <w:r>
        <w:rPr>
          <w:rFonts w:ascii="Arial" w:cs="Arial" w:eastAsia="Arial" w:hAnsi="Arial"/>
          <w:color w:val="94a3b8"/>
          <w:sz w:val="22"/>
          <w:szCs w:val="22"/>
        </w:rPr>
        <w:t xml:space="preserve">   ·   </w:t>
      </w:r>
      <w:r>
        <w:rPr>
          <w:rFonts w:ascii="Arial" w:cs="Arial" w:eastAsia="Arial" w:hAnsi="Arial"/>
          <w:b/>
          <w:bCs/>
          <w:color w:val="475569"/>
          <w:sz w:val="22"/>
          <w:szCs w:val="22"/>
        </w:rPr>
        <w:t xml:space="preserve">Estimated study time: </w:t>
      </w:r>
      <w:r>
        <w:rPr>
          <w:rFonts w:ascii="Arial" w:cs="Arial" w:eastAsia="Arial" w:hAnsi="Arial"/>
          <w:sz w:val="22"/>
          <w:szCs w:val="22"/>
        </w:rPr>
        <w:t xml:space="preserve">3–4 hours</w:t>
      </w:r>
    </w:p>
    <w:p>
      <w:pPr>
        <w:spacing w:after="60" w:before="0"/>
      </w:pPr>
      <w:r>
        <w:rPr>
          <w:rFonts w:ascii="Arial" w:cs="Arial" w:eastAsia="Arial" w:hAnsi="Arial"/>
          <w:b/>
          <w:bCs/>
          <w:color w:val="475569"/>
          <w:sz w:val="22"/>
          <w:szCs w:val="22"/>
        </w:rPr>
        <w:t xml:space="preserve">Topics</w:t>
      </w:r>
    </w:p>
    <w:p>
      <w:pPr>
        <w:pStyle w:val="ListParagraph"/>
        <w:numPr>
          <w:ilvl w:val="0"/>
          <w:numId w:val="2"/>
        </w:numPr>
        <w:spacing w:after="50" w:before="0" w:line="280"/>
      </w:pPr>
      <w:r>
        <w:rPr>
          <w:rFonts w:ascii="Arial" w:cs="Arial" w:eastAsia="Arial" w:hAnsi="Arial"/>
          <w:sz w:val="22"/>
          <w:szCs w:val="22"/>
        </w:rPr>
        <w:t xml:space="preserve">The PI attorney's role: represents the member in pursuing the at-fault driver's auto carrier for personal injury damages. Once counsel is retained, the attorney is the recovery counterparty, not the auto carrier.</w:t>
      </w:r>
    </w:p>
    <w:p>
      <w:pPr>
        <w:pStyle w:val="ListParagraph"/>
        <w:numPr>
          <w:ilvl w:val="0"/>
          <w:numId w:val="2"/>
        </w:numPr>
        <w:spacing w:after="50" w:before="0" w:line="280"/>
      </w:pPr>
      <w:r>
        <w:rPr>
          <w:rFonts w:ascii="Arial" w:cs="Arial" w:eastAsia="Arial" w:hAnsi="Arial"/>
          <w:sz w:val="22"/>
          <w:szCs w:val="22"/>
        </w:rPr>
        <w:t xml:space="preserve">The recovery sequence:</w:t>
      </w:r>
    </w:p>
    <w:p>
      <w:pPr>
        <w:pStyle w:val="ListParagraph"/>
        <w:numPr>
          <w:ilvl w:val="1"/>
          <w:numId w:val="2"/>
        </w:numPr>
        <w:spacing w:after="50" w:before="0" w:line="280"/>
      </w:pPr>
      <w:r>
        <w:rPr>
          <w:rFonts w:ascii="Arial" w:cs="Arial" w:eastAsia="Arial" w:hAnsi="Arial"/>
          <w:sz w:val="22"/>
          <w:szCs w:val="22"/>
        </w:rPr>
        <w:t xml:space="preserve">Member injured → plan pays medical → PI attorney retained → plan files lien notice with attorney → attorney negotiates settlement → attorney must resolve plan lien before disbursing to member → settlement closes, plan executes release.</w:t>
      </w:r>
    </w:p>
    <w:p>
      <w:pPr>
        <w:pStyle w:val="ListParagraph"/>
        <w:numPr>
          <w:ilvl w:val="0"/>
          <w:numId w:val="2"/>
        </w:numPr>
        <w:spacing w:after="50" w:before="0" w:line="280"/>
      </w:pPr>
      <w:r>
        <w:rPr>
          <w:rFonts w:ascii="Arial" w:cs="Arial" w:eastAsia="Arial" w:hAnsi="Arial"/>
          <w:sz w:val="22"/>
          <w:szCs w:val="22"/>
        </w:rPr>
        <w:t xml:space="preserve">Lien notice mechanics:</w:t>
      </w:r>
    </w:p>
    <w:p>
      <w:pPr>
        <w:pStyle w:val="ListParagraph"/>
        <w:numPr>
          <w:ilvl w:val="1"/>
          <w:numId w:val="2"/>
        </w:numPr>
        <w:spacing w:after="50" w:before="0" w:line="280"/>
      </w:pPr>
      <w:r>
        <w:rPr>
          <w:rFonts w:ascii="Arial" w:cs="Arial" w:eastAsia="Arial" w:hAnsi="Arial"/>
          <w:sz w:val="22"/>
          <w:szCs w:val="22"/>
        </w:rPr>
        <w:t xml:space="preserve">Written notice naming the plan, the lien amount, the legal authority (plan document + applicable state law).</w:t>
      </w:r>
    </w:p>
    <w:p>
      <w:pPr>
        <w:pStyle w:val="ListParagraph"/>
        <w:numPr>
          <w:ilvl w:val="1"/>
          <w:numId w:val="2"/>
        </w:numPr>
        <w:spacing w:after="50" w:before="0" w:line="280"/>
      </w:pPr>
      <w:r>
        <w:rPr>
          <w:rFonts w:ascii="Arial" w:cs="Arial" w:eastAsia="Arial" w:hAnsi="Arial"/>
          <w:sz w:val="22"/>
          <w:szCs w:val="22"/>
        </w:rPr>
        <w:t xml:space="preserve">Plan's right to be notified of any settlement; attorney's ethical duty to honor.</w:t>
      </w:r>
    </w:p>
    <w:p>
      <w:pPr>
        <w:pStyle w:val="ListParagraph"/>
        <w:numPr>
          <w:ilvl w:val="1"/>
          <w:numId w:val="2"/>
        </w:numPr>
        <w:spacing w:after="50" w:before="0" w:line="280"/>
      </w:pPr>
      <w:r>
        <w:rPr>
          <w:rFonts w:ascii="Arial" w:cs="Arial" w:eastAsia="Arial" w:hAnsi="Arial"/>
          <w:sz w:val="22"/>
          <w:szCs w:val="22"/>
        </w:rPr>
        <w:t xml:space="preserve">Wisconsin: Wis. Stat. § 631.43 and Wis. Admin. Code § Ins 3.40 are the statutory authorities cited.</w:t>
      </w:r>
    </w:p>
    <w:p>
      <w:pPr>
        <w:pStyle w:val="ListParagraph"/>
        <w:numPr>
          <w:ilvl w:val="0"/>
          <w:numId w:val="2"/>
        </w:numPr>
        <w:spacing w:after="50" w:before="0" w:line="280"/>
      </w:pPr>
      <w:r>
        <w:rPr>
          <w:rFonts w:ascii="Arial" w:cs="Arial" w:eastAsia="Arial" w:hAnsi="Arial"/>
          <w:sz w:val="22"/>
          <w:szCs w:val="22"/>
        </w:rPr>
        <w:t xml:space="preserve">Lien reduction negotiation:</w:t>
      </w:r>
    </w:p>
    <w:p>
      <w:pPr>
        <w:pStyle w:val="ListParagraph"/>
        <w:numPr>
          <w:ilvl w:val="1"/>
          <w:numId w:val="2"/>
        </w:numPr>
        <w:spacing w:after="50" w:before="0" w:line="280"/>
      </w:pPr>
      <w:r>
        <w:rPr>
          <w:rFonts w:ascii="Arial" w:cs="Arial" w:eastAsia="Arial" w:hAnsi="Arial"/>
          <w:sz w:val="22"/>
          <w:szCs w:val="22"/>
        </w:rPr>
        <w:t xml:space="preserve">Attorney's arguments: made-whole, common-fund pro-rata, unfair-allocation.</w:t>
      </w:r>
    </w:p>
    <w:p>
      <w:pPr>
        <w:pStyle w:val="ListParagraph"/>
        <w:numPr>
          <w:ilvl w:val="1"/>
          <w:numId w:val="2"/>
        </w:numPr>
        <w:spacing w:after="50" w:before="0" w:line="280"/>
      </w:pPr>
      <w:r>
        <w:rPr>
          <w:rFonts w:ascii="Arial" w:cs="Arial" w:eastAsia="Arial" w:hAnsi="Arial"/>
          <w:sz w:val="22"/>
          <w:szCs w:val="22"/>
        </w:rPr>
        <w:t xml:space="preserve">Plan's responses: ERISA preemption (if applicable), plan-document language preserving recovery, demonstrated full compensation analysis.</w:t>
      </w:r>
    </w:p>
    <w:p>
      <w:pPr>
        <w:pStyle w:val="ListParagraph"/>
        <w:numPr>
          <w:ilvl w:val="1"/>
          <w:numId w:val="2"/>
        </w:numPr>
        <w:spacing w:after="50" w:before="0" w:line="280"/>
      </w:pPr>
      <w:r>
        <w:rPr>
          <w:rFonts w:ascii="Arial" w:cs="Arial" w:eastAsia="Arial" w:hAnsi="Arial"/>
          <w:sz w:val="22"/>
          <w:szCs w:val="22"/>
        </w:rPr>
        <w:t xml:space="preserve">Typical outcome on a fully-insured WI claim: 30–50% gross reduction after made-whole + common-fund + negotiation latitude.</w:t>
      </w:r>
    </w:p>
    <w:p>
      <w:pPr>
        <w:pStyle w:val="ListParagraph"/>
        <w:numPr>
          <w:ilvl w:val="0"/>
          <w:numId w:val="2"/>
        </w:numPr>
        <w:spacing w:after="50" w:before="0" w:line="280"/>
      </w:pPr>
      <w:r>
        <w:rPr>
          <w:rFonts w:ascii="Arial" w:cs="Arial" w:eastAsia="Arial" w:hAnsi="Arial"/>
          <w:sz w:val="22"/>
          <w:szCs w:val="22"/>
        </w:rPr>
        <w:t xml:space="preserve">Settlement allocation: how settlement dollars are apportioned among medical, pain &amp; suffering, lost wages, etc. The plan only recovers from the medical portion; attorneys structure allocations to minimize that bucket.</w:t>
      </w:r>
    </w:p>
    <w:p>
      <w:pPr>
        <w:spacing w:after="60" w:before="80"/>
      </w:pPr>
      <w:r>
        <w:rPr>
          <w:rFonts w:ascii="Arial" w:cs="Arial" w:eastAsia="Arial" w:hAnsi="Arial"/>
          <w:b/>
          <w:bCs/>
          <w:color w:val="b45309"/>
          <w:sz w:val="22"/>
          <w:szCs w:val="22"/>
        </w:rPr>
        <w:t xml:space="preserve">Why it matters: </w:t>
      </w:r>
      <w:r>
        <w:rPr>
          <w:rFonts w:ascii="Arial" w:cs="Arial" w:eastAsia="Arial" w:hAnsi="Arial"/>
          <w:i/>
          <w:iCs/>
          <w:color w:val="475569"/>
          <w:sz w:val="22"/>
          <w:szCs w:val="22"/>
        </w:rPr>
        <w:t xml:space="preserve">Most of the analyst's higher-value work is in this negotiation. Module 6 (ERISA) and Module 5 (state doctrines) feed directly into the leverage calculation.</w:t>
      </w:r>
    </w:p>
    <w:p>
      <w:pPr>
        <w:spacing w:after="100" w:before="40"/>
      </w:pPr>
      <w:r>
        <w:rPr>
          <w:rFonts w:ascii="Arial" w:cs="Arial" w:eastAsia="Arial" w:hAnsi="Arial"/>
          <w:b/>
          <w:bCs/>
          <w:color w:val="475569"/>
          <w:sz w:val="22"/>
          <w:szCs w:val="22"/>
        </w:rPr>
        <w:t xml:space="preserve">Key references: </w:t>
      </w:r>
      <w:r>
        <w:rPr>
          <w:rFonts w:ascii="Arial" w:cs="Arial" w:eastAsia="Arial" w:hAnsi="Arial"/>
          <w:color w:val="475569"/>
          <w:sz w:val="20"/>
          <w:szCs w:val="20"/>
        </w:rPr>
        <w:t xml:space="preserve">Spec § 5.1 (PI attorney workflow); COB Flow Demand Letter Template; Wis. Admin. Code § Ins 3.40(18)</w:t>
      </w:r>
    </w:p>
    <w:p>
      <w:pPr>
        <w:pStyle w:val="Heading2"/>
        <w:spacing w:after="100" w:before="240"/>
      </w:pPr>
      <w:r>
        <w:rPr>
          <w:rFonts w:ascii="Arial" w:cs="Arial" w:eastAsia="Arial" w:hAnsi="Arial"/>
          <w:b/>
          <w:bCs/>
          <w:color w:val="1d4ed8"/>
          <w:sz w:val="26"/>
          <w:szCs w:val="26"/>
        </w:rPr>
        <w:t xml:space="preserve">Module 9 · The recovery workflow end-to-end</w:t>
      </w:r>
    </w:p>
    <w:p>
      <w:pPr>
        <w:spacing w:after="80" w:before="0" w:line="280"/>
      </w:pPr>
      <w:r>
        <w:rPr>
          <w:rFonts w:ascii="Arial" w:cs="Arial" w:eastAsia="Arial" w:hAnsi="Arial"/>
          <w:b/>
          <w:bCs/>
          <w:color w:val="475569"/>
          <w:sz w:val="22"/>
          <w:szCs w:val="22"/>
        </w:rPr>
        <w:t xml:space="preserve">Objective: </w:t>
      </w:r>
      <w:r>
        <w:rPr>
          <w:rFonts w:ascii="Arial" w:cs="Arial" w:eastAsia="Arial" w:hAnsi="Arial"/>
          <w:sz w:val="22"/>
          <w:szCs w:val="22"/>
        </w:rPr>
        <w:t xml:space="preserve">Walk a real Auto COB claim from intake to closure with audit-trail documentation at each step.</w:t>
      </w:r>
      <w:r>
        <w:rPr>
          <w:rFonts w:ascii="Arial" w:cs="Arial" w:eastAsia="Arial" w:hAnsi="Arial"/>
          <w:color w:val="94a3b8"/>
          <w:sz w:val="22"/>
          <w:szCs w:val="22"/>
        </w:rPr>
        <w:t xml:space="preserve">   ·   </w:t>
      </w:r>
      <w:r>
        <w:rPr>
          <w:rFonts w:ascii="Arial" w:cs="Arial" w:eastAsia="Arial" w:hAnsi="Arial"/>
          <w:b/>
          <w:bCs/>
          <w:color w:val="475569"/>
          <w:sz w:val="22"/>
          <w:szCs w:val="22"/>
        </w:rPr>
        <w:t xml:space="preserve">Estimated study time: </w:t>
      </w:r>
      <w:r>
        <w:rPr>
          <w:rFonts w:ascii="Arial" w:cs="Arial" w:eastAsia="Arial" w:hAnsi="Arial"/>
          <w:sz w:val="22"/>
          <w:szCs w:val="22"/>
        </w:rPr>
        <w:t xml:space="preserve">6–8 hours</w:t>
      </w:r>
    </w:p>
    <w:p>
      <w:pPr>
        <w:spacing w:after="60" w:before="0"/>
      </w:pPr>
      <w:r>
        <w:rPr>
          <w:rFonts w:ascii="Arial" w:cs="Arial" w:eastAsia="Arial" w:hAnsi="Arial"/>
          <w:b/>
          <w:bCs/>
          <w:color w:val="475569"/>
          <w:sz w:val="22"/>
          <w:szCs w:val="22"/>
        </w:rPr>
        <w:t xml:space="preserve">Topics</w:t>
      </w:r>
    </w:p>
    <w:p>
      <w:pPr>
        <w:pStyle w:val="ListParagraph"/>
        <w:numPr>
          <w:ilvl w:val="0"/>
          <w:numId w:val="2"/>
        </w:numPr>
        <w:spacing w:after="50" w:before="0" w:line="280"/>
      </w:pPr>
      <w:r>
        <w:rPr>
          <w:rFonts w:ascii="Arial" w:cs="Arial" w:eastAsia="Arial" w:hAnsi="Arial"/>
          <w:sz w:val="22"/>
          <w:szCs w:val="22"/>
        </w:rPr>
        <w:t xml:space="preserve">The 9-phase canonical workflow (per COB_Flow_WI_Workflow_v1.0.docx):</w:t>
      </w:r>
    </w:p>
    <w:p>
      <w:pPr>
        <w:pStyle w:val="ListParagraph"/>
        <w:numPr>
          <w:ilvl w:val="1"/>
          <w:numId w:val="2"/>
        </w:numPr>
        <w:spacing w:after="50" w:before="0" w:line="280"/>
      </w:pPr>
      <w:r>
        <w:rPr>
          <w:rFonts w:ascii="Arial" w:cs="Arial" w:eastAsia="Arial" w:hAnsi="Arial"/>
          <w:sz w:val="22"/>
          <w:szCs w:val="22"/>
        </w:rPr>
        <w:t xml:space="preserve">1. Claim Intake — accident facts, claimant, bills, attorney rep.</w:t>
      </w:r>
    </w:p>
    <w:p>
      <w:pPr>
        <w:pStyle w:val="ListParagraph"/>
        <w:numPr>
          <w:ilvl w:val="1"/>
          <w:numId w:val="2"/>
        </w:numPr>
        <w:spacing w:after="50" w:before="0" w:line="280"/>
      </w:pPr>
      <w:r>
        <w:rPr>
          <w:rFonts w:ascii="Arial" w:cs="Arial" w:eastAsia="Arial" w:hAnsi="Arial"/>
          <w:sz w:val="22"/>
          <w:szCs w:val="22"/>
        </w:rPr>
        <w:t xml:space="preserve">2. Coverage Discovery — find all coverages (health, auto, Medicare, Medicaid, WC).</w:t>
      </w:r>
    </w:p>
    <w:p>
      <w:pPr>
        <w:pStyle w:val="ListParagraph"/>
        <w:numPr>
          <w:ilvl w:val="1"/>
          <w:numId w:val="2"/>
        </w:numPr>
        <w:spacing w:after="50" w:before="0" w:line="280"/>
      </w:pPr>
      <w:r>
        <w:rPr>
          <w:rFonts w:ascii="Arial" w:cs="Arial" w:eastAsia="Arial" w:hAnsi="Arial"/>
          <w:sz w:val="22"/>
          <w:szCs w:val="22"/>
        </w:rPr>
        <w:t xml:space="preserve">3. Coverage Classification — classify each; flag ERISA self-funded.</w:t>
      </w:r>
    </w:p>
    <w:p>
      <w:pPr>
        <w:pStyle w:val="ListParagraph"/>
        <w:numPr>
          <w:ilvl w:val="1"/>
          <w:numId w:val="2"/>
        </w:numPr>
        <w:spacing w:after="50" w:before="0" w:line="280"/>
      </w:pPr>
      <w:r>
        <w:rPr>
          <w:rFonts w:ascii="Arial" w:cs="Arial" w:eastAsia="Arial" w:hAnsi="Arial"/>
          <w:sz w:val="22"/>
          <w:szCs w:val="22"/>
        </w:rPr>
        <w:t xml:space="preserve">4. Liability &amp; Fault Investigation — establish % fault, comparative-negligence math.</w:t>
      </w:r>
    </w:p>
    <w:p>
      <w:pPr>
        <w:pStyle w:val="ListParagraph"/>
        <w:numPr>
          <w:ilvl w:val="1"/>
          <w:numId w:val="2"/>
        </w:numPr>
        <w:spacing w:after="50" w:before="0" w:line="280"/>
      </w:pPr>
      <w:r>
        <w:rPr>
          <w:rFonts w:ascii="Arial" w:cs="Arial" w:eastAsia="Arial" w:hAnsi="Arial"/>
          <w:sz w:val="22"/>
          <w:szCs w:val="22"/>
        </w:rPr>
        <w:t xml:space="preserve">5. Apply COB Rules — engine determination with citations.</w:t>
      </w:r>
    </w:p>
    <w:p>
      <w:pPr>
        <w:pStyle w:val="ListParagraph"/>
        <w:numPr>
          <w:ilvl w:val="1"/>
          <w:numId w:val="2"/>
        </w:numPr>
        <w:spacing w:after="50" w:before="0" w:line="280"/>
      </w:pPr>
      <w:r>
        <w:rPr>
          <w:rFonts w:ascii="Arial" w:cs="Arial" w:eastAsia="Arial" w:hAnsi="Arial"/>
          <w:sz w:val="22"/>
          <w:szCs w:val="22"/>
        </w:rPr>
        <w:t xml:space="preserve">6. Payment Routing &amp; Demand — generate questionnaire or demand letter.</w:t>
      </w:r>
    </w:p>
    <w:p>
      <w:pPr>
        <w:pStyle w:val="ListParagraph"/>
        <w:numPr>
          <w:ilvl w:val="1"/>
          <w:numId w:val="2"/>
        </w:numPr>
        <w:spacing w:after="50" w:before="0" w:line="280"/>
      </w:pPr>
      <w:r>
        <w:rPr>
          <w:rFonts w:ascii="Arial" w:cs="Arial" w:eastAsia="Arial" w:hAnsi="Arial"/>
          <w:sz w:val="22"/>
          <w:szCs w:val="22"/>
        </w:rPr>
        <w:t xml:space="preserve">7. Ongoing Claim Management — track duplicate payments, supplemental EOBs.</w:t>
      </w:r>
    </w:p>
    <w:p>
      <w:pPr>
        <w:pStyle w:val="ListParagraph"/>
        <w:numPr>
          <w:ilvl w:val="1"/>
          <w:numId w:val="2"/>
        </w:numPr>
        <w:spacing w:after="50" w:before="0" w:line="280"/>
      </w:pPr>
      <w:r>
        <w:rPr>
          <w:rFonts w:ascii="Arial" w:cs="Arial" w:eastAsia="Arial" w:hAnsi="Arial"/>
          <w:sz w:val="22"/>
          <w:szCs w:val="22"/>
        </w:rPr>
        <w:t xml:space="preserve">8. Subrogation &amp; Recovery — made-whole, common-fund, lien negotiation, settlement.</w:t>
      </w:r>
    </w:p>
    <w:p>
      <w:pPr>
        <w:pStyle w:val="ListParagraph"/>
        <w:numPr>
          <w:ilvl w:val="1"/>
          <w:numId w:val="2"/>
        </w:numPr>
        <w:spacing w:after="50" w:before="0" w:line="280"/>
      </w:pPr>
      <w:r>
        <w:rPr>
          <w:rFonts w:ascii="Arial" w:cs="Arial" w:eastAsia="Arial" w:hAnsi="Arial"/>
          <w:sz w:val="22"/>
          <w:szCs w:val="22"/>
        </w:rPr>
        <w:t xml:space="preserve">9. Audit &amp; Closure — verify primacy, confirm no duplicates, audit-ready summary.</w:t>
      </w:r>
    </w:p>
    <w:p>
      <w:pPr>
        <w:pStyle w:val="ListParagraph"/>
        <w:numPr>
          <w:ilvl w:val="0"/>
          <w:numId w:val="2"/>
        </w:numPr>
        <w:spacing w:after="50" w:before="0" w:line="280"/>
      </w:pPr>
      <w:r>
        <w:rPr>
          <w:rFonts w:ascii="Arial" w:cs="Arial" w:eastAsia="Arial" w:hAnsi="Arial"/>
          <w:sz w:val="22"/>
          <w:szCs w:val="22"/>
        </w:rPr>
        <w:t xml:space="preserve">Triage signals: Diagnosis and Trauma Code Edits (the Medicaid TPL term), place-of-service signals, accident indicators on the claim file.</w:t>
      </w:r>
    </w:p>
    <w:p>
      <w:pPr>
        <w:pStyle w:val="ListParagraph"/>
        <w:numPr>
          <w:ilvl w:val="0"/>
          <w:numId w:val="2"/>
        </w:numPr>
        <w:spacing w:after="50" w:before="0" w:line="280"/>
      </w:pPr>
      <w:r>
        <w:rPr>
          <w:rFonts w:ascii="Arial" w:cs="Arial" w:eastAsia="Arial" w:hAnsi="Arial"/>
          <w:sz w:val="22"/>
          <w:szCs w:val="22"/>
        </w:rPr>
        <w:t xml:space="preserve">Demand letter elements: legal authority cite, demand amount, response window, reservation of rights, supporting documentation.</w:t>
      </w:r>
    </w:p>
    <w:p>
      <w:pPr>
        <w:pStyle w:val="ListParagraph"/>
        <w:numPr>
          <w:ilvl w:val="0"/>
          <w:numId w:val="2"/>
        </w:numPr>
        <w:spacing w:after="50" w:before="0" w:line="280"/>
      </w:pPr>
      <w:r>
        <w:rPr>
          <w:rFonts w:ascii="Arial" w:cs="Arial" w:eastAsia="Arial" w:hAnsi="Arial"/>
          <w:sz w:val="22"/>
          <w:szCs w:val="22"/>
        </w:rPr>
        <w:t xml:space="preserve">Settlement closeout: lien release execution, audit summary, final accounting.</w:t>
      </w:r>
    </w:p>
    <w:p>
      <w:pPr>
        <w:spacing w:after="60" w:before="80"/>
      </w:pPr>
      <w:r>
        <w:rPr>
          <w:rFonts w:ascii="Arial" w:cs="Arial" w:eastAsia="Arial" w:hAnsi="Arial"/>
          <w:b/>
          <w:bCs/>
          <w:color w:val="b45309"/>
          <w:sz w:val="22"/>
          <w:szCs w:val="22"/>
        </w:rPr>
        <w:t xml:space="preserve">Why it matters: </w:t>
      </w:r>
      <w:r>
        <w:rPr>
          <w:rFonts w:ascii="Arial" w:cs="Arial" w:eastAsia="Arial" w:hAnsi="Arial"/>
          <w:i/>
          <w:iCs/>
          <w:color w:val="475569"/>
          <w:sz w:val="22"/>
          <w:szCs w:val="22"/>
        </w:rPr>
        <w:t xml:space="preserve">Module 9 is the operational integration of everything in modules 1–8. Practicing this end-to-end is how analyst skill builds.</w:t>
      </w:r>
    </w:p>
    <w:p>
      <w:pPr>
        <w:spacing w:after="100" w:before="40"/>
      </w:pPr>
      <w:r>
        <w:rPr>
          <w:rFonts w:ascii="Arial" w:cs="Arial" w:eastAsia="Arial" w:hAnsi="Arial"/>
          <w:b/>
          <w:bCs/>
          <w:color w:val="475569"/>
          <w:sz w:val="22"/>
          <w:szCs w:val="22"/>
        </w:rPr>
        <w:t xml:space="preserve">Key references: </w:t>
      </w:r>
      <w:r>
        <w:rPr>
          <w:rFonts w:ascii="Arial" w:cs="Arial" w:eastAsia="Arial" w:hAnsi="Arial"/>
          <w:color w:val="475569"/>
          <w:sz w:val="20"/>
          <w:szCs w:val="20"/>
        </w:rPr>
        <w:t xml:space="preserve">COB Flow WI Workflow v1.0; COB Flow Spec § 5; Spec § 11.2 (authority limits)</w:t>
      </w:r>
    </w:p>
    <w:p>
      <w:pPr>
        <w:pStyle w:val="Heading2"/>
        <w:spacing w:after="100" w:before="240"/>
      </w:pPr>
      <w:r>
        <w:rPr>
          <w:rFonts w:ascii="Arial" w:cs="Arial" w:eastAsia="Arial" w:hAnsi="Arial"/>
          <w:b/>
          <w:bCs/>
          <w:color w:val="1d4ed8"/>
          <w:sz w:val="26"/>
          <w:szCs w:val="26"/>
        </w:rPr>
        <w:t xml:space="preserve">Module 10 · Documents and data — what crosses the analyst's desk</w:t>
      </w:r>
    </w:p>
    <w:p>
      <w:pPr>
        <w:spacing w:after="80" w:before="0" w:line="280"/>
      </w:pPr>
      <w:r>
        <w:rPr>
          <w:rFonts w:ascii="Arial" w:cs="Arial" w:eastAsia="Arial" w:hAnsi="Arial"/>
          <w:b/>
          <w:bCs/>
          <w:color w:val="475569"/>
          <w:sz w:val="22"/>
          <w:szCs w:val="22"/>
        </w:rPr>
        <w:t xml:space="preserve">Objective: </w:t>
      </w:r>
      <w:r>
        <w:rPr>
          <w:rFonts w:ascii="Arial" w:cs="Arial" w:eastAsia="Arial" w:hAnsi="Arial"/>
          <w:sz w:val="22"/>
          <w:szCs w:val="22"/>
        </w:rPr>
        <w:t xml:space="preserve">Identify, request, and interpret the document types and data feeds an Auto COB analyst handles.</w:t>
      </w:r>
      <w:r>
        <w:rPr>
          <w:rFonts w:ascii="Arial" w:cs="Arial" w:eastAsia="Arial" w:hAnsi="Arial"/>
          <w:color w:val="94a3b8"/>
          <w:sz w:val="22"/>
          <w:szCs w:val="22"/>
        </w:rPr>
        <w:t xml:space="preserve">   ·   </w:t>
      </w:r>
      <w:r>
        <w:rPr>
          <w:rFonts w:ascii="Arial" w:cs="Arial" w:eastAsia="Arial" w:hAnsi="Arial"/>
          <w:b/>
          <w:bCs/>
          <w:color w:val="475569"/>
          <w:sz w:val="22"/>
          <w:szCs w:val="22"/>
        </w:rPr>
        <w:t xml:space="preserve">Estimated study time: </w:t>
      </w:r>
      <w:r>
        <w:rPr>
          <w:rFonts w:ascii="Arial" w:cs="Arial" w:eastAsia="Arial" w:hAnsi="Arial"/>
          <w:sz w:val="22"/>
          <w:szCs w:val="22"/>
        </w:rPr>
        <w:t xml:space="preserve">3–5 hours</w:t>
      </w:r>
    </w:p>
    <w:p>
      <w:pPr>
        <w:spacing w:after="60" w:before="0"/>
      </w:pPr>
      <w:r>
        <w:rPr>
          <w:rFonts w:ascii="Arial" w:cs="Arial" w:eastAsia="Arial" w:hAnsi="Arial"/>
          <w:b/>
          <w:bCs/>
          <w:color w:val="475569"/>
          <w:sz w:val="22"/>
          <w:szCs w:val="22"/>
        </w:rPr>
        <w:t xml:space="preserve">Topics</w:t>
      </w:r>
    </w:p>
    <w:p>
      <w:pPr>
        <w:pStyle w:val="ListParagraph"/>
        <w:numPr>
          <w:ilvl w:val="0"/>
          <w:numId w:val="2"/>
        </w:numPr>
        <w:spacing w:after="50" w:before="0" w:line="280"/>
      </w:pPr>
      <w:r>
        <w:rPr>
          <w:rFonts w:ascii="Arial" w:cs="Arial" w:eastAsia="Arial" w:hAnsi="Arial"/>
          <w:sz w:val="22"/>
          <w:szCs w:val="22"/>
        </w:rPr>
        <w:t xml:space="preserve">Plan-side documents:</w:t>
      </w:r>
    </w:p>
    <w:p>
      <w:pPr>
        <w:pStyle w:val="ListParagraph"/>
        <w:numPr>
          <w:ilvl w:val="1"/>
          <w:numId w:val="2"/>
        </w:numPr>
        <w:spacing w:after="50" w:before="0" w:line="280"/>
      </w:pPr>
      <w:r>
        <w:rPr>
          <w:rFonts w:ascii="Arial" w:cs="Arial" w:eastAsia="Arial" w:hAnsi="Arial"/>
          <w:sz w:val="22"/>
          <w:szCs w:val="22"/>
        </w:rPr>
        <w:t xml:space="preserve">SPD (Summary Plan Description) — the primary source for COB and subrogation language. ERISA requires distribution.</w:t>
      </w:r>
    </w:p>
    <w:p>
      <w:pPr>
        <w:pStyle w:val="ListParagraph"/>
        <w:numPr>
          <w:ilvl w:val="1"/>
          <w:numId w:val="2"/>
        </w:numPr>
        <w:spacing w:after="50" w:before="0" w:line="280"/>
      </w:pPr>
      <w:r>
        <w:rPr>
          <w:rFonts w:ascii="Arial" w:cs="Arial" w:eastAsia="Arial" w:hAnsi="Arial"/>
          <w:sz w:val="22"/>
          <w:szCs w:val="22"/>
        </w:rPr>
        <w:t xml:space="preserve">EOC (Evidence of Coverage) — the marketplace/group equivalent.</w:t>
      </w:r>
    </w:p>
    <w:p>
      <w:pPr>
        <w:pStyle w:val="ListParagraph"/>
        <w:numPr>
          <w:ilvl w:val="1"/>
          <w:numId w:val="2"/>
        </w:numPr>
        <w:spacing w:after="50" w:before="0" w:line="280"/>
      </w:pPr>
      <w:r>
        <w:rPr>
          <w:rFonts w:ascii="Arial" w:cs="Arial" w:eastAsia="Arial" w:hAnsi="Arial"/>
          <w:sz w:val="22"/>
          <w:szCs w:val="22"/>
        </w:rPr>
        <w:t xml:space="preserve">Plan-document COB excerpt — what gets attached to demand letters.</w:t>
      </w:r>
    </w:p>
    <w:p>
      <w:pPr>
        <w:pStyle w:val="ListParagraph"/>
        <w:numPr>
          <w:ilvl w:val="0"/>
          <w:numId w:val="2"/>
        </w:numPr>
        <w:spacing w:after="50" w:before="0" w:line="280"/>
      </w:pPr>
      <w:r>
        <w:rPr>
          <w:rFonts w:ascii="Arial" w:cs="Arial" w:eastAsia="Arial" w:hAnsi="Arial"/>
          <w:sz w:val="22"/>
          <w:szCs w:val="22"/>
        </w:rPr>
        <w:t xml:space="preserve">Claim-side documents:</w:t>
      </w:r>
    </w:p>
    <w:p>
      <w:pPr>
        <w:pStyle w:val="ListParagraph"/>
        <w:numPr>
          <w:ilvl w:val="1"/>
          <w:numId w:val="2"/>
        </w:numPr>
        <w:spacing w:after="50" w:before="0" w:line="280"/>
      </w:pPr>
      <w:r>
        <w:rPr>
          <w:rFonts w:ascii="Arial" w:cs="Arial" w:eastAsia="Arial" w:hAnsi="Arial"/>
          <w:sz w:val="22"/>
          <w:szCs w:val="22"/>
        </w:rPr>
        <w:t xml:space="preserve">EOB (Explanation of Benefits) — what the plan paid and didn't.</w:t>
      </w:r>
    </w:p>
    <w:p>
      <w:pPr>
        <w:pStyle w:val="ListParagraph"/>
        <w:numPr>
          <w:ilvl w:val="1"/>
          <w:numId w:val="2"/>
        </w:numPr>
        <w:spacing w:after="50" w:before="0" w:line="280"/>
      </w:pPr>
      <w:r>
        <w:rPr>
          <w:rFonts w:ascii="Arial" w:cs="Arial" w:eastAsia="Arial" w:hAnsi="Arial"/>
          <w:sz w:val="22"/>
          <w:szCs w:val="22"/>
        </w:rPr>
        <w:t xml:space="preserve">EOMB / RA (remittance advice) — provider-side equivalent.</w:t>
      </w:r>
    </w:p>
    <w:p>
      <w:pPr>
        <w:pStyle w:val="ListParagraph"/>
        <w:numPr>
          <w:ilvl w:val="1"/>
          <w:numId w:val="2"/>
        </w:numPr>
        <w:spacing w:after="50" w:before="0" w:line="280"/>
      </w:pPr>
      <w:r>
        <w:rPr>
          <w:rFonts w:ascii="Arial" w:cs="Arial" w:eastAsia="Arial" w:hAnsi="Arial"/>
          <w:sz w:val="22"/>
          <w:szCs w:val="22"/>
        </w:rPr>
        <w:t xml:space="preserve">HCFA-1500 (professional services), HCFA-1450/UB-04 (institutional), ADA dental claim form.</w:t>
      </w:r>
    </w:p>
    <w:p>
      <w:pPr>
        <w:pStyle w:val="ListParagraph"/>
        <w:numPr>
          <w:ilvl w:val="0"/>
          <w:numId w:val="2"/>
        </w:numPr>
        <w:spacing w:after="50" w:before="0" w:line="280"/>
      </w:pPr>
      <w:r>
        <w:rPr>
          <w:rFonts w:ascii="Arial" w:cs="Arial" w:eastAsia="Arial" w:hAnsi="Arial"/>
          <w:sz w:val="22"/>
          <w:szCs w:val="22"/>
        </w:rPr>
        <w:t xml:space="preserve">Auto-side documents:</w:t>
      </w:r>
    </w:p>
    <w:p>
      <w:pPr>
        <w:pStyle w:val="ListParagraph"/>
        <w:numPr>
          <w:ilvl w:val="1"/>
          <w:numId w:val="2"/>
        </w:numPr>
        <w:spacing w:after="50" w:before="0" w:line="280"/>
      </w:pPr>
      <w:r>
        <w:rPr>
          <w:rFonts w:ascii="Arial" w:cs="Arial" w:eastAsia="Arial" w:hAnsi="Arial"/>
          <w:sz w:val="22"/>
          <w:szCs w:val="22"/>
        </w:rPr>
        <w:t xml:space="preserve">Auto policy declarations page — limits, coverages, named insureds.</w:t>
      </w:r>
    </w:p>
    <w:p>
      <w:pPr>
        <w:pStyle w:val="ListParagraph"/>
        <w:numPr>
          <w:ilvl w:val="1"/>
          <w:numId w:val="2"/>
        </w:numPr>
        <w:spacing w:after="50" w:before="0" w:line="280"/>
      </w:pPr>
      <w:r>
        <w:rPr>
          <w:rFonts w:ascii="Arial" w:cs="Arial" w:eastAsia="Arial" w:hAnsi="Arial"/>
          <w:sz w:val="22"/>
          <w:szCs w:val="22"/>
        </w:rPr>
        <w:t xml:space="preserve">Accident report / police report — fault narrative.</w:t>
      </w:r>
    </w:p>
    <w:p>
      <w:pPr>
        <w:pStyle w:val="ListParagraph"/>
        <w:numPr>
          <w:ilvl w:val="1"/>
          <w:numId w:val="2"/>
        </w:numPr>
        <w:spacing w:after="50" w:before="0" w:line="280"/>
      </w:pPr>
      <w:r>
        <w:rPr>
          <w:rFonts w:ascii="Arial" w:cs="Arial" w:eastAsia="Arial" w:hAnsi="Arial"/>
          <w:sz w:val="22"/>
          <w:szCs w:val="22"/>
        </w:rPr>
        <w:t xml:space="preserve">Adjuster correspondence — settlement posture.</w:t>
      </w:r>
    </w:p>
    <w:p>
      <w:pPr>
        <w:pStyle w:val="ListParagraph"/>
        <w:numPr>
          <w:ilvl w:val="0"/>
          <w:numId w:val="2"/>
        </w:numPr>
        <w:spacing w:after="50" w:before="0" w:line="280"/>
      </w:pPr>
      <w:r>
        <w:rPr>
          <w:rFonts w:ascii="Arial" w:cs="Arial" w:eastAsia="Arial" w:hAnsi="Arial"/>
          <w:sz w:val="22"/>
          <w:szCs w:val="22"/>
        </w:rPr>
        <w:t xml:space="preserve">Recovery correspondence (9 templates in the prototype):</w:t>
      </w:r>
    </w:p>
    <w:p>
      <w:pPr>
        <w:pStyle w:val="ListParagraph"/>
        <w:numPr>
          <w:ilvl w:val="1"/>
          <w:numId w:val="2"/>
        </w:numPr>
        <w:spacing w:after="50" w:before="0" w:line="280"/>
      </w:pPr>
      <w:r>
        <w:rPr>
          <w:rFonts w:ascii="Arial" w:cs="Arial" w:eastAsia="Arial" w:hAnsi="Arial"/>
          <w:sz w:val="22"/>
          <w:szCs w:val="22"/>
        </w:rPr>
        <w:t xml:space="preserve">Tier 1: Demand for Reimbursement, COB Questionnaire, Medical Records Request, Lien Notice, Member Recovery Notice.</w:t>
      </w:r>
    </w:p>
    <w:p>
      <w:pPr>
        <w:pStyle w:val="ListParagraph"/>
        <w:numPr>
          <w:ilvl w:val="1"/>
          <w:numId w:val="2"/>
        </w:numPr>
        <w:spacing w:after="50" w:before="0" w:line="280"/>
      </w:pPr>
      <w:r>
        <w:rPr>
          <w:rFonts w:ascii="Arial" w:cs="Arial" w:eastAsia="Arial" w:hAnsi="Arial"/>
          <w:sz w:val="22"/>
          <w:szCs w:val="22"/>
        </w:rPr>
        <w:t xml:space="preserve">Tier 2: Follow-up Demand, Subrogation Hold, Lien Reduction Offer, Settlement Acknowledgment.</w:t>
      </w:r>
    </w:p>
    <w:p>
      <w:pPr>
        <w:pStyle w:val="ListParagraph"/>
        <w:numPr>
          <w:ilvl w:val="0"/>
          <w:numId w:val="2"/>
        </w:numPr>
        <w:spacing w:after="50" w:before="0" w:line="280"/>
      </w:pPr>
      <w:r>
        <w:rPr>
          <w:rFonts w:ascii="Arial" w:cs="Arial" w:eastAsia="Arial" w:hAnsi="Arial"/>
          <w:sz w:val="22"/>
          <w:szCs w:val="22"/>
        </w:rPr>
        <w:t xml:space="preserve">EDI standards (Phase 2 integration scope):</w:t>
      </w:r>
    </w:p>
    <w:p>
      <w:pPr>
        <w:pStyle w:val="ListParagraph"/>
        <w:numPr>
          <w:ilvl w:val="1"/>
          <w:numId w:val="2"/>
        </w:numPr>
        <w:spacing w:after="50" w:before="0" w:line="280"/>
      </w:pPr>
      <w:r>
        <w:rPr>
          <w:rFonts w:ascii="Arial" w:cs="Arial" w:eastAsia="Arial" w:hAnsi="Arial"/>
          <w:sz w:val="22"/>
          <w:szCs w:val="22"/>
        </w:rPr>
        <w:t xml:space="preserve">ANSI X12 837 — claim transaction.</w:t>
      </w:r>
    </w:p>
    <w:p>
      <w:pPr>
        <w:pStyle w:val="ListParagraph"/>
        <w:numPr>
          <w:ilvl w:val="1"/>
          <w:numId w:val="2"/>
        </w:numPr>
        <w:spacing w:after="50" w:before="0" w:line="280"/>
      </w:pPr>
      <w:r>
        <w:rPr>
          <w:rFonts w:ascii="Arial" w:cs="Arial" w:eastAsia="Arial" w:hAnsi="Arial"/>
          <w:sz w:val="22"/>
          <w:szCs w:val="22"/>
        </w:rPr>
        <w:t xml:space="preserve">ANSI X12 835 — electronic remittance advice.</w:t>
      </w:r>
    </w:p>
    <w:p>
      <w:pPr>
        <w:pStyle w:val="ListParagraph"/>
        <w:numPr>
          <w:ilvl w:val="1"/>
          <w:numId w:val="2"/>
        </w:numPr>
        <w:spacing w:after="50" w:before="0" w:line="280"/>
      </w:pPr>
      <w:r>
        <w:rPr>
          <w:rFonts w:ascii="Arial" w:cs="Arial" w:eastAsia="Arial" w:hAnsi="Arial"/>
          <w:sz w:val="22"/>
          <w:szCs w:val="22"/>
        </w:rPr>
        <w:t xml:space="preserve">ANSI X12 270/271 — eligibility inquiry and response.</w:t>
      </w:r>
    </w:p>
    <w:p>
      <w:pPr>
        <w:pStyle w:val="ListParagraph"/>
        <w:numPr>
          <w:ilvl w:val="1"/>
          <w:numId w:val="2"/>
        </w:numPr>
        <w:spacing w:after="50" w:before="0" w:line="280"/>
      </w:pPr>
      <w:r>
        <w:rPr>
          <w:rFonts w:ascii="Arial" w:cs="Arial" w:eastAsia="Arial" w:hAnsi="Arial"/>
          <w:sz w:val="22"/>
          <w:szCs w:val="22"/>
        </w:rPr>
        <w:t xml:space="preserve">CAQH CORE — interoperability standards layered on top.</w:t>
      </w:r>
    </w:p>
    <w:p>
      <w:pPr>
        <w:spacing w:after="60" w:before="80"/>
      </w:pPr>
      <w:r>
        <w:rPr>
          <w:rFonts w:ascii="Arial" w:cs="Arial" w:eastAsia="Arial" w:hAnsi="Arial"/>
          <w:b/>
          <w:bCs/>
          <w:color w:val="b45309"/>
          <w:sz w:val="22"/>
          <w:szCs w:val="22"/>
        </w:rPr>
        <w:t xml:space="preserve">Why it matters: </w:t>
      </w:r>
      <w:r>
        <w:rPr>
          <w:rFonts w:ascii="Arial" w:cs="Arial" w:eastAsia="Arial" w:hAnsi="Arial"/>
          <w:i/>
          <w:iCs/>
          <w:color w:val="475569"/>
          <w:sz w:val="22"/>
          <w:szCs w:val="22"/>
        </w:rPr>
        <w:t xml:space="preserve">Analyst speed comes from knowing what document answers what question. This module is mostly recognition-pattern practice.</w:t>
      </w:r>
    </w:p>
    <w:p>
      <w:pPr>
        <w:spacing w:after="100" w:before="40"/>
      </w:pPr>
      <w:r>
        <w:rPr>
          <w:rFonts w:ascii="Arial" w:cs="Arial" w:eastAsia="Arial" w:hAnsi="Arial"/>
          <w:b/>
          <w:bCs/>
          <w:color w:val="475569"/>
          <w:sz w:val="22"/>
          <w:szCs w:val="22"/>
        </w:rPr>
        <w:t xml:space="preserve">Key references: </w:t>
      </w:r>
      <w:r>
        <w:rPr>
          <w:rFonts w:ascii="Arial" w:cs="Arial" w:eastAsia="Arial" w:hAnsi="Arial"/>
          <w:color w:val="475569"/>
          <w:sz w:val="20"/>
          <w:szCs w:val="20"/>
        </w:rPr>
        <w:t xml:space="preserve">Spec § 9 (data model); Spec § 10 (integrations); COB Flow Correspondence module</w:t>
      </w:r>
    </w:p>
    <w:p>
      <w:pPr>
        <w:pStyle w:val="Heading2"/>
        <w:spacing w:after="100" w:before="240"/>
      </w:pPr>
      <w:r>
        <w:rPr>
          <w:rFonts w:ascii="Arial" w:cs="Arial" w:eastAsia="Arial" w:hAnsi="Arial"/>
          <w:b/>
          <w:bCs/>
          <w:color w:val="1d4ed8"/>
          <w:sz w:val="26"/>
          <w:szCs w:val="26"/>
        </w:rPr>
        <w:t xml:space="preserve">Module 11 · Compliance, authority, and audit</w:t>
      </w:r>
    </w:p>
    <w:p>
      <w:pPr>
        <w:spacing w:after="80" w:before="0" w:line="280"/>
      </w:pPr>
      <w:r>
        <w:rPr>
          <w:rFonts w:ascii="Arial" w:cs="Arial" w:eastAsia="Arial" w:hAnsi="Arial"/>
          <w:b/>
          <w:bCs/>
          <w:color w:val="475569"/>
          <w:sz w:val="22"/>
          <w:szCs w:val="22"/>
        </w:rPr>
        <w:t xml:space="preserve">Objective: </w:t>
      </w:r>
      <w:r>
        <w:rPr>
          <w:rFonts w:ascii="Arial" w:cs="Arial" w:eastAsia="Arial" w:hAnsi="Arial"/>
          <w:sz w:val="22"/>
          <w:szCs w:val="22"/>
        </w:rPr>
        <w:t xml:space="preserve">Operate within HIPAA, BAA, and per-analyst authority constraints while maintaining a defensible audit trail.</w:t>
      </w:r>
      <w:r>
        <w:rPr>
          <w:rFonts w:ascii="Arial" w:cs="Arial" w:eastAsia="Arial" w:hAnsi="Arial"/>
          <w:color w:val="94a3b8"/>
          <w:sz w:val="22"/>
          <w:szCs w:val="22"/>
        </w:rPr>
        <w:t xml:space="preserve">   ·   </w:t>
      </w:r>
      <w:r>
        <w:rPr>
          <w:rFonts w:ascii="Arial" w:cs="Arial" w:eastAsia="Arial" w:hAnsi="Arial"/>
          <w:b/>
          <w:bCs/>
          <w:color w:val="475569"/>
          <w:sz w:val="22"/>
          <w:szCs w:val="22"/>
        </w:rPr>
        <w:t xml:space="preserve">Estimated study time: </w:t>
      </w:r>
      <w:r>
        <w:rPr>
          <w:rFonts w:ascii="Arial" w:cs="Arial" w:eastAsia="Arial" w:hAnsi="Arial"/>
          <w:sz w:val="22"/>
          <w:szCs w:val="22"/>
        </w:rPr>
        <w:t xml:space="preserve">2–3 hours</w:t>
      </w:r>
    </w:p>
    <w:p>
      <w:pPr>
        <w:spacing w:after="60" w:before="0"/>
      </w:pPr>
      <w:r>
        <w:rPr>
          <w:rFonts w:ascii="Arial" w:cs="Arial" w:eastAsia="Arial" w:hAnsi="Arial"/>
          <w:b/>
          <w:bCs/>
          <w:color w:val="475569"/>
          <w:sz w:val="22"/>
          <w:szCs w:val="22"/>
        </w:rPr>
        <w:t xml:space="preserve">Topics</w:t>
      </w:r>
    </w:p>
    <w:p>
      <w:pPr>
        <w:pStyle w:val="ListParagraph"/>
        <w:numPr>
          <w:ilvl w:val="0"/>
          <w:numId w:val="2"/>
        </w:numPr>
        <w:spacing w:after="50" w:before="0" w:line="280"/>
      </w:pPr>
      <w:r>
        <w:rPr>
          <w:rFonts w:ascii="Arial" w:cs="Arial" w:eastAsia="Arial" w:hAnsi="Arial"/>
          <w:sz w:val="22"/>
          <w:szCs w:val="22"/>
        </w:rPr>
        <w:t xml:space="preserve">HIPAA basics for COB: PHI handling, minimum necessary, audit logging of access.</w:t>
      </w:r>
    </w:p>
    <w:p>
      <w:pPr>
        <w:pStyle w:val="ListParagraph"/>
        <w:numPr>
          <w:ilvl w:val="0"/>
          <w:numId w:val="2"/>
        </w:numPr>
        <w:spacing w:after="50" w:before="0" w:line="280"/>
      </w:pPr>
      <w:r>
        <w:rPr>
          <w:rFonts w:ascii="Arial" w:cs="Arial" w:eastAsia="Arial" w:hAnsi="Arial"/>
          <w:sz w:val="22"/>
          <w:szCs w:val="22"/>
        </w:rPr>
        <w:t xml:space="preserve">BAA (Business Associate Agreement) — when needed, what it covers, how to read one.</w:t>
      </w:r>
    </w:p>
    <w:p>
      <w:pPr>
        <w:pStyle w:val="ListParagraph"/>
        <w:numPr>
          <w:ilvl w:val="0"/>
          <w:numId w:val="2"/>
        </w:numPr>
        <w:spacing w:after="50" w:before="0" w:line="280"/>
      </w:pPr>
      <w:r>
        <w:rPr>
          <w:rFonts w:ascii="Arial" w:cs="Arial" w:eastAsia="Arial" w:hAnsi="Arial"/>
          <w:sz w:val="22"/>
          <w:szCs w:val="22"/>
        </w:rPr>
        <w:t xml:space="preserve">Per-analyst authority limits (illustrative):</w:t>
      </w:r>
    </w:p>
    <w:p>
      <w:pPr>
        <w:pStyle w:val="ListParagraph"/>
        <w:numPr>
          <w:ilvl w:val="1"/>
          <w:numId w:val="2"/>
        </w:numPr>
        <w:spacing w:after="50" w:before="0" w:line="280"/>
      </w:pPr>
      <w:r>
        <w:rPr>
          <w:rFonts w:ascii="Arial" w:cs="Arial" w:eastAsia="Arial" w:hAnsi="Arial"/>
          <w:sz w:val="22"/>
          <w:szCs w:val="22"/>
        </w:rPr>
        <w:t xml:space="preserve">Settlement acceptance authority — max settlement dollar the analyst can close.</w:t>
      </w:r>
    </w:p>
    <w:p>
      <w:pPr>
        <w:pStyle w:val="ListParagraph"/>
        <w:numPr>
          <w:ilvl w:val="1"/>
          <w:numId w:val="2"/>
        </w:numPr>
        <w:spacing w:after="50" w:before="0" w:line="280"/>
      </w:pPr>
      <w:r>
        <w:rPr>
          <w:rFonts w:ascii="Arial" w:cs="Arial" w:eastAsia="Arial" w:hAnsi="Arial"/>
          <w:sz w:val="22"/>
          <w:szCs w:val="22"/>
        </w:rPr>
        <w:t xml:space="preserve">Demand authority — max demand the analyst can send unaccompanied.</w:t>
      </w:r>
    </w:p>
    <w:p>
      <w:pPr>
        <w:pStyle w:val="ListParagraph"/>
        <w:numPr>
          <w:ilvl w:val="1"/>
          <w:numId w:val="2"/>
        </w:numPr>
        <w:spacing w:after="50" w:before="0" w:line="280"/>
      </w:pPr>
      <w:r>
        <w:rPr>
          <w:rFonts w:ascii="Arial" w:cs="Arial" w:eastAsia="Arial" w:hAnsi="Arial"/>
          <w:sz w:val="22"/>
          <w:szCs w:val="22"/>
        </w:rPr>
        <w:t xml:space="preserve">Lien reduction authority — max % gross reduction the analyst can offer.</w:t>
      </w:r>
    </w:p>
    <w:p>
      <w:pPr>
        <w:pStyle w:val="ListParagraph"/>
        <w:numPr>
          <w:ilvl w:val="1"/>
          <w:numId w:val="2"/>
        </w:numPr>
        <w:spacing w:after="50" w:before="0" w:line="280"/>
      </w:pPr>
      <w:r>
        <w:rPr>
          <w:rFonts w:ascii="Arial" w:cs="Arial" w:eastAsia="Arial" w:hAnsi="Arial"/>
          <w:sz w:val="22"/>
          <w:szCs w:val="22"/>
        </w:rPr>
        <w:t xml:space="preserve">Recovery closure authority — max dollar the analyst can close a recovery at.</w:t>
      </w:r>
    </w:p>
    <w:p>
      <w:pPr>
        <w:pStyle w:val="ListParagraph"/>
        <w:numPr>
          <w:ilvl w:val="1"/>
          <w:numId w:val="2"/>
        </w:numPr>
        <w:spacing w:after="50" w:before="0" w:line="280"/>
      </w:pPr>
      <w:r>
        <w:rPr>
          <w:rFonts w:ascii="Arial" w:cs="Arial" w:eastAsia="Arial" w:hAnsi="Arial"/>
          <w:sz w:val="22"/>
          <w:szCs w:val="22"/>
        </w:rPr>
        <w:t xml:space="preserve">Letter-content override authority — supervisor-only after lock.</w:t>
      </w:r>
    </w:p>
    <w:p>
      <w:pPr>
        <w:pStyle w:val="ListParagraph"/>
        <w:numPr>
          <w:ilvl w:val="0"/>
          <w:numId w:val="2"/>
        </w:numPr>
        <w:spacing w:after="50" w:before="0" w:line="280"/>
      </w:pPr>
      <w:r>
        <w:rPr>
          <w:rFonts w:ascii="Arial" w:cs="Arial" w:eastAsia="Arial" w:hAnsi="Arial"/>
          <w:sz w:val="22"/>
          <w:szCs w:val="22"/>
        </w:rPr>
        <w:t xml:space="preserve">Escalation workflow: when to involve supervisor, manager, customer counsel.</w:t>
      </w:r>
    </w:p>
    <w:p>
      <w:pPr>
        <w:pStyle w:val="ListParagraph"/>
        <w:numPr>
          <w:ilvl w:val="0"/>
          <w:numId w:val="2"/>
        </w:numPr>
        <w:spacing w:after="50" w:before="0" w:line="280"/>
      </w:pPr>
      <w:r>
        <w:rPr>
          <w:rFonts w:ascii="Arial" w:cs="Arial" w:eastAsia="Arial" w:hAnsi="Arial"/>
          <w:sz w:val="22"/>
          <w:szCs w:val="22"/>
        </w:rPr>
        <w:t xml:space="preserve">Audit-log discipline: every state change carries an actor, timestamp, target, and justification. Justification is what protects the analyst when a determination is later challenged.</w:t>
      </w:r>
    </w:p>
    <w:p>
      <w:pPr>
        <w:spacing w:after="60" w:before="80"/>
      </w:pPr>
      <w:r>
        <w:rPr>
          <w:rFonts w:ascii="Arial" w:cs="Arial" w:eastAsia="Arial" w:hAnsi="Arial"/>
          <w:b/>
          <w:bCs/>
          <w:color w:val="b45309"/>
          <w:sz w:val="22"/>
          <w:szCs w:val="22"/>
        </w:rPr>
        <w:t xml:space="preserve">Why it matters: </w:t>
      </w:r>
      <w:r>
        <w:rPr>
          <w:rFonts w:ascii="Arial" w:cs="Arial" w:eastAsia="Arial" w:hAnsi="Arial"/>
          <w:i/>
          <w:iCs/>
          <w:color w:val="475569"/>
          <w:sz w:val="22"/>
          <w:szCs w:val="22"/>
        </w:rPr>
        <w:t xml:space="preserve">Recovery is regulated work. The defensive posture is what keeps the analyst (and the plan) out of trouble.</w:t>
      </w:r>
    </w:p>
    <w:p>
      <w:pPr>
        <w:spacing w:after="100" w:before="40"/>
      </w:pPr>
      <w:r>
        <w:rPr>
          <w:rFonts w:ascii="Arial" w:cs="Arial" w:eastAsia="Arial" w:hAnsi="Arial"/>
          <w:b/>
          <w:bCs/>
          <w:color w:val="475569"/>
          <w:sz w:val="22"/>
          <w:szCs w:val="22"/>
        </w:rPr>
        <w:t xml:space="preserve">Key references: </w:t>
      </w:r>
      <w:r>
        <w:rPr>
          <w:rFonts w:ascii="Arial" w:cs="Arial" w:eastAsia="Arial" w:hAnsi="Arial"/>
          <w:color w:val="475569"/>
          <w:sz w:val="20"/>
          <w:szCs w:val="20"/>
        </w:rPr>
        <w:t xml:space="preserve">Spec § 11 (compliance, authority model); Spec § 11.2.6 (architectural guardrails)</w:t>
      </w:r>
    </w:p>
    <w:p>
      <w:pPr>
        <w:pStyle w:val="Heading2"/>
        <w:spacing w:after="100" w:before="240"/>
      </w:pPr>
      <w:r>
        <w:rPr>
          <w:rFonts w:ascii="Arial" w:cs="Arial" w:eastAsia="Arial" w:hAnsi="Arial"/>
          <w:b/>
          <w:bCs/>
          <w:color w:val="1d4ed8"/>
          <w:sz w:val="26"/>
          <w:szCs w:val="26"/>
        </w:rPr>
        <w:t xml:space="preserve">Module 12 · Continuing development — where the field is going</w:t>
      </w:r>
    </w:p>
    <w:p>
      <w:pPr>
        <w:spacing w:after="80" w:before="0" w:line="280"/>
      </w:pPr>
      <w:r>
        <w:rPr>
          <w:rFonts w:ascii="Arial" w:cs="Arial" w:eastAsia="Arial" w:hAnsi="Arial"/>
          <w:b/>
          <w:bCs/>
          <w:color w:val="475569"/>
          <w:sz w:val="22"/>
          <w:szCs w:val="22"/>
        </w:rPr>
        <w:t xml:space="preserve">Objective: </w:t>
      </w:r>
      <w:r>
        <w:rPr>
          <w:rFonts w:ascii="Arial" w:cs="Arial" w:eastAsia="Arial" w:hAnsi="Arial"/>
          <w:sz w:val="22"/>
          <w:szCs w:val="22"/>
        </w:rPr>
        <w:t xml:space="preserve">Identify continuing-education sources, industry trends, and adjacent skills worth building.</w:t>
      </w:r>
      <w:r>
        <w:rPr>
          <w:rFonts w:ascii="Arial" w:cs="Arial" w:eastAsia="Arial" w:hAnsi="Arial"/>
          <w:color w:val="94a3b8"/>
          <w:sz w:val="22"/>
          <w:szCs w:val="22"/>
        </w:rPr>
        <w:t xml:space="preserve">   ·   </w:t>
      </w:r>
      <w:r>
        <w:rPr>
          <w:rFonts w:ascii="Arial" w:cs="Arial" w:eastAsia="Arial" w:hAnsi="Arial"/>
          <w:b/>
          <w:bCs/>
          <w:color w:val="475569"/>
          <w:sz w:val="22"/>
          <w:szCs w:val="22"/>
        </w:rPr>
        <w:t xml:space="preserve">Estimated study time: </w:t>
      </w:r>
      <w:r>
        <w:rPr>
          <w:rFonts w:ascii="Arial" w:cs="Arial" w:eastAsia="Arial" w:hAnsi="Arial"/>
          <w:sz w:val="22"/>
          <w:szCs w:val="22"/>
        </w:rPr>
        <w:t xml:space="preserve">ongoing</w:t>
      </w:r>
    </w:p>
    <w:p>
      <w:pPr>
        <w:spacing w:after="60" w:before="0"/>
      </w:pPr>
      <w:r>
        <w:rPr>
          <w:rFonts w:ascii="Arial" w:cs="Arial" w:eastAsia="Arial" w:hAnsi="Arial"/>
          <w:b/>
          <w:bCs/>
          <w:color w:val="475569"/>
          <w:sz w:val="22"/>
          <w:szCs w:val="22"/>
        </w:rPr>
        <w:t xml:space="preserve">Topics</w:t>
      </w:r>
    </w:p>
    <w:p>
      <w:pPr>
        <w:pStyle w:val="ListParagraph"/>
        <w:numPr>
          <w:ilvl w:val="0"/>
          <w:numId w:val="2"/>
        </w:numPr>
        <w:spacing w:after="50" w:before="0" w:line="280"/>
      </w:pPr>
      <w:r>
        <w:rPr>
          <w:rFonts w:ascii="Arial" w:cs="Arial" w:eastAsia="Arial" w:hAnsi="Arial"/>
          <w:sz w:val="22"/>
          <w:szCs w:val="22"/>
        </w:rPr>
        <w:t xml:space="preserve">Honest assessment of training landscape:</w:t>
      </w:r>
    </w:p>
    <w:p>
      <w:pPr>
        <w:pStyle w:val="ListParagraph"/>
        <w:numPr>
          <w:ilvl w:val="1"/>
          <w:numId w:val="2"/>
        </w:numPr>
        <w:spacing w:after="50" w:before="0" w:line="280"/>
      </w:pPr>
      <w:r>
        <w:rPr>
          <w:rFonts w:ascii="Arial" w:cs="Arial" w:eastAsia="Arial" w:hAnsi="Arial"/>
          <w:sz w:val="22"/>
          <w:szCs w:val="22"/>
        </w:rPr>
        <w:t xml:space="preserve">Dedicated Auto COB analyst training does not exist as a packaged curriculum (per 2026-05 Udemy/industry survey).</w:t>
      </w:r>
    </w:p>
    <w:p>
      <w:pPr>
        <w:pStyle w:val="ListParagraph"/>
        <w:numPr>
          <w:ilvl w:val="1"/>
          <w:numId w:val="2"/>
        </w:numPr>
        <w:spacing w:after="50" w:before="0" w:line="280"/>
      </w:pPr>
      <w:r>
        <w:rPr>
          <w:rFonts w:ascii="Arial" w:cs="Arial" w:eastAsia="Arial" w:hAnsi="Arial"/>
          <w:sz w:val="22"/>
          <w:szCs w:val="22"/>
        </w:rPr>
        <w:t xml:space="preserve">Most COB expertise is learned on the job inside health plans, TPAs, and recovery vendors.</w:t>
      </w:r>
    </w:p>
    <w:p>
      <w:pPr>
        <w:pStyle w:val="ListParagraph"/>
        <w:numPr>
          <w:ilvl w:val="1"/>
          <w:numId w:val="2"/>
        </w:numPr>
        <w:spacing w:after="50" w:before="0" w:line="280"/>
      </w:pPr>
      <w:r>
        <w:rPr>
          <w:rFonts w:ascii="Arial" w:cs="Arial" w:eastAsia="Arial" w:hAnsi="Arial"/>
          <w:sz w:val="22"/>
          <w:szCs w:val="22"/>
        </w:rPr>
        <w:t xml:space="preserve">Adjacent training that helps: Certified Professional Biller (CPB), Healthcare Revenue Cycle Management (RCM) courses, ANSI X12 EDI courses for the integration layer.</w:t>
      </w:r>
    </w:p>
    <w:p>
      <w:pPr>
        <w:pStyle w:val="ListParagraph"/>
        <w:numPr>
          <w:ilvl w:val="0"/>
          <w:numId w:val="2"/>
        </w:numPr>
        <w:spacing w:after="50" w:before="0" w:line="280"/>
      </w:pPr>
      <w:r>
        <w:rPr>
          <w:rFonts w:ascii="Arial" w:cs="Arial" w:eastAsia="Arial" w:hAnsi="Arial"/>
          <w:sz w:val="22"/>
          <w:szCs w:val="22"/>
        </w:rPr>
        <w:t xml:space="preserve">Sources to follow:</w:t>
      </w:r>
    </w:p>
    <w:p>
      <w:pPr>
        <w:pStyle w:val="ListParagraph"/>
        <w:numPr>
          <w:ilvl w:val="1"/>
          <w:numId w:val="2"/>
        </w:numPr>
        <w:spacing w:after="50" w:before="0" w:line="280"/>
      </w:pPr>
      <w:r>
        <w:rPr>
          <w:rFonts w:ascii="Arial" w:cs="Arial" w:eastAsia="Arial" w:hAnsi="Arial"/>
          <w:sz w:val="22"/>
          <w:szCs w:val="22"/>
        </w:rPr>
        <w:t xml:space="preserve">CMS — annual COB workbook updates and MSP guidance.</w:t>
      </w:r>
    </w:p>
    <w:p>
      <w:pPr>
        <w:pStyle w:val="ListParagraph"/>
        <w:numPr>
          <w:ilvl w:val="1"/>
          <w:numId w:val="2"/>
        </w:numPr>
        <w:spacing w:after="50" w:before="0" w:line="280"/>
      </w:pPr>
      <w:r>
        <w:rPr>
          <w:rFonts w:ascii="Arial" w:cs="Arial" w:eastAsia="Arial" w:hAnsi="Arial"/>
          <w:sz w:val="22"/>
          <w:szCs w:val="22"/>
        </w:rPr>
        <w:t xml:space="preserve">NAIC — model COB regulation revisions.</w:t>
      </w:r>
    </w:p>
    <w:p>
      <w:pPr>
        <w:pStyle w:val="ListParagraph"/>
        <w:numPr>
          <w:ilvl w:val="1"/>
          <w:numId w:val="2"/>
        </w:numPr>
        <w:spacing w:after="50" w:before="0" w:line="280"/>
      </w:pPr>
      <w:r>
        <w:rPr>
          <w:rFonts w:ascii="Arial" w:cs="Arial" w:eastAsia="Arial" w:hAnsi="Arial"/>
          <w:sz w:val="22"/>
          <w:szCs w:val="22"/>
        </w:rPr>
        <w:t xml:space="preserve">State insurance commissioners — administrative rule updates (in WI, OCI bulletins).</w:t>
      </w:r>
    </w:p>
    <w:p>
      <w:pPr>
        <w:pStyle w:val="ListParagraph"/>
        <w:numPr>
          <w:ilvl w:val="1"/>
          <w:numId w:val="2"/>
        </w:numPr>
        <w:spacing w:after="50" w:before="0" w:line="280"/>
      </w:pPr>
      <w:r>
        <w:rPr>
          <w:rFonts w:ascii="Arial" w:cs="Arial" w:eastAsia="Arial" w:hAnsi="Arial"/>
          <w:sz w:val="22"/>
          <w:szCs w:val="22"/>
        </w:rPr>
        <w:t xml:space="preserve">CAQH — COB Smart and CORE roadmap.</w:t>
      </w:r>
    </w:p>
    <w:p>
      <w:pPr>
        <w:pStyle w:val="ListParagraph"/>
        <w:numPr>
          <w:ilvl w:val="1"/>
          <w:numId w:val="2"/>
        </w:numPr>
        <w:spacing w:after="50" w:before="0" w:line="280"/>
      </w:pPr>
      <w:r>
        <w:rPr>
          <w:rFonts w:ascii="Arial" w:cs="Arial" w:eastAsia="Arial" w:hAnsi="Arial"/>
          <w:sz w:val="22"/>
          <w:szCs w:val="22"/>
        </w:rPr>
        <w:t xml:space="preserve">Recent case law — Westlaw / Lexis search on plan-vs-auto, made-whole, ERISA preemption topics.</w:t>
      </w:r>
    </w:p>
    <w:p>
      <w:pPr>
        <w:pStyle w:val="ListParagraph"/>
        <w:numPr>
          <w:ilvl w:val="0"/>
          <w:numId w:val="2"/>
        </w:numPr>
        <w:spacing w:after="50" w:before="0" w:line="280"/>
      </w:pPr>
      <w:r>
        <w:rPr>
          <w:rFonts w:ascii="Arial" w:cs="Arial" w:eastAsia="Arial" w:hAnsi="Arial"/>
          <w:sz w:val="22"/>
          <w:szCs w:val="22"/>
        </w:rPr>
        <w:t xml:space="preserve">Adjacent skills worth building:</w:t>
      </w:r>
    </w:p>
    <w:p>
      <w:pPr>
        <w:pStyle w:val="ListParagraph"/>
        <w:numPr>
          <w:ilvl w:val="1"/>
          <w:numId w:val="2"/>
        </w:numPr>
        <w:spacing w:after="50" w:before="0" w:line="280"/>
      </w:pPr>
      <w:r>
        <w:rPr>
          <w:rFonts w:ascii="Arial" w:cs="Arial" w:eastAsia="Arial" w:hAnsi="Arial"/>
          <w:sz w:val="22"/>
          <w:szCs w:val="22"/>
        </w:rPr>
        <w:t xml:space="preserve">Reading plan documents fluently — top skill differential.</w:t>
      </w:r>
    </w:p>
    <w:p>
      <w:pPr>
        <w:pStyle w:val="ListParagraph"/>
        <w:numPr>
          <w:ilvl w:val="1"/>
          <w:numId w:val="2"/>
        </w:numPr>
        <w:spacing w:after="50" w:before="0" w:line="280"/>
      </w:pPr>
      <w:r>
        <w:rPr>
          <w:rFonts w:ascii="Arial" w:cs="Arial" w:eastAsia="Arial" w:hAnsi="Arial"/>
          <w:sz w:val="22"/>
          <w:szCs w:val="22"/>
        </w:rPr>
        <w:t xml:space="preserve">Settlement allocation analysis — what attorneys do, useful to understand from the other side.</w:t>
      </w:r>
    </w:p>
    <w:p>
      <w:pPr>
        <w:pStyle w:val="ListParagraph"/>
        <w:numPr>
          <w:ilvl w:val="1"/>
          <w:numId w:val="2"/>
        </w:numPr>
        <w:spacing w:after="50" w:before="0" w:line="280"/>
      </w:pPr>
      <w:r>
        <w:rPr>
          <w:rFonts w:ascii="Arial" w:cs="Arial" w:eastAsia="Arial" w:hAnsi="Arial"/>
          <w:sz w:val="22"/>
          <w:szCs w:val="22"/>
        </w:rPr>
        <w:t xml:space="preserve">Excel modeling for ROI estimates and lien reduction scenarios.</w:t>
      </w:r>
    </w:p>
    <w:p>
      <w:pPr>
        <w:pStyle w:val="ListParagraph"/>
        <w:numPr>
          <w:ilvl w:val="1"/>
          <w:numId w:val="2"/>
        </w:numPr>
        <w:spacing w:after="50" w:before="0" w:line="280"/>
      </w:pPr>
      <w:r>
        <w:rPr>
          <w:rFonts w:ascii="Arial" w:cs="Arial" w:eastAsia="Arial" w:hAnsi="Arial"/>
          <w:sz w:val="22"/>
          <w:szCs w:val="22"/>
        </w:rPr>
        <w:t xml:space="preserve">Basic EDI literacy — enough to recognize 837/835/270/271 segment structures.</w:t>
      </w:r>
    </w:p>
    <w:p>
      <w:pPr>
        <w:pStyle w:val="ListParagraph"/>
        <w:numPr>
          <w:ilvl w:val="0"/>
          <w:numId w:val="2"/>
        </w:numPr>
        <w:spacing w:after="50" w:before="0" w:line="280"/>
      </w:pPr>
      <w:r>
        <w:rPr>
          <w:rFonts w:ascii="Arial" w:cs="Arial" w:eastAsia="Arial" w:hAnsi="Arial"/>
          <w:sz w:val="22"/>
          <w:szCs w:val="22"/>
        </w:rPr>
        <w:t xml:space="preserve">Industry events: HFMA (hospital finance angle), AHLA (healthcare law), state plan associations.</w:t>
      </w:r>
    </w:p>
    <w:p>
      <w:pPr>
        <w:spacing w:after="60" w:before="80"/>
      </w:pPr>
      <w:r>
        <w:rPr>
          <w:rFonts w:ascii="Arial" w:cs="Arial" w:eastAsia="Arial" w:hAnsi="Arial"/>
          <w:b/>
          <w:bCs/>
          <w:color w:val="b45309"/>
          <w:sz w:val="22"/>
          <w:szCs w:val="22"/>
        </w:rPr>
        <w:t xml:space="preserve">Why it matters: </w:t>
      </w:r>
      <w:r>
        <w:rPr>
          <w:rFonts w:ascii="Arial" w:cs="Arial" w:eastAsia="Arial" w:hAnsi="Arial"/>
          <w:i/>
          <w:iCs/>
          <w:color w:val="475569"/>
          <w:sz w:val="22"/>
          <w:szCs w:val="22"/>
        </w:rPr>
        <w:t xml:space="preserve">Auto COB is a niche inside a niche. The analyst who keeps up reads case law and SPD updates routinely; the analyst who doesn't fall behind quickly.</w:t>
      </w:r>
    </w:p>
    <w:p>
      <w:pPr>
        <w:spacing w:after="100" w:before="40"/>
      </w:pPr>
      <w:r>
        <w:rPr>
          <w:rFonts w:ascii="Arial" w:cs="Arial" w:eastAsia="Arial" w:hAnsi="Arial"/>
          <w:b/>
          <w:bCs/>
          <w:color w:val="475569"/>
          <w:sz w:val="22"/>
          <w:szCs w:val="22"/>
        </w:rPr>
        <w:t xml:space="preserve">Key references: </w:t>
      </w:r>
      <w:r>
        <w:rPr>
          <w:rFonts w:ascii="Arial" w:cs="Arial" w:eastAsia="Arial" w:hAnsi="Arial"/>
          <w:color w:val="475569"/>
          <w:sz w:val="20"/>
          <w:szCs w:val="20"/>
        </w:rPr>
        <w:t xml:space="preserve">CMS COB resources; NAIC model regulations; Spec § 15 (research references)</w:t>
      </w:r>
    </w:p>
    <w:p>
      <w:r>
        <w:br w:type="page"/>
      </w:r>
    </w:p>
    <w:p>
      <w:pPr>
        <w:pStyle w:val="Heading1"/>
        <w:spacing w:after="140" w:before="280"/>
      </w:pPr>
      <w:r>
        <w:rPr>
          <w:rFonts w:ascii="Arial" w:cs="Arial" w:eastAsia="Arial" w:hAnsi="Arial"/>
          <w:b/>
          <w:bCs/>
          <w:color w:val="1d4ed8"/>
          <w:sz w:val="32"/>
          <w:szCs w:val="32"/>
        </w:rPr>
        <w:t xml:space="preserve">Sequencing and study tips</w:t>
      </w:r>
    </w:p>
    <w:p>
      <w:pPr>
        <w:spacing w:after="100" w:before="0" w:line="280"/>
      </w:pPr>
      <w:r>
        <w:rPr>
          <w:rFonts w:ascii="Arial" w:cs="Arial" w:eastAsia="Arial" w:hAnsi="Arial"/>
          <w:sz w:val="22"/>
          <w:szCs w:val="22"/>
        </w:rPr>
        <w:t xml:space="preserve">If you have to compress this to less than 40 hours, the high-leverage cuts are: Module 10 (documents) and Module 12 (continuing development) can be scanned rather than studied. Modules 4 (intersection), 6 (ERISA), and 8 (PI attorneys) are the analytical heart and should be studied carefully even under time pressure.</w:t>
      </w:r>
    </w:p>
    <w:p>
      <w:pPr>
        <w:spacing w:after="100" w:before="0" w:line="280"/>
      </w:pPr>
      <w:r>
        <w:rPr>
          <w:rFonts w:ascii="Arial" w:cs="Arial" w:eastAsia="Arial" w:hAnsi="Arial"/>
          <w:sz w:val="22"/>
          <w:szCs w:val="22"/>
        </w:rPr>
        <w:t xml:space="preserve">If you have more than 55 hours, the natural extensions are: deep state-law modules (one per state of interest beyond Wisconsin); deep case-law reading (Sereboff line, the Ahlborn line for Medicaid, the Knudson/Sereboff/Montanile arc for ERISA recovery remedies); EDI and integration training (X12 standards in depth).</w:t>
      </w:r>
    </w:p>
    <w:p>
      <w:pPr>
        <w:spacing w:after="100" w:before="0" w:line="280"/>
      </w:pPr>
      <w:r>
        <w:rPr>
          <w:rFonts w:ascii="Arial" w:cs="Arial" w:eastAsia="Arial" w:hAnsi="Arial"/>
          <w:sz w:val="22"/>
          <w:szCs w:val="22"/>
        </w:rPr>
        <w:t xml:space="preserve">Practice cases beat theory. After modules 1–4, find or invent a fact pattern (a Wisconsin auto accident with a 35-year-old member, fully-insured Anthem plan, 80/20 fault, $80k medical) and walk it through to settlement. Re-walk it after modules 5–8. Re-walk it after module 9. Each pass exposes what wasn't fully internalized.</w:t>
      </w:r>
    </w:p>
    <w:p>
      <w:pPr>
        <w:spacing w:after="100" w:before="0" w:line="280"/>
      </w:pPr>
      <w:r>
        <w:rPr>
          <w:rFonts w:ascii="Arial" w:cs="Arial" w:eastAsia="Arial" w:hAnsi="Arial"/>
          <w:b/>
          <w:bCs/>
          <w:color w:val="475569"/>
          <w:sz w:val="22"/>
          <w:szCs w:val="22"/>
        </w:rPr>
        <w:t xml:space="preserve">Where this lives in the COB Flow project: </w:t>
      </w:r>
      <w:r>
        <w:rPr>
          <w:rFonts w:ascii="Arial" w:cs="Arial" w:eastAsia="Arial" w:hAnsi="Arial"/>
          <w:color w:val="475569"/>
          <w:sz w:val="22"/>
          <w:szCs w:val="22"/>
        </w:rPr>
        <w:t xml:space="preserve">the prototype's ten sample claims (c001–c010) are designed as practice fact patterns. c004 (Hailey Brennan) is the richest WI overlay exercise. Use them after each module pair to test recognition.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d4ed8"/>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2026-05-18T12:05:02.203Z</dcterms:created>
  <dcterms:modified xsi:type="dcterms:W3CDTF">2026-05-18T12:05:02.215Z</dcterms:modified>
</cp:coreProperties>
</file>

<file path=docProps/custom.xml><?xml version="1.0" encoding="utf-8"?>
<Properties xmlns="http://schemas.openxmlformats.org/officeDocument/2006/custom-properties" xmlns:vt="http://schemas.openxmlformats.org/officeDocument/2006/docPropsVTypes"/>
</file>