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d4ed8"/>
          <w:sz w:val="36"/>
          <w:szCs w:val="36"/>
        </w:rPr>
        <w:t xml:space="preserve">COB Flow</w:t>
      </w:r>
    </w:p>
    <w:p>
      <w:pPr>
        <w:spacing w:after="60"/>
      </w:pPr>
      <w:r>
        <w:rPr>
          <w:rFonts w:ascii="Arial" w:cs="Arial" w:eastAsia="Arial" w:hAnsi="Arial"/>
          <w:b/>
          <w:bCs/>
          <w:color w:val="475569"/>
          <w:sz w:val="28"/>
          <w:szCs w:val="28"/>
        </w:rPr>
        <w:t xml:space="preserve">Dashboard &amp; Workspace Specification</w:t>
      </w:r>
    </w:p>
    <w:p>
      <w:pPr>
        <w:spacing w:after="240"/>
      </w:pPr>
      <w:r>
        <w:rPr>
          <w:rFonts w:ascii="Arial" w:cs="Arial" w:eastAsia="Arial" w:hAnsi="Arial"/>
          <w:i/>
          <w:iCs/>
          <w:color w:val="94a3b8"/>
          <w:sz w:val="22"/>
          <w:szCs w:val="22"/>
        </w:rPr>
        <w:t xml:space="preserve">v0.1 · Wisconsin pilot · Four-role workspace model</w:t>
      </w:r>
    </w:p>
    <w:p>
      <w:pPr>
        <w:pStyle w:val="Heading1"/>
        <w:spacing w:after="140" w:before="280"/>
      </w:pPr>
      <w:r>
        <w:rPr>
          <w:rFonts w:ascii="Arial" w:cs="Arial" w:eastAsia="Arial" w:hAnsi="Arial"/>
          <w:b/>
          <w:bCs/>
          <w:color w:val="1d4ed8"/>
          <w:sz w:val="32"/>
          <w:szCs w:val="32"/>
        </w:rPr>
        <w:t xml:space="preserve">1. Purpose &amp; scope</w:t>
      </w:r>
    </w:p>
    <w:p>
      <w:pPr>
        <w:spacing w:after="100" w:before="0" w:line="280"/>
      </w:pPr>
      <w:r>
        <w:rPr>
          <w:rFonts w:ascii="Arial" w:cs="Arial" w:eastAsia="Arial" w:hAnsi="Arial"/>
          <w:sz w:val="22"/>
          <w:szCs w:val="22"/>
        </w:rPr>
        <w:t xml:space="preserve">This document specifies the dashboard surfaces, role model, and authority architecture demonstrated in the COB Flow prototype. It is a technical companion to the Product Spec (v0.5+) and serves as the source-of-truth reference for the implementation plan and checklist that will follow when engineering work begins.</w:t>
      </w:r>
    </w:p>
    <w:p>
      <w:pPr>
        <w:spacing w:after="100" w:before="0" w:line="280"/>
      </w:pPr>
      <w:r>
        <w:rPr>
          <w:rFonts w:ascii="Arial" w:cs="Arial" w:eastAsia="Arial" w:hAnsi="Arial"/>
          <w:sz w:val="22"/>
          <w:szCs w:val="22"/>
        </w:rPr>
        <w:t xml:space="preserve">The dashboard work was built across multiple sessions of prototype iteration and represents the operational layer that sits between the COB primacy engine (Spec §6) and the analyst's day-to-day claim work. Where the spec describes what the engine does and how the analyst signs off, this document describes who has authority over what, how those authorities are configured, who approves changes, and where each role does their work.</w:t>
      </w:r>
    </w:p>
    <w:p>
      <w:pPr>
        <w:spacing w:after="100" w:before="0" w:line="280"/>
      </w:pPr>
      <w:r>
        <w:rPr>
          <w:rFonts w:ascii="Arial" w:cs="Arial" w:eastAsia="Arial" w:hAnsi="Arial"/>
          <w:sz w:val="22"/>
          <w:szCs w:val="22"/>
        </w:rPr>
        <w:t xml:space="preserve">This is v0.1 because the prototype implementation is a working demonstration rather than a production-ready system. Several implementation concerns — multi-tenant data isolation, real audit-log retention, real authority enforcement at the action layer, real coaching-note privacy — are out of scope for the prototype and called out in §10 as implementation issues to resolve before pilot.</w:t>
      </w:r>
    </w:p>
    <w:p>
      <w:pPr>
        <w:pStyle w:val="Heading1"/>
        <w:spacing w:after="140" w:before="280"/>
      </w:pPr>
      <w:r>
        <w:rPr>
          <w:rFonts w:ascii="Arial" w:cs="Arial" w:eastAsia="Arial" w:hAnsi="Arial"/>
          <w:b/>
          <w:bCs/>
          <w:color w:val="1d4ed8"/>
          <w:sz w:val="32"/>
          <w:szCs w:val="32"/>
        </w:rPr>
        <w:t xml:space="preserve">2. Four-role model</w:t>
      </w:r>
    </w:p>
    <w:p>
      <w:pPr>
        <w:spacing w:after="100" w:before="0" w:line="280"/>
      </w:pPr>
      <w:r>
        <w:rPr>
          <w:rFonts w:ascii="Arial" w:cs="Arial" w:eastAsia="Arial" w:hAnsi="Arial"/>
          <w:sz w:val="22"/>
          <w:szCs w:val="22"/>
        </w:rPr>
        <w:t xml:space="preserve">COB Flow distinguishes four operational roles, each with a distinct workspace and authority scope:</w:t>
      </w:r>
    </w:p>
    <w:p>
      <w:pPr>
        <w:pStyle w:val="ListParagraph"/>
        <w:numPr>
          <w:ilvl w:val="0"/>
          <w:numId w:val="2"/>
        </w:numPr>
        <w:spacing w:after="60" w:before="0" w:line="280"/>
      </w:pPr>
      <w:r>
        <w:rPr>
          <w:rFonts w:ascii="Arial" w:cs="Arial" w:eastAsia="Arial" w:hAnsi="Arial"/>
          <w:b/>
          <w:bCs/>
          <w:sz w:val="22"/>
          <w:szCs w:val="22"/>
        </w:rPr>
        <w:t xml:space="preserve">Analyst — </w:t>
      </w:r>
      <w:r>
        <w:rPr>
          <w:rFonts w:ascii="Arial" w:cs="Arial" w:eastAsia="Arial" w:hAnsi="Arial"/>
          <w:sz w:val="22"/>
          <w:szCs w:val="22"/>
        </w:rPr>
        <w:t xml:space="preserve">works claim files day-to-day. Bounded by per-analyst authority limits derived from their job level plus any per-analyst or per-file overrides. Cannot edit sent correspondence. Cannot approve their own work above their authority limits.</w:t>
      </w:r>
    </w:p>
    <w:p>
      <w:pPr>
        <w:pStyle w:val="ListParagraph"/>
        <w:numPr>
          <w:ilvl w:val="0"/>
          <w:numId w:val="2"/>
        </w:numPr>
        <w:spacing w:after="60" w:before="0" w:line="280"/>
      </w:pPr>
      <w:r>
        <w:rPr>
          <w:rFonts w:ascii="Arial" w:cs="Arial" w:eastAsia="Arial" w:hAnsi="Arial"/>
          <w:b/>
          <w:bCs/>
          <w:sz w:val="22"/>
          <w:szCs w:val="22"/>
        </w:rPr>
        <w:t xml:space="preserve">Supervisor — </w:t>
      </w:r>
      <w:r>
        <w:rPr>
          <w:rFonts w:ascii="Arial" w:cs="Arial" w:eastAsia="Arial" w:hAnsi="Arial"/>
          <w:sz w:val="22"/>
          <w:szCs w:val="22"/>
        </w:rPr>
        <w:t xml:space="preserve">manages a team of analysts. Approves analyst escalations up to a supervisor ceiling. Proposes job-level changes and per-analyst authority overrides (Manager approves). Performs QC sampling on closed recoveries. Can grant file-level authority for specific claims within the supervisor ceiling.</w:t>
      </w:r>
    </w:p>
    <w:p>
      <w:pPr>
        <w:pStyle w:val="ListParagraph"/>
        <w:numPr>
          <w:ilvl w:val="0"/>
          <w:numId w:val="2"/>
        </w:numPr>
        <w:spacing w:after="60" w:before="0" w:line="280"/>
      </w:pPr>
      <w:r>
        <w:rPr>
          <w:rFonts w:ascii="Arial" w:cs="Arial" w:eastAsia="Arial" w:hAnsi="Arial"/>
          <w:b/>
          <w:bCs/>
          <w:sz w:val="22"/>
          <w:szCs w:val="22"/>
        </w:rPr>
        <w:t xml:space="preserve">Manager — </w:t>
      </w:r>
      <w:r>
        <w:rPr>
          <w:rFonts w:ascii="Arial" w:cs="Arial" w:eastAsia="Arial" w:hAnsi="Arial"/>
          <w:sz w:val="22"/>
          <w:szCs w:val="22"/>
        </w:rPr>
        <w:t xml:space="preserve">manages supervisors and is accountable for customer-wide outcomes. Approves supervisor proposals (level changes, authority overrides, file grants above the supervisor ceiling, new user activations). Sets and modifies job-level defaults. Owns the customer KPI conversation.</w:t>
      </w:r>
    </w:p>
    <w:p>
      <w:pPr>
        <w:pStyle w:val="ListParagraph"/>
        <w:numPr>
          <w:ilvl w:val="0"/>
          <w:numId w:val="2"/>
        </w:numPr>
        <w:spacing w:after="60" w:before="0" w:line="280"/>
      </w:pPr>
      <w:r>
        <w:rPr>
          <w:rFonts w:ascii="Arial" w:cs="Arial" w:eastAsia="Arial" w:hAnsi="Arial"/>
          <w:b/>
          <w:bCs/>
          <w:sz w:val="22"/>
          <w:szCs w:val="22"/>
        </w:rPr>
        <w:t xml:space="preserve">Admin — </w:t>
      </w:r>
      <w:r>
        <w:rPr>
          <w:rFonts w:ascii="Arial" w:cs="Arial" w:eastAsia="Arial" w:hAnsi="Arial"/>
          <w:sz w:val="22"/>
          <w:szCs w:val="22"/>
        </w:rPr>
        <w:t xml:space="preserve">manages the application itself: system settings, integrations, security policy, customer configuration, audit, billing. Not in the org chart of recovery operations. May or may not overlap with Manager in small customers; in larger customers Admin is a distinct role (often IT-aligned or compliance-aligned).</w:t>
      </w:r>
    </w:p>
    <w:p>
      <w:pPr>
        <w:spacing w:after="100" w:before="0" w:line="280"/>
      </w:pPr>
      <w:r>
        <w:rPr>
          <w:rFonts w:ascii="Arial" w:cs="Arial" w:eastAsia="Arial" w:hAnsi="Arial"/>
          <w:sz w:val="22"/>
          <w:szCs w:val="22"/>
        </w:rPr>
        <w:t xml:space="preserve">A user can hold more than one role in production (a Manager who also has Admin rights is common at small customers). In the prototype, role is a single toggle for demonstration purposes; production uses SSO-driven role claims.</w:t>
      </w:r>
    </w:p>
    <w:p>
      <w:pPr>
        <w:pStyle w:val="Heading2"/>
        <w:spacing w:after="100" w:before="240"/>
      </w:pPr>
      <w:r>
        <w:rPr>
          <w:rFonts w:ascii="Arial" w:cs="Arial" w:eastAsia="Arial" w:hAnsi="Arial"/>
          <w:b/>
          <w:bCs/>
          <w:color w:val="1d4ed8"/>
          <w:sz w:val="26"/>
          <w:szCs w:val="26"/>
        </w:rPr>
        <w:t xml:space="preserve">2.1 Distinction between Role and Job Level</w:t>
      </w:r>
    </w:p>
    <w:p>
      <w:pPr>
        <w:spacing w:after="100" w:before="0" w:line="280"/>
      </w:pPr>
      <w:r>
        <w:rPr>
          <w:rFonts w:ascii="Arial" w:cs="Arial" w:eastAsia="Arial" w:hAnsi="Arial"/>
          <w:sz w:val="22"/>
          <w:szCs w:val="22"/>
        </w:rPr>
        <w:t xml:space="preserve">These two concepts must not be confused:</w:t>
      </w:r>
    </w:p>
    <w:p>
      <w:pPr>
        <w:pStyle w:val="ListParagraph"/>
        <w:numPr>
          <w:ilvl w:val="0"/>
          <w:numId w:val="2"/>
        </w:numPr>
        <w:spacing w:after="60" w:before="0" w:line="280"/>
      </w:pPr>
      <w:r>
        <w:rPr>
          <w:rFonts w:ascii="Arial" w:cs="Arial" w:eastAsia="Arial" w:hAnsi="Arial"/>
          <w:b/>
          <w:bCs/>
          <w:sz w:val="22"/>
          <w:szCs w:val="22"/>
        </w:rPr>
        <w:t xml:space="preserve">Role </w:t>
      </w:r>
      <w:r>
        <w:rPr>
          <w:rFonts w:ascii="Arial" w:cs="Arial" w:eastAsia="Arial" w:hAnsi="Arial"/>
          <w:sz w:val="22"/>
          <w:szCs w:val="22"/>
        </w:rPr>
        <w:t xml:space="preserve">(Analyst, Supervisor, Manager, Admin) is the user's responsibility tier — who they manage and what kinds of decisions they make.</w:t>
      </w:r>
    </w:p>
    <w:p>
      <w:pPr>
        <w:pStyle w:val="ListParagraph"/>
        <w:numPr>
          <w:ilvl w:val="0"/>
          <w:numId w:val="2"/>
        </w:numPr>
        <w:spacing w:after="60" w:before="0" w:line="280"/>
      </w:pPr>
      <w:r>
        <w:rPr>
          <w:rFonts w:ascii="Arial" w:cs="Arial" w:eastAsia="Arial" w:hAnsi="Arial"/>
          <w:b/>
          <w:bCs/>
          <w:sz w:val="22"/>
          <w:szCs w:val="22"/>
        </w:rPr>
        <w:t xml:space="preserve">Job Level </w:t>
      </w:r>
      <w:r>
        <w:rPr>
          <w:rFonts w:ascii="Arial" w:cs="Arial" w:eastAsia="Arial" w:hAnsi="Arial"/>
          <w:sz w:val="22"/>
          <w:szCs w:val="22"/>
        </w:rPr>
        <w:t xml:space="preserve">(Trainee, Junior, Mid, Senior) is the analyst's experience band — applied only to the Analyst role. Drives the default authority bands for that analyst's actions on claim files.</w:t>
      </w:r>
    </w:p>
    <w:p>
      <w:pPr>
        <w:spacing w:after="100" w:before="0" w:line="280"/>
      </w:pPr>
      <w:r>
        <w:rPr>
          <w:rFonts w:ascii="Arial" w:cs="Arial" w:eastAsia="Arial" w:hAnsi="Arial"/>
          <w:sz w:val="22"/>
          <w:szCs w:val="22"/>
        </w:rPr>
        <w:t xml:space="preserve">A user with role=Analyst and level=Senior has different default authority than a user with role=Analyst and level=Trainee. A user with role=Supervisor does not have a job level; their authority is the supervisor ceiling (a separate customer-level configuration).</w:t>
      </w:r>
    </w:p>
    <w:p>
      <w:r>
        <w:br w:type="page"/>
      </w:r>
    </w:p>
    <w:p>
      <w:pPr>
        <w:pStyle w:val="Heading1"/>
        <w:spacing w:after="140" w:before="280"/>
      </w:pPr>
      <w:r>
        <w:rPr>
          <w:rFonts w:ascii="Arial" w:cs="Arial" w:eastAsia="Arial" w:hAnsi="Arial"/>
          <w:b/>
          <w:bCs/>
          <w:color w:val="1d4ed8"/>
          <w:sz w:val="32"/>
          <w:szCs w:val="32"/>
        </w:rPr>
        <w:t xml:space="preserve">3. Workspace architecture</w:t>
      </w:r>
    </w:p>
    <w:p>
      <w:pPr>
        <w:spacing w:after="100" w:before="0" w:line="280"/>
      </w:pPr>
      <w:r>
        <w:rPr>
          <w:rFonts w:ascii="Arial" w:cs="Arial" w:eastAsia="Arial" w:hAnsi="Arial"/>
          <w:sz w:val="22"/>
          <w:szCs w:val="22"/>
        </w:rPr>
        <w:t xml:space="preserve">Each role sees a different sidebar. Workflow surfaces (Dashboard, Claims &amp; Triage, COB Analyzer, Recovery Tracker) are visible to all roles. Management and Admin are role-gated.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820"/>
        <w:gridCol w:w="1820"/>
        <w:gridCol w:w="1820"/>
        <w:gridCol w:w="1820"/>
      </w:tblGrid>
      <w:tr>
        <w:trPr>
          <w:tblHeader/>
        </w:trPr>
        <w:tc>
          <w:tcPr>
            <w:tcW w:type="dxa" w:w="20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Sidebar item</w:t>
            </w:r>
          </w:p>
        </w:tc>
        <w:tc>
          <w:tcPr>
            <w:tcW w:type="dxa" w:w="18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Analyst</w:t>
            </w:r>
          </w:p>
        </w:tc>
        <w:tc>
          <w:tcPr>
            <w:tcW w:type="dxa" w:w="18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Supervisor</w:t>
            </w:r>
          </w:p>
        </w:tc>
        <w:tc>
          <w:tcPr>
            <w:tcW w:type="dxa" w:w="18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Manager</w:t>
            </w:r>
          </w:p>
        </w:tc>
        <w:tc>
          <w:tcPr>
            <w:tcW w:type="dxa" w:w="18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Admin</w:t>
            </w:r>
          </w:p>
        </w:tc>
      </w:tr>
      <w:tr>
        <w:tc>
          <w:tcPr>
            <w:tcW w:type="dxa" w:w="20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Dashboard</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r>
      <w:tr>
        <w:tc>
          <w:tcPr>
            <w:tcW w:type="dxa" w:w="20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Claims &amp; Triage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r>
      <w:tr>
        <w:tc>
          <w:tcPr>
            <w:tcW w:type="dxa" w:w="20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COB Analyzer</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r>
      <w:tr>
        <w:tc>
          <w:tcPr>
            <w:tcW w:type="dxa" w:w="20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Recovery Tracker</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r>
      <w:tr>
        <w:tc>
          <w:tcPr>
            <w:tcW w:type="dxa" w:w="20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Management</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 Overview + Team</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 Overview + Team</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r>
      <w:tr>
        <w:tc>
          <w:tcPr>
            <w:tcW w:type="dxa" w:w="20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Admin</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t>
            </w:r>
          </w:p>
        </w:tc>
        <w:tc>
          <w:tcPr>
            <w:tcW w:type="dxa" w:w="18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 6 tabs</w:t>
            </w:r>
          </w:p>
        </w:tc>
      </w:tr>
    </w:tbl>
    <w:p>
      <w:pPr>
        <w:spacing w:after="100" w:before="0" w:line="280"/>
      </w:pPr>
      <w:r>
        <w:rPr>
          <w:rFonts w:ascii="Arial" w:cs="Arial" w:eastAsia="Arial" w:hAnsi="Arial"/>
          <w:sz w:val="22"/>
          <w:szCs w:val="22"/>
        </w:rPr>
        <w:t xml:space="preserve">Two principles drive the visibility model:</w:t>
      </w:r>
    </w:p>
    <w:p>
      <w:pPr>
        <w:pStyle w:val="ListParagraph"/>
        <w:numPr>
          <w:ilvl w:val="0"/>
          <w:numId w:val="2"/>
        </w:numPr>
        <w:spacing w:after="60" w:before="0" w:line="280"/>
      </w:pPr>
      <w:r>
        <w:rPr>
          <w:rFonts w:ascii="Arial" w:cs="Arial" w:eastAsia="Arial" w:hAnsi="Arial"/>
          <w:sz w:val="22"/>
          <w:szCs w:val="22"/>
        </w:rPr>
        <w:t xml:space="preserve">Each role sees only what's relevant to their work. Admin doesn't see Management because Admin is not in the org chart and has no analysts to coach. Analysts don't see Management because they aren't managers.</w:t>
      </w:r>
    </w:p>
    <w:p>
      <w:pPr>
        <w:pStyle w:val="ListParagraph"/>
        <w:numPr>
          <w:ilvl w:val="0"/>
          <w:numId w:val="2"/>
        </w:numPr>
        <w:spacing w:after="60" w:before="0" w:line="280"/>
      </w:pPr>
      <w:r>
        <w:rPr>
          <w:rFonts w:ascii="Arial" w:cs="Arial" w:eastAsia="Arial" w:hAnsi="Arial"/>
          <w:sz w:val="22"/>
          <w:szCs w:val="22"/>
        </w:rPr>
        <w:t xml:space="preserve">Read-only access is allowed within a role's natural scope. Admin can see claim files (for support work) but takes no workflow actions. Manager sees their supervisors' team activity. Supervisor sees their team's metrics.</w:t>
      </w:r>
    </w:p>
    <w:p>
      <w:pPr>
        <w:pStyle w:val="Heading2"/>
        <w:spacing w:after="100" w:before="240"/>
      </w:pPr>
      <w:r>
        <w:rPr>
          <w:rFonts w:ascii="Arial" w:cs="Arial" w:eastAsia="Arial" w:hAnsi="Arial"/>
          <w:b/>
          <w:bCs/>
          <w:color w:val="1d4ed8"/>
          <w:sz w:val="26"/>
          <w:szCs w:val="26"/>
        </w:rPr>
        <w:t xml:space="preserve">3.1 Management workspace</w:t>
      </w:r>
    </w:p>
    <w:p>
      <w:pPr>
        <w:spacing w:after="100" w:before="0" w:line="280"/>
      </w:pPr>
      <w:r>
        <w:rPr>
          <w:rFonts w:ascii="Arial" w:cs="Arial" w:eastAsia="Arial" w:hAnsi="Arial"/>
          <w:sz w:val="22"/>
          <w:szCs w:val="22"/>
        </w:rPr>
        <w:t xml:space="preserve">For Supervisor and Manager. The Management parent expands to two children:</w:t>
      </w:r>
    </w:p>
    <w:p>
      <w:pPr>
        <w:pStyle w:val="ListParagraph"/>
        <w:numPr>
          <w:ilvl w:val="0"/>
          <w:numId w:val="2"/>
        </w:numPr>
        <w:spacing w:after="60" w:before="0" w:line="280"/>
      </w:pPr>
      <w:r>
        <w:rPr>
          <w:rFonts w:ascii="Arial" w:cs="Arial" w:eastAsia="Arial" w:hAnsi="Arial"/>
          <w:b/>
          <w:bCs/>
          <w:sz w:val="22"/>
          <w:szCs w:val="22"/>
        </w:rPr>
        <w:t xml:space="preserve">Management → Overview — </w:t>
      </w:r>
      <w:r>
        <w:rPr>
          <w:rFonts w:ascii="Arial" w:cs="Arial" w:eastAsia="Arial" w:hAnsi="Arial"/>
          <w:sz w:val="22"/>
          <w:szCs w:val="22"/>
        </w:rPr>
        <w:t xml:space="preserve">operational queues and configuration. Six tabs: Approvals, QC, KPIs, Job Levels, Users, Roadmap.</w:t>
      </w:r>
    </w:p>
    <w:p>
      <w:pPr>
        <w:pStyle w:val="ListParagraph"/>
        <w:numPr>
          <w:ilvl w:val="0"/>
          <w:numId w:val="2"/>
        </w:numPr>
        <w:spacing w:after="60" w:before="0" w:line="280"/>
      </w:pPr>
      <w:r>
        <w:rPr>
          <w:rFonts w:ascii="Arial" w:cs="Arial" w:eastAsia="Arial" w:hAnsi="Arial"/>
          <w:b/>
          <w:bCs/>
          <w:sz w:val="22"/>
          <w:szCs w:val="22"/>
        </w:rPr>
        <w:t xml:space="preserve">Management → Team — </w:t>
      </w:r>
      <w:r>
        <w:rPr>
          <w:rFonts w:ascii="Arial" w:cs="Arial" w:eastAsia="Arial" w:hAnsi="Arial"/>
          <w:sz w:val="22"/>
          <w:szCs w:val="22"/>
        </w:rPr>
        <w:t xml:space="preserve">the people-management surface. Role-conditional: Supervisor sees their analysts as cards; Manager sees their supervisors as cards. Clicking a card drills into a per-person detail page with workload, signals, authority, history, and coaching notes.</w:t>
      </w:r>
    </w:p>
    <w:p>
      <w:pPr>
        <w:pStyle w:val="Heading2"/>
        <w:spacing w:after="100" w:before="240"/>
      </w:pPr>
      <w:r>
        <w:rPr>
          <w:rFonts w:ascii="Arial" w:cs="Arial" w:eastAsia="Arial" w:hAnsi="Arial"/>
          <w:b/>
          <w:bCs/>
          <w:color w:val="1d4ed8"/>
          <w:sz w:val="26"/>
          <w:szCs w:val="26"/>
        </w:rPr>
        <w:t xml:space="preserve">3.2 Admin workspace</w:t>
      </w:r>
    </w:p>
    <w:p>
      <w:pPr>
        <w:spacing w:after="100" w:before="0" w:line="280"/>
      </w:pPr>
      <w:r>
        <w:rPr>
          <w:rFonts w:ascii="Arial" w:cs="Arial" w:eastAsia="Arial" w:hAnsi="Arial"/>
          <w:sz w:val="22"/>
          <w:szCs w:val="22"/>
        </w:rPr>
        <w:t xml:space="preserve">For Admin only. A flat sidebar item leading to a single tabbed page. Six tabs:</w:t>
      </w:r>
    </w:p>
    <w:p>
      <w:pPr>
        <w:pStyle w:val="ListParagraph"/>
        <w:numPr>
          <w:ilvl w:val="0"/>
          <w:numId w:val="2"/>
        </w:numPr>
        <w:spacing w:after="60" w:before="0" w:line="280"/>
      </w:pPr>
      <w:r>
        <w:rPr>
          <w:rFonts w:ascii="Arial" w:cs="Arial" w:eastAsia="Arial" w:hAnsi="Arial"/>
          <w:b/>
          <w:bCs/>
          <w:sz w:val="22"/>
          <w:szCs w:val="22"/>
        </w:rPr>
        <w:t xml:space="preserve">System — </w:t>
      </w:r>
      <w:r>
        <w:rPr>
          <w:rFonts w:ascii="Arial" w:cs="Arial" w:eastAsia="Arial" w:hAnsi="Arial"/>
          <w:sz w:val="22"/>
          <w:szCs w:val="22"/>
        </w:rPr>
        <w:t xml:space="preserve">tenant health snapshot. Integration health, active users, queue depths, recent activity.</w:t>
      </w:r>
    </w:p>
    <w:p>
      <w:pPr>
        <w:pStyle w:val="ListParagraph"/>
        <w:numPr>
          <w:ilvl w:val="0"/>
          <w:numId w:val="2"/>
        </w:numPr>
        <w:spacing w:after="60" w:before="0" w:line="280"/>
      </w:pPr>
      <w:r>
        <w:rPr>
          <w:rFonts w:ascii="Arial" w:cs="Arial" w:eastAsia="Arial" w:hAnsi="Arial"/>
          <w:b/>
          <w:bCs/>
          <w:sz w:val="22"/>
          <w:szCs w:val="22"/>
        </w:rPr>
        <w:t xml:space="preserve">Customer — </w:t>
      </w:r>
      <w:r>
        <w:rPr>
          <w:rFonts w:ascii="Arial" w:cs="Arial" w:eastAsia="Arial" w:hAnsi="Arial"/>
          <w:sz w:val="22"/>
          <w:szCs w:val="22"/>
        </w:rPr>
        <w:t xml:space="preserve">tenant configuration. Customer mode (carrier in-house / vendor / TPA / independent vendor service), branding, SLA, BAA on file, COB rule library, statutes referenced.</w:t>
      </w:r>
    </w:p>
    <w:p>
      <w:pPr>
        <w:pStyle w:val="ListParagraph"/>
        <w:numPr>
          <w:ilvl w:val="0"/>
          <w:numId w:val="2"/>
        </w:numPr>
        <w:spacing w:after="60" w:before="0" w:line="280"/>
      </w:pPr>
      <w:r>
        <w:rPr>
          <w:rFonts w:ascii="Arial" w:cs="Arial" w:eastAsia="Arial" w:hAnsi="Arial"/>
          <w:b/>
          <w:bCs/>
          <w:sz w:val="22"/>
          <w:szCs w:val="22"/>
        </w:rPr>
        <w:t xml:space="preserve">Integrations — </w:t>
      </w:r>
      <w:r>
        <w:rPr>
          <w:rFonts w:ascii="Arial" w:cs="Arial" w:eastAsia="Arial" w:hAnsi="Arial"/>
          <w:sz w:val="22"/>
          <w:szCs w:val="22"/>
        </w:rPr>
        <w:t xml:space="preserve">connected services: claim feeds (SFTP / API / X12), SSO, document repository, messaging providers (Twilio, SendGrid, eFax), CAQH COB Smart.</w:t>
      </w:r>
    </w:p>
    <w:p>
      <w:pPr>
        <w:pStyle w:val="ListParagraph"/>
        <w:numPr>
          <w:ilvl w:val="0"/>
          <w:numId w:val="2"/>
        </w:numPr>
        <w:spacing w:after="60" w:before="0" w:line="280"/>
      </w:pPr>
      <w:r>
        <w:rPr>
          <w:rFonts w:ascii="Arial" w:cs="Arial" w:eastAsia="Arial" w:hAnsi="Arial"/>
          <w:b/>
          <w:bCs/>
          <w:sz w:val="22"/>
          <w:szCs w:val="22"/>
        </w:rPr>
        <w:t xml:space="preserve">Security — </w:t>
      </w:r>
      <w:r>
        <w:rPr>
          <w:rFonts w:ascii="Arial" w:cs="Arial" w:eastAsia="Arial" w:hAnsi="Arial"/>
          <w:sz w:val="22"/>
          <w:szCs w:val="22"/>
        </w:rPr>
        <w:t xml:space="preserve">authentication policy (MFA, SSO, session timeout, IP allowlist), data protection (encryption, BAA subprocessors, residency, retention), PHI Audit summary, compliance attestations (SOC 2, HIPAA).</w:t>
      </w:r>
    </w:p>
    <w:p>
      <w:pPr>
        <w:pStyle w:val="ListParagraph"/>
        <w:numPr>
          <w:ilvl w:val="0"/>
          <w:numId w:val="2"/>
        </w:numPr>
        <w:spacing w:after="60" w:before="0" w:line="280"/>
      </w:pPr>
      <w:r>
        <w:rPr>
          <w:rFonts w:ascii="Arial" w:cs="Arial" w:eastAsia="Arial" w:hAnsi="Arial"/>
          <w:b/>
          <w:bCs/>
          <w:sz w:val="22"/>
          <w:szCs w:val="22"/>
        </w:rPr>
        <w:t xml:space="preserve">Audit — </w:t>
      </w:r>
      <w:r>
        <w:rPr>
          <w:rFonts w:ascii="Arial" w:cs="Arial" w:eastAsia="Arial" w:hAnsi="Arial"/>
          <w:sz w:val="22"/>
          <w:szCs w:val="22"/>
        </w:rPr>
        <w:t xml:space="preserve">system events log with action-coded entries.</w:t>
      </w:r>
    </w:p>
    <w:p>
      <w:pPr>
        <w:pStyle w:val="ListParagraph"/>
        <w:numPr>
          <w:ilvl w:val="0"/>
          <w:numId w:val="2"/>
        </w:numPr>
        <w:spacing w:after="60" w:before="0" w:line="280"/>
      </w:pPr>
      <w:r>
        <w:rPr>
          <w:rFonts w:ascii="Arial" w:cs="Arial" w:eastAsia="Arial" w:hAnsi="Arial"/>
          <w:b/>
          <w:bCs/>
          <w:sz w:val="22"/>
          <w:szCs w:val="22"/>
        </w:rPr>
        <w:t xml:space="preserve">Roadmap — </w:t>
      </w:r>
      <w:r>
        <w:rPr>
          <w:rFonts w:ascii="Arial" w:cs="Arial" w:eastAsia="Arial" w:hAnsi="Arial"/>
          <w:sz w:val="22"/>
          <w:szCs w:val="22"/>
        </w:rPr>
        <w:t xml:space="preserve">Phase 2 system stubs.</w:t>
      </w:r>
    </w:p>
    <w:p>
      <w:r>
        <w:br w:type="page"/>
      </w:r>
    </w:p>
    <w:p>
      <w:pPr>
        <w:pStyle w:val="Heading1"/>
        <w:spacing w:after="140" w:before="280"/>
      </w:pPr>
      <w:r>
        <w:rPr>
          <w:rFonts w:ascii="Arial" w:cs="Arial" w:eastAsia="Arial" w:hAnsi="Arial"/>
          <w:b/>
          <w:bCs/>
          <w:color w:val="1d4ed8"/>
          <w:sz w:val="32"/>
          <w:szCs w:val="32"/>
        </w:rPr>
        <w:t xml:space="preserve">4. Job Levels &amp; authority architecture</w:t>
      </w:r>
    </w:p>
    <w:p>
      <w:pPr>
        <w:spacing w:after="100" w:before="0" w:line="280"/>
      </w:pPr>
      <w:r>
        <w:rPr>
          <w:rFonts w:ascii="Arial" w:cs="Arial" w:eastAsia="Arial" w:hAnsi="Arial"/>
          <w:sz w:val="22"/>
          <w:szCs w:val="22"/>
        </w:rPr>
        <w:t xml:space="preserve">The authority architecture has three layers, each set by a different role:</w:t>
      </w:r>
    </w:p>
    <w:p>
      <w:pPr>
        <w:pStyle w:val="Heading2"/>
        <w:spacing w:after="100" w:before="240"/>
      </w:pPr>
      <w:r>
        <w:rPr>
          <w:rFonts w:ascii="Arial" w:cs="Arial" w:eastAsia="Arial" w:hAnsi="Arial"/>
          <w:b/>
          <w:bCs/>
          <w:color w:val="1d4ed8"/>
          <w:sz w:val="26"/>
          <w:szCs w:val="26"/>
        </w:rPr>
        <w:t xml:space="preserve">4.1 Job-level defaults (set by Manager)</w:t>
      </w:r>
    </w:p>
    <w:p>
      <w:pPr>
        <w:spacing w:after="100" w:before="0" w:line="280"/>
      </w:pPr>
      <w:r>
        <w:rPr>
          <w:rFonts w:ascii="Arial" w:cs="Arial" w:eastAsia="Arial" w:hAnsi="Arial"/>
          <w:sz w:val="22"/>
          <w:szCs w:val="22"/>
        </w:rPr>
        <w:t xml:space="preserve">Four job levels by default. Each carries default authority bands for the four actions an analyst can take: settlement acceptance, demand authority, lien reduction, recovery closure. Defaults are illustrative; customer sets actual values at onboarding.</w:t>
      </w:r>
    </w:p>
    <w:p>
      <w:pPr>
        <w:pStyle w:val="ListParagraph"/>
        <w:numPr>
          <w:ilvl w:val="0"/>
          <w:numId w:val="2"/>
        </w:numPr>
        <w:spacing w:after="60" w:before="0" w:line="280"/>
      </w:pPr>
      <w:r>
        <w:rPr>
          <w:rFonts w:ascii="Arial" w:cs="Arial" w:eastAsia="Arial" w:hAnsi="Arial"/>
          <w:b/>
          <w:bCs/>
          <w:sz w:val="22"/>
          <w:szCs w:val="22"/>
        </w:rPr>
        <w:t xml:space="preserve">Trainee — </w:t>
      </w:r>
      <w:r>
        <w:rPr>
          <w:rFonts w:ascii="Arial" w:cs="Arial" w:eastAsia="Arial" w:hAnsi="Arial"/>
          <w:sz w:val="22"/>
          <w:szCs w:val="22"/>
        </w:rPr>
        <w:t xml:space="preserve">$5k settlement, $10k demand, 10% lien reduction, $10k closure. For new hires in onboarding.</w:t>
      </w:r>
    </w:p>
    <w:p>
      <w:pPr>
        <w:pStyle w:val="ListParagraph"/>
        <w:numPr>
          <w:ilvl w:val="0"/>
          <w:numId w:val="2"/>
        </w:numPr>
        <w:spacing w:after="60" w:before="0" w:line="280"/>
      </w:pPr>
      <w:r>
        <w:rPr>
          <w:rFonts w:ascii="Arial" w:cs="Arial" w:eastAsia="Arial" w:hAnsi="Arial"/>
          <w:b/>
          <w:bCs/>
          <w:sz w:val="22"/>
          <w:szCs w:val="22"/>
        </w:rPr>
        <w:t xml:space="preserve">Junior — </w:t>
      </w:r>
      <w:r>
        <w:rPr>
          <w:rFonts w:ascii="Arial" w:cs="Arial" w:eastAsia="Arial" w:hAnsi="Arial"/>
          <w:sz w:val="22"/>
          <w:szCs w:val="22"/>
        </w:rPr>
        <w:t xml:space="preserve">$10k settlement, $20k demand, 20% lien reduction, $20k closure. 1–2 years experience.</w:t>
      </w:r>
    </w:p>
    <w:p>
      <w:pPr>
        <w:pStyle w:val="ListParagraph"/>
        <w:numPr>
          <w:ilvl w:val="0"/>
          <w:numId w:val="2"/>
        </w:numPr>
        <w:spacing w:after="60" w:before="0" w:line="280"/>
      </w:pPr>
      <w:r>
        <w:rPr>
          <w:rFonts w:ascii="Arial" w:cs="Arial" w:eastAsia="Arial" w:hAnsi="Arial"/>
          <w:b/>
          <w:bCs/>
          <w:sz w:val="22"/>
          <w:szCs w:val="22"/>
        </w:rPr>
        <w:t xml:space="preserve">Mid — </w:t>
      </w:r>
      <w:r>
        <w:rPr>
          <w:rFonts w:ascii="Arial" w:cs="Arial" w:eastAsia="Arial" w:hAnsi="Arial"/>
          <w:sz w:val="22"/>
          <w:szCs w:val="22"/>
        </w:rPr>
        <w:t xml:space="preserve">$25k settlement, $35k demand, 25% lien reduction, $35k closure. 3–5 years experience.</w:t>
      </w:r>
    </w:p>
    <w:p>
      <w:pPr>
        <w:pStyle w:val="ListParagraph"/>
        <w:numPr>
          <w:ilvl w:val="0"/>
          <w:numId w:val="2"/>
        </w:numPr>
        <w:spacing w:after="60" w:before="0" w:line="280"/>
      </w:pPr>
      <w:r>
        <w:rPr>
          <w:rFonts w:ascii="Arial" w:cs="Arial" w:eastAsia="Arial" w:hAnsi="Arial"/>
          <w:b/>
          <w:bCs/>
          <w:sz w:val="22"/>
          <w:szCs w:val="22"/>
        </w:rPr>
        <w:t xml:space="preserve">Senior — </w:t>
      </w:r>
      <w:r>
        <w:rPr>
          <w:rFonts w:ascii="Arial" w:cs="Arial" w:eastAsia="Arial" w:hAnsi="Arial"/>
          <w:sz w:val="22"/>
          <w:szCs w:val="22"/>
        </w:rPr>
        <w:t xml:space="preserve">$50k settlement, $75k demand, 35% lien reduction, $75k closure. 5+ years experience; mentors junior staff.</w:t>
      </w:r>
    </w:p>
    <w:p>
      <w:pPr>
        <w:spacing w:after="100" w:before="0" w:line="280"/>
      </w:pPr>
      <w:r>
        <w:rPr>
          <w:rFonts w:ascii="Arial" w:cs="Arial" w:eastAsia="Arial" w:hAnsi="Arial"/>
          <w:sz w:val="22"/>
          <w:szCs w:val="22"/>
        </w:rPr>
        <w:t xml:space="preserve">Manager owns the level definitions. Changes audit-log and apply to all analysts on that level the next business day.</w:t>
      </w:r>
    </w:p>
    <w:p>
      <w:pPr>
        <w:pStyle w:val="Heading2"/>
        <w:spacing w:after="100" w:before="240"/>
      </w:pPr>
      <w:r>
        <w:rPr>
          <w:rFonts w:ascii="Arial" w:cs="Arial" w:eastAsia="Arial" w:hAnsi="Arial"/>
          <w:b/>
          <w:bCs/>
          <w:color w:val="1d4ed8"/>
          <w:sz w:val="26"/>
          <w:szCs w:val="26"/>
        </w:rPr>
        <w:t xml:space="preserve">4.2 Per-analyst overrides (Supervisor proposes, Manager approves)</w:t>
      </w:r>
    </w:p>
    <w:p>
      <w:pPr>
        <w:spacing w:after="100" w:before="0" w:line="280"/>
      </w:pPr>
      <w:r>
        <w:rPr>
          <w:rFonts w:ascii="Arial" w:cs="Arial" w:eastAsia="Arial" w:hAnsi="Arial"/>
          <w:sz w:val="22"/>
          <w:szCs w:val="22"/>
        </w:rPr>
        <w:t xml:space="preserve">Two distinct override patterns exist:</w:t>
      </w:r>
    </w:p>
    <w:p>
      <w:pPr>
        <w:pStyle w:val="ListParagraph"/>
        <w:numPr>
          <w:ilvl w:val="0"/>
          <w:numId w:val="2"/>
        </w:numPr>
        <w:spacing w:after="60" w:before="0" w:line="280"/>
      </w:pPr>
      <w:r>
        <w:rPr>
          <w:rFonts w:ascii="Arial" w:cs="Arial" w:eastAsia="Arial" w:hAnsi="Arial"/>
          <w:b/>
          <w:bCs/>
          <w:sz w:val="22"/>
          <w:szCs w:val="22"/>
        </w:rPr>
        <w:t xml:space="preserve">Level change — </w:t>
      </w:r>
      <w:r>
        <w:rPr>
          <w:rFonts w:ascii="Arial" w:cs="Arial" w:eastAsia="Arial" w:hAnsi="Arial"/>
          <w:sz w:val="22"/>
          <w:szCs w:val="22"/>
        </w:rPr>
        <w:t xml:space="preserve">Supervisor moves an analyst between job levels (Junior → Mid, etc.). Permanent until next change. Initiated from Management → Team → Person; flows through Approvals queue with type LEVEL_CHANGE_REQUEST.</w:t>
      </w:r>
    </w:p>
    <w:p>
      <w:pPr>
        <w:pStyle w:val="ListParagraph"/>
        <w:numPr>
          <w:ilvl w:val="0"/>
          <w:numId w:val="2"/>
        </w:numPr>
        <w:spacing w:after="60" w:before="0" w:line="280"/>
      </w:pPr>
      <w:r>
        <w:rPr>
          <w:rFonts w:ascii="Arial" w:cs="Arial" w:eastAsia="Arial" w:hAnsi="Arial"/>
          <w:b/>
          <w:bCs/>
          <w:sz w:val="22"/>
          <w:szCs w:val="22"/>
        </w:rPr>
        <w:t xml:space="preserve">Authority override (without level change) — </w:t>
      </w:r>
      <w:r>
        <w:rPr>
          <w:rFonts w:ascii="Arial" w:cs="Arial" w:eastAsia="Arial" w:hAnsi="Arial"/>
          <w:sz w:val="22"/>
          <w:szCs w:val="22"/>
        </w:rPr>
        <w:t xml:space="preserve">Supervisor proposes specific dollar/percentage changes without moving the analyst's level. Time-bounded (30/60/90 days or until further notice). For situations like "this analyst is handling a complex book this quarter and needs higher settlement authority temporarily." Initiated from Management → Overview → Users; flows through Approvals queue with type AUTHORITY_OVERRIDE.</w:t>
      </w:r>
    </w:p>
    <w:p>
      <w:pPr>
        <w:spacing w:after="100" w:before="0" w:line="280"/>
      </w:pPr>
      <w:r>
        <w:rPr>
          <w:rFonts w:ascii="Arial" w:cs="Arial" w:eastAsia="Arial" w:hAnsi="Arial"/>
          <w:sz w:val="22"/>
          <w:szCs w:val="22"/>
        </w:rPr>
        <w:t xml:space="preserve">Both go through Manager approval before taking effect. Audit log captures the Supervisor's proposal with justification AND the Manager's approve/reject with rationale.</w:t>
      </w:r>
    </w:p>
    <w:p>
      <w:pPr>
        <w:pStyle w:val="Heading2"/>
        <w:spacing w:after="100" w:before="240"/>
      </w:pPr>
      <w:r>
        <w:rPr>
          <w:rFonts w:ascii="Arial" w:cs="Arial" w:eastAsia="Arial" w:hAnsi="Arial"/>
          <w:b/>
          <w:bCs/>
          <w:color w:val="1d4ed8"/>
          <w:sz w:val="26"/>
          <w:szCs w:val="26"/>
        </w:rPr>
        <w:t xml:space="preserve">4.3 File-level authority elevation (Supervisor up to ceiling; above → Manager)</w:t>
      </w:r>
    </w:p>
    <w:p>
      <w:pPr>
        <w:spacing w:after="100" w:before="0" w:line="280"/>
      </w:pPr>
      <w:r>
        <w:rPr>
          <w:rFonts w:ascii="Arial" w:cs="Arial" w:eastAsia="Arial" w:hAnsi="Arial"/>
          <w:sz w:val="22"/>
          <w:szCs w:val="22"/>
        </w:rPr>
        <w:t xml:space="preserve">The newest authority layer. Solves the case where an analyst owns a file, knows it best, has the relationship with the member or attorney, but the file's dollars cross their job-level authority ceiling. Three alternatives all have problems:</w:t>
      </w:r>
    </w:p>
    <w:p>
      <w:pPr>
        <w:pStyle w:val="ListParagraph"/>
        <w:numPr>
          <w:ilvl w:val="0"/>
          <w:numId w:val="2"/>
        </w:numPr>
        <w:spacing w:after="60" w:before="0" w:line="280"/>
      </w:pPr>
      <w:r>
        <w:rPr>
          <w:rFonts w:ascii="Arial" w:cs="Arial" w:eastAsia="Arial" w:hAnsi="Arial"/>
          <w:sz w:val="22"/>
          <w:szCs w:val="22"/>
        </w:rPr>
        <w:t xml:space="preserve">Promote the analyst's job level — overshoots; changes authority on every other file.</w:t>
      </w:r>
    </w:p>
    <w:p>
      <w:pPr>
        <w:pStyle w:val="ListParagraph"/>
        <w:numPr>
          <w:ilvl w:val="0"/>
          <w:numId w:val="2"/>
        </w:numPr>
        <w:spacing w:after="60" w:before="0" w:line="280"/>
      </w:pPr>
      <w:r>
        <w:rPr>
          <w:rFonts w:ascii="Arial" w:cs="Arial" w:eastAsia="Arial" w:hAnsi="Arial"/>
          <w:sz w:val="22"/>
          <w:szCs w:val="22"/>
        </w:rPr>
        <w:t xml:space="preserve">Reassign the claim to a higher-level analyst — loses continuity and institutional knowledge of the file.</w:t>
      </w:r>
    </w:p>
    <w:p>
      <w:pPr>
        <w:pStyle w:val="ListParagraph"/>
        <w:numPr>
          <w:ilvl w:val="0"/>
          <w:numId w:val="2"/>
        </w:numPr>
        <w:spacing w:after="60" w:before="0" w:line="280"/>
      </w:pPr>
      <w:r>
        <w:rPr>
          <w:rFonts w:ascii="Arial" w:cs="Arial" w:eastAsia="Arial" w:hAnsi="Arial"/>
          <w:sz w:val="22"/>
          <w:szCs w:val="22"/>
        </w:rPr>
        <w:t xml:space="preserve">Approve each individual action on the file — workflow friction; a settlement may need five or six approvals.</w:t>
      </w:r>
    </w:p>
    <w:p>
      <w:pPr>
        <w:spacing w:after="100" w:before="0" w:line="280"/>
      </w:pPr>
      <w:r>
        <w:rPr>
          <w:rFonts w:ascii="Arial" w:cs="Arial" w:eastAsia="Arial" w:hAnsi="Arial"/>
          <w:sz w:val="22"/>
          <w:szCs w:val="22"/>
        </w:rPr>
        <w:t xml:space="preserve">File-level authority elevation grants the analyst higher ceilings for that specific claim only. Auto-expires when the file closes. Audit-logged at every step. Initiated from the claim detail view by Supervisor or Manager. If the proposed ceilings stay within the supervisor's own ceiling, Supervisor grants unilaterally. If above, the request routes to Manager via the Approvals queue (FILE_AUTHORITY_GRANT type).</w:t>
      </w:r>
    </w:p>
    <w:p>
      <w:pPr>
        <w:spacing w:after="100" w:before="0" w:line="280"/>
      </w:pPr>
      <w:r>
        <w:rPr>
          <w:rFonts w:ascii="Arial" w:cs="Arial" w:eastAsia="Arial" w:hAnsi="Arial"/>
          <w:b/>
          <w:bCs/>
          <w:sz w:val="22"/>
          <w:szCs w:val="22"/>
        </w:rPr>
        <w:t xml:space="preserve">Supervisor ceiling — illustrative: </w:t>
      </w:r>
      <w:r>
        <w:rPr>
          <w:rFonts w:ascii="Arial" w:cs="Arial" w:eastAsia="Arial" w:hAnsi="Arial"/>
          <w:sz w:val="22"/>
          <w:szCs w:val="22"/>
        </w:rPr>
        <w:t xml:space="preserve">settlement $100k, demand $150k, lien reduction 50%, closure $150k. Production sets this at customer onboarding.</w:t>
      </w:r>
    </w:p>
    <w:p>
      <w:r>
        <w:br w:type="page"/>
      </w:r>
    </w:p>
    <w:p>
      <w:pPr>
        <w:pStyle w:val="Heading1"/>
        <w:spacing w:after="140" w:before="280"/>
      </w:pPr>
      <w:r>
        <w:rPr>
          <w:rFonts w:ascii="Arial" w:cs="Arial" w:eastAsia="Arial" w:hAnsi="Arial"/>
          <w:b/>
          <w:bCs/>
          <w:color w:val="1d4ed8"/>
          <w:sz w:val="32"/>
          <w:szCs w:val="32"/>
        </w:rPr>
        <w:t xml:space="preserve">5. Approval queue types</w:t>
      </w:r>
    </w:p>
    <w:p>
      <w:pPr>
        <w:spacing w:after="100" w:before="0" w:line="280"/>
      </w:pPr>
      <w:r>
        <w:rPr>
          <w:rFonts w:ascii="Arial" w:cs="Arial" w:eastAsia="Arial" w:hAnsi="Arial"/>
          <w:sz w:val="22"/>
          <w:szCs w:val="22"/>
        </w:rPr>
        <w:t xml:space="preserve">All authority-related and content-related changes that exceed an actor's authority flow through a single Approvals queue, routed to the appropriate approver. Nine types currently: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Type</w:t>
            </w:r>
          </w:p>
        </w:tc>
        <w:tc>
          <w:tcPr>
            <w:tcW w:type="dxa" w:w="16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Initiator</w:t>
            </w:r>
          </w:p>
        </w:tc>
        <w:tc>
          <w:tcPr>
            <w:tcW w:type="dxa" w:w="16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Approver</w:t>
            </w:r>
          </w:p>
        </w:tc>
        <w:tc>
          <w:tcPr>
            <w:tcW w:type="dxa" w:w="396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Description</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LIEN_REDUCTION</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Analyst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Offer to reduce plan's lien % beyond analyst's authority. Common-fund and made-whole arguments.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DEMAND_APPROVAL</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Analyst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Outbound demand letter dollar amount exceeds analyst's authority.</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OVERRIDE_LOCK</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Analyst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Edit locked correspondence (already SENT). Requires justification.</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CLOSURE_BELOW_DEMAND</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Analyst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Close recovery for less than demand amount (or zero); typically uncollectible.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SETTLEMENT_ACCEPTANCE</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Analyst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Settlement offer exceeds analyst's authority.</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LEVEL_CHANGE_REQUEST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Manager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Promote or demote an analyst between job levels (Trainee/Junior/Mid/Senior).</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AUTHORITY_OVERRIDE</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Manager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Per-analyst temporary or permanent authority change without changing job level.</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FILE_AUTHORITY_GRANT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Manager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Per-claim file-level authority elevation above supervisor's own ceiling.</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USER_ACTIVATION</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Manager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Supervisor-created new user pending Manager activation.</w:t>
            </w:r>
          </w:p>
        </w:tc>
      </w:tr>
    </w:tbl>
    <w:p>
      <w:pPr>
        <w:spacing w:after="100" w:before="0" w:line="280"/>
      </w:pPr>
      <w:r>
        <w:rPr>
          <w:rFonts w:ascii="Arial" w:cs="Arial" w:eastAsia="Arial" w:hAnsi="Arial"/>
          <w:sz w:val="22"/>
          <w:szCs w:val="22"/>
        </w:rPr>
        <w:t xml:space="preserve">Each item in the queue carries: claim ID (if applicable), type, requester, request timestamp, priority (Standard or Urgent), summary, dollars/percentages affected, justification, and the target user (for level changes, authority overrides, file grants, and user activations). On approve or reject, the actor records a note; both events audit-log.</w:t>
      </w:r>
    </w:p>
    <w:p>
      <w:pPr>
        <w:pStyle w:val="Heading1"/>
        <w:spacing w:after="140" w:before="280"/>
      </w:pPr>
      <w:r>
        <w:rPr>
          <w:rFonts w:ascii="Arial" w:cs="Arial" w:eastAsia="Arial" w:hAnsi="Arial"/>
          <w:b/>
          <w:bCs/>
          <w:color w:val="1d4ed8"/>
          <w:sz w:val="32"/>
          <w:szCs w:val="32"/>
        </w:rPr>
        <w:t xml:space="preserve">6. Audit architecture</w:t>
      </w:r>
    </w:p>
    <w:p>
      <w:pPr>
        <w:spacing w:after="100" w:before="0" w:line="280"/>
      </w:pPr>
      <w:r>
        <w:rPr>
          <w:rFonts w:ascii="Arial" w:cs="Arial" w:eastAsia="Arial" w:hAnsi="Arial"/>
          <w:sz w:val="22"/>
          <w:szCs w:val="22"/>
        </w:rPr>
        <w:t xml:space="preserve">Two distinct audit streams. They must not be merged.</w:t>
      </w:r>
    </w:p>
    <w:p>
      <w:pPr>
        <w:pStyle w:val="Heading3"/>
        <w:spacing w:after="80" w:before="180"/>
      </w:pPr>
      <w:r>
        <w:rPr>
          <w:rFonts w:ascii="Arial" w:cs="Arial" w:eastAsia="Arial" w:hAnsi="Arial"/>
          <w:b/>
          <w:bCs/>
          <w:color w:val="475569"/>
          <w:sz w:val="22"/>
          <w:szCs w:val="22"/>
        </w:rPr>
        <w:t xml:space="preserve">6.1 System events</w:t>
      </w:r>
    </w:p>
    <w:p>
      <w:pPr>
        <w:spacing w:after="100" w:before="0" w:line="280"/>
      </w:pPr>
      <w:r>
        <w:rPr>
          <w:rFonts w:ascii="Arial" w:cs="Arial" w:eastAsia="Arial" w:hAnsi="Arial"/>
          <w:sz w:val="22"/>
          <w:szCs w:val="22"/>
        </w:rPr>
        <w:t xml:space="preserve">Append-only log of system and configuration changes. Covers authority limit changes, claim feed sync events, override-letter-lock approvals, template publishes, user creations/deactivations, integration credential rotations, and similar. Visible in Admin → Audit. Retained 7 years per common HIPAA practice.</w:t>
      </w:r>
    </w:p>
    <w:p>
      <w:pPr>
        <w:pStyle w:val="Heading3"/>
        <w:spacing w:after="80" w:before="180"/>
      </w:pPr>
      <w:r>
        <w:rPr>
          <w:rFonts w:ascii="Arial" w:cs="Arial" w:eastAsia="Arial" w:hAnsi="Arial"/>
          <w:b/>
          <w:bCs/>
          <w:color w:val="475569"/>
          <w:sz w:val="22"/>
          <w:szCs w:val="22"/>
        </w:rPr>
        <w:t xml:space="preserve">6.2 PHI access log</w:t>
      </w:r>
    </w:p>
    <w:p>
      <w:pPr>
        <w:spacing w:after="100" w:before="0" w:line="280"/>
      </w:pPr>
      <w:r>
        <w:rPr>
          <w:rFonts w:ascii="Arial" w:cs="Arial" w:eastAsia="Arial" w:hAnsi="Arial"/>
          <w:sz w:val="22"/>
          <w:szCs w:val="22"/>
        </w:rPr>
        <w:t xml:space="preserve">Separate append-only log of every PHI read, write, export, or deletion. Includes user, timestamp, target (member ID, claim ID, document ID), and justification where the action is non-standard. Visible in summary on Admin → Security (counts only) with the full log in a separate PHI Audit module (Phase 2). HIPAA § 164.530(j) retention applies.</w:t>
      </w:r>
    </w:p>
    <w:p>
      <w:pPr>
        <w:pStyle w:val="Heading3"/>
        <w:spacing w:after="80" w:before="180"/>
      </w:pPr>
      <w:r>
        <w:rPr>
          <w:rFonts w:ascii="Arial" w:cs="Arial" w:eastAsia="Arial" w:hAnsi="Arial"/>
          <w:b/>
          <w:bCs/>
          <w:color w:val="475569"/>
          <w:sz w:val="22"/>
          <w:szCs w:val="22"/>
        </w:rPr>
        <w:t xml:space="preserve">6.3 Coaching notes (separate from audit)</w:t>
      </w:r>
    </w:p>
    <w:p>
      <w:pPr>
        <w:spacing w:after="100" w:before="0" w:line="280"/>
      </w:pPr>
      <w:r>
        <w:rPr>
          <w:rFonts w:ascii="Arial" w:cs="Arial" w:eastAsia="Arial" w:hAnsi="Arial"/>
          <w:sz w:val="22"/>
          <w:szCs w:val="22"/>
        </w:rPr>
        <w:t xml:space="preserve">Coaching notes are a third category — explicitly NOT part of either audit stream. Notes about analysts are visible to Supervisor and Manager; notes about supervisors are visible to Manager only. Notes are intentionally informal to encourage candid coaching observations. If a note needs to become a formal record, the supervisor or manager elevates it manually to the audit log.</w:t>
      </w:r>
    </w:p>
    <w:p>
      <w:r>
        <w:br w:type="page"/>
      </w:r>
    </w:p>
    <w:p>
      <w:pPr>
        <w:pStyle w:val="Heading1"/>
        <w:spacing w:after="140" w:before="280"/>
      </w:pPr>
      <w:r>
        <w:rPr>
          <w:rFonts w:ascii="Arial" w:cs="Arial" w:eastAsia="Arial" w:hAnsi="Arial"/>
          <w:b/>
          <w:bCs/>
          <w:color w:val="1d4ed8"/>
          <w:sz w:val="32"/>
          <w:szCs w:val="32"/>
        </w:rPr>
        <w:t xml:space="preserve">7. Implementation issues / roadmap</w:t>
      </w:r>
    </w:p>
    <w:p>
      <w:pPr>
        <w:spacing w:after="100" w:before="0" w:line="280"/>
      </w:pPr>
      <w:r>
        <w:rPr>
          <w:rFonts w:ascii="Arial" w:cs="Arial" w:eastAsia="Arial" w:hAnsi="Arial"/>
          <w:sz w:val="22"/>
          <w:szCs w:val="22"/>
        </w:rPr>
        <w:t xml:space="preserve">These are the real engineering questions that need to be answered before pilot. Each is a meaningful design decision that affects the multi-tenant production system but is currently mocked or skipped in the prototype.</w:t>
      </w:r>
    </w:p>
    <w:p>
      <w:pPr>
        <w:pStyle w:val="Heading2"/>
        <w:spacing w:after="100" w:before="240"/>
      </w:pPr>
      <w:r>
        <w:rPr>
          <w:rFonts w:ascii="Arial" w:cs="Arial" w:eastAsia="Arial" w:hAnsi="Arial"/>
          <w:b/>
          <w:bCs/>
          <w:color w:val="1d4ed8"/>
          <w:sz w:val="26"/>
          <w:szCs w:val="26"/>
        </w:rPr>
        <w:t xml:space="preserve">7.1 Authority enforcement layer</w:t>
      </w:r>
    </w:p>
    <w:p>
      <w:pPr>
        <w:spacing w:after="100" w:before="0" w:line="280"/>
      </w:pPr>
      <w:r>
        <w:rPr>
          <w:rFonts w:ascii="Arial" w:cs="Arial" w:eastAsia="Arial" w:hAnsi="Arial"/>
          <w:sz w:val="22"/>
          <w:szCs w:val="22"/>
        </w:rPr>
        <w:t xml:space="preserve">In the prototype, authority limits are displayed in the UI but not enforced at the action layer. Production needs a centralized authority check at the boundary of every state-changing action.</w:t>
      </w:r>
    </w:p>
    <w:p>
      <w:pPr>
        <w:pStyle w:val="ListParagraph"/>
        <w:numPr>
          <w:ilvl w:val="0"/>
          <w:numId w:val="2"/>
        </w:numPr>
        <w:spacing w:after="60" w:before="0" w:line="280"/>
      </w:pPr>
      <w:r>
        <w:rPr>
          <w:rFonts w:ascii="Arial" w:cs="Arial" w:eastAsia="Arial" w:hAnsi="Arial"/>
          <w:sz w:val="22"/>
          <w:szCs w:val="22"/>
        </w:rPr>
        <w:t xml:space="preserve">Single "canPerform(user, action, context)" helper consulted by every workflow action.</w:t>
      </w:r>
    </w:p>
    <w:p>
      <w:pPr>
        <w:pStyle w:val="ListParagraph"/>
        <w:numPr>
          <w:ilvl w:val="0"/>
          <w:numId w:val="2"/>
        </w:numPr>
        <w:spacing w:after="60" w:before="0" w:line="280"/>
      </w:pPr>
      <w:r>
        <w:rPr>
          <w:rFonts w:ascii="Arial" w:cs="Arial" w:eastAsia="Arial" w:hAnsi="Arial"/>
          <w:sz w:val="22"/>
          <w:szCs w:val="22"/>
        </w:rPr>
        <w:t xml:space="preserve">Context includes the claim, the action type, dollar/percentage parameters, and any active file authority grants.</w:t>
      </w:r>
    </w:p>
    <w:p>
      <w:pPr>
        <w:pStyle w:val="ListParagraph"/>
        <w:numPr>
          <w:ilvl w:val="0"/>
          <w:numId w:val="2"/>
        </w:numPr>
        <w:spacing w:after="60" w:before="0" w:line="280"/>
      </w:pPr>
      <w:r>
        <w:rPr>
          <w:rFonts w:ascii="Arial" w:cs="Arial" w:eastAsia="Arial" w:hAnsi="Arial"/>
          <w:sz w:val="22"/>
          <w:szCs w:val="22"/>
        </w:rPr>
        <w:t xml:space="preserve">Returns the effective authority (combining job-level defaults, per-analyst overrides, and per-file elevations) and the decision (allow / require approval / deny).</w:t>
      </w:r>
    </w:p>
    <w:p>
      <w:pPr>
        <w:pStyle w:val="ListParagraph"/>
        <w:numPr>
          <w:ilvl w:val="0"/>
          <w:numId w:val="2"/>
        </w:numPr>
        <w:spacing w:after="60" w:before="0" w:line="280"/>
      </w:pPr>
      <w:r>
        <w:rPr>
          <w:rFonts w:ascii="Arial" w:cs="Arial" w:eastAsia="Arial" w:hAnsi="Arial"/>
          <w:sz w:val="22"/>
          <w:szCs w:val="22"/>
        </w:rPr>
        <w:t xml:space="preserve">On require-approval, automatically creates the appropriate approval queue entry.</w:t>
      </w:r>
    </w:p>
    <w:p>
      <w:pPr>
        <w:pStyle w:val="Heading2"/>
        <w:spacing w:after="100" w:before="240"/>
      </w:pPr>
      <w:r>
        <w:rPr>
          <w:rFonts w:ascii="Arial" w:cs="Arial" w:eastAsia="Arial" w:hAnsi="Arial"/>
          <w:b/>
          <w:bCs/>
          <w:color w:val="1d4ed8"/>
          <w:sz w:val="26"/>
          <w:szCs w:val="26"/>
        </w:rPr>
        <w:t xml:space="preserve">7.2 Multi-tenant data isolation</w:t>
      </w:r>
    </w:p>
    <w:p>
      <w:pPr>
        <w:spacing w:after="100" w:before="0" w:line="280"/>
      </w:pPr>
      <w:r>
        <w:rPr>
          <w:rFonts w:ascii="Arial" w:cs="Arial" w:eastAsia="Arial" w:hAnsi="Arial"/>
          <w:sz w:val="22"/>
          <w:szCs w:val="22"/>
        </w:rPr>
        <w:t xml:space="preserve">Prototype is single-tenant. Production must support all three deployment modes (Carrier in-house, Vendor/TPA, Independent vendor service) with strict tenant isolation.</w:t>
      </w:r>
    </w:p>
    <w:p>
      <w:pPr>
        <w:pStyle w:val="ListParagraph"/>
        <w:numPr>
          <w:ilvl w:val="0"/>
          <w:numId w:val="2"/>
        </w:numPr>
        <w:spacing w:after="60" w:before="0" w:line="280"/>
      </w:pPr>
      <w:r>
        <w:rPr>
          <w:rFonts w:ascii="Arial" w:cs="Arial" w:eastAsia="Arial" w:hAnsi="Arial"/>
          <w:sz w:val="22"/>
          <w:szCs w:val="22"/>
        </w:rPr>
        <w:t xml:space="preserve">Postgres row-level security keyed on tenant_id for shared cluster (mid-market customers).</w:t>
      </w:r>
    </w:p>
    <w:p>
      <w:pPr>
        <w:pStyle w:val="ListParagraph"/>
        <w:numPr>
          <w:ilvl w:val="0"/>
          <w:numId w:val="2"/>
        </w:numPr>
        <w:spacing w:after="60" w:before="0" w:line="280"/>
      </w:pPr>
      <w:r>
        <w:rPr>
          <w:rFonts w:ascii="Arial" w:cs="Arial" w:eastAsia="Arial" w:hAnsi="Arial"/>
          <w:sz w:val="22"/>
          <w:szCs w:val="22"/>
        </w:rPr>
        <w:t xml:space="preserve">Schema-per-tenant or dedicated database for large carriers (enterprise contracts).</w:t>
      </w:r>
    </w:p>
    <w:p>
      <w:pPr>
        <w:pStyle w:val="ListParagraph"/>
        <w:numPr>
          <w:ilvl w:val="0"/>
          <w:numId w:val="2"/>
        </w:numPr>
        <w:spacing w:after="60" w:before="0" w:line="280"/>
      </w:pPr>
      <w:r>
        <w:rPr>
          <w:rFonts w:ascii="Arial" w:cs="Arial" w:eastAsia="Arial" w:hAnsi="Arial"/>
          <w:sz w:val="22"/>
          <w:szCs w:val="22"/>
        </w:rPr>
        <w:t xml:space="preserve">Tenant context derived from auth token on every request; rejection at query layer.</w:t>
      </w:r>
    </w:p>
    <w:p>
      <w:pPr>
        <w:pStyle w:val="ListParagraph"/>
        <w:numPr>
          <w:ilvl w:val="0"/>
          <w:numId w:val="2"/>
        </w:numPr>
        <w:spacing w:after="60" w:before="0" w:line="280"/>
      </w:pPr>
      <w:r>
        <w:rPr>
          <w:rFonts w:ascii="Arial" w:cs="Arial" w:eastAsia="Arial" w:hAnsi="Arial"/>
          <w:sz w:val="22"/>
          <w:szCs w:val="22"/>
        </w:rPr>
        <w:t xml:space="preserve">Cross-tenant queries (Admin viewing aggregate metrics for a vendor's customers) need explicit opt-in and audit-logged.</w:t>
      </w:r>
    </w:p>
    <w:p>
      <w:pPr>
        <w:pStyle w:val="Heading2"/>
        <w:spacing w:after="100" w:before="240"/>
      </w:pPr>
      <w:r>
        <w:rPr>
          <w:rFonts w:ascii="Arial" w:cs="Arial" w:eastAsia="Arial" w:hAnsi="Arial"/>
          <w:b/>
          <w:bCs/>
          <w:color w:val="1d4ed8"/>
          <w:sz w:val="26"/>
          <w:szCs w:val="26"/>
        </w:rPr>
        <w:t xml:space="preserve">7.3 Approval routing</w:t>
      </w:r>
    </w:p>
    <w:p>
      <w:pPr>
        <w:spacing w:after="100" w:before="0" w:line="280"/>
      </w:pPr>
      <w:r>
        <w:rPr>
          <w:rFonts w:ascii="Arial" w:cs="Arial" w:eastAsia="Arial" w:hAnsi="Arial"/>
          <w:sz w:val="22"/>
          <w:szCs w:val="22"/>
        </w:rPr>
        <w:t xml:space="preserve">Currently the queue is a single list. Production needs:</w:t>
      </w:r>
    </w:p>
    <w:p>
      <w:pPr>
        <w:pStyle w:val="ListParagraph"/>
        <w:numPr>
          <w:ilvl w:val="0"/>
          <w:numId w:val="2"/>
        </w:numPr>
        <w:spacing w:after="60" w:before="0" w:line="280"/>
      </w:pPr>
      <w:r>
        <w:rPr>
          <w:rFonts w:ascii="Arial" w:cs="Arial" w:eastAsia="Arial" w:hAnsi="Arial"/>
          <w:sz w:val="22"/>
          <w:szCs w:val="22"/>
        </w:rPr>
        <w:t xml:space="preserve">Route to the analyst's team supervisor (not any supervisor).</w:t>
      </w:r>
    </w:p>
    <w:p>
      <w:pPr>
        <w:pStyle w:val="ListParagraph"/>
        <w:numPr>
          <w:ilvl w:val="0"/>
          <w:numId w:val="2"/>
        </w:numPr>
        <w:spacing w:after="60" w:before="0" w:line="280"/>
      </w:pPr>
      <w:r>
        <w:rPr>
          <w:rFonts w:ascii="Arial" w:cs="Arial" w:eastAsia="Arial" w:hAnsi="Arial"/>
          <w:sz w:val="22"/>
          <w:szCs w:val="22"/>
        </w:rPr>
        <w:t xml:space="preserve">Route to the analyst's team manager (not any manager) for above-supervisor escalations.</w:t>
      </w:r>
    </w:p>
    <w:p>
      <w:pPr>
        <w:pStyle w:val="ListParagraph"/>
        <w:numPr>
          <w:ilvl w:val="0"/>
          <w:numId w:val="2"/>
        </w:numPr>
        <w:spacing w:after="60" w:before="0" w:line="280"/>
      </w:pPr>
      <w:r>
        <w:rPr>
          <w:rFonts w:ascii="Arial" w:cs="Arial" w:eastAsia="Arial" w:hAnsi="Arial"/>
          <w:sz w:val="22"/>
          <w:szCs w:val="22"/>
        </w:rPr>
        <w:t xml:space="preserve">SLA timers and auto-escalation (if a Supervisor item ages past N business hours, auto-route to Manager).</w:t>
      </w:r>
    </w:p>
    <w:p>
      <w:pPr>
        <w:pStyle w:val="ListParagraph"/>
        <w:numPr>
          <w:ilvl w:val="0"/>
          <w:numId w:val="2"/>
        </w:numPr>
        <w:spacing w:after="60" w:before="0" w:line="280"/>
      </w:pPr>
      <w:r>
        <w:rPr>
          <w:rFonts w:ascii="Arial" w:cs="Arial" w:eastAsia="Arial" w:hAnsi="Arial"/>
          <w:sz w:val="22"/>
          <w:szCs w:val="22"/>
        </w:rPr>
        <w:t xml:space="preserve">Out-of-office / delegation rules (if T. Ramos is out, escalations route to backup supervisor).</w:t>
      </w:r>
    </w:p>
    <w:p>
      <w:pPr>
        <w:pStyle w:val="ListParagraph"/>
        <w:numPr>
          <w:ilvl w:val="0"/>
          <w:numId w:val="2"/>
        </w:numPr>
        <w:spacing w:after="60" w:before="0" w:line="280"/>
      </w:pPr>
      <w:r>
        <w:rPr>
          <w:rFonts w:ascii="Arial" w:cs="Arial" w:eastAsia="Arial" w:hAnsi="Arial"/>
          <w:sz w:val="22"/>
          <w:szCs w:val="22"/>
        </w:rPr>
        <w:t xml:space="preserve">Bulk approve / reject for routine items (e.g., a Manager approving 10 similar lien reductions in one action).</w:t>
      </w:r>
    </w:p>
    <w:p>
      <w:pPr>
        <w:pStyle w:val="Heading2"/>
        <w:spacing w:after="100" w:before="240"/>
      </w:pPr>
      <w:r>
        <w:rPr>
          <w:rFonts w:ascii="Arial" w:cs="Arial" w:eastAsia="Arial" w:hAnsi="Arial"/>
          <w:b/>
          <w:bCs/>
          <w:color w:val="1d4ed8"/>
          <w:sz w:val="26"/>
          <w:szCs w:val="26"/>
        </w:rPr>
        <w:t xml:space="preserve">7.4 Coaching notes storage</w:t>
      </w:r>
    </w:p>
    <w:p>
      <w:pPr>
        <w:spacing w:after="100" w:before="0" w:line="280"/>
      </w:pPr>
      <w:r>
        <w:rPr>
          <w:rFonts w:ascii="Arial" w:cs="Arial" w:eastAsia="Arial" w:hAnsi="Arial"/>
          <w:sz w:val="22"/>
          <w:szCs w:val="22"/>
        </w:rPr>
        <w:t xml:space="preserve">Notes need true role-private storage with strict visibility enforcement. Specific concerns:</w:t>
      </w:r>
    </w:p>
    <w:p>
      <w:pPr>
        <w:pStyle w:val="ListParagraph"/>
        <w:numPr>
          <w:ilvl w:val="0"/>
          <w:numId w:val="2"/>
        </w:numPr>
        <w:spacing w:after="60" w:before="0" w:line="280"/>
      </w:pPr>
      <w:r>
        <w:rPr>
          <w:rFonts w:ascii="Arial" w:cs="Arial" w:eastAsia="Arial" w:hAnsi="Arial"/>
          <w:sz w:val="22"/>
          <w:szCs w:val="22"/>
        </w:rPr>
        <w:t xml:space="preserve">Visibility rule: SUP_AND_MGR notes visible to the analyst's supervisor + manager; MGR_ONLY notes visible only to the manager.</w:t>
      </w:r>
    </w:p>
    <w:p>
      <w:pPr>
        <w:pStyle w:val="ListParagraph"/>
        <w:numPr>
          <w:ilvl w:val="0"/>
          <w:numId w:val="2"/>
        </w:numPr>
        <w:spacing w:after="60" w:before="0" w:line="280"/>
      </w:pPr>
      <w:r>
        <w:rPr>
          <w:rFonts w:ascii="Arial" w:cs="Arial" w:eastAsia="Arial" w:hAnsi="Arial"/>
          <w:sz w:val="22"/>
          <w:szCs w:val="22"/>
        </w:rPr>
        <w:t xml:space="preserve">Notes about a person should follow the person when they move teams (with permission of the new team's supervisor).</w:t>
      </w:r>
    </w:p>
    <w:p>
      <w:pPr>
        <w:pStyle w:val="ListParagraph"/>
        <w:numPr>
          <w:ilvl w:val="0"/>
          <w:numId w:val="2"/>
        </w:numPr>
        <w:spacing w:after="60" w:before="0" w:line="280"/>
      </w:pPr>
      <w:r>
        <w:rPr>
          <w:rFonts w:ascii="Arial" w:cs="Arial" w:eastAsia="Arial" w:hAnsi="Arial"/>
          <w:sz w:val="22"/>
          <w:szCs w:val="22"/>
        </w:rPr>
        <w:t xml:space="preserve">Notes by a departed supervisor remain visible to their successor.</w:t>
      </w:r>
    </w:p>
    <w:p>
      <w:pPr>
        <w:pStyle w:val="ListParagraph"/>
        <w:numPr>
          <w:ilvl w:val="0"/>
          <w:numId w:val="2"/>
        </w:numPr>
        <w:spacing w:after="60" w:before="0" w:line="280"/>
      </w:pPr>
      <w:r>
        <w:rPr>
          <w:rFonts w:ascii="Arial" w:cs="Arial" w:eastAsia="Arial" w:hAnsi="Arial"/>
          <w:sz w:val="22"/>
          <w:szCs w:val="22"/>
        </w:rPr>
        <w:t xml:space="preserve">Bulk-export for HR/legal access — separate workflow with explicit audit.</w:t>
      </w:r>
    </w:p>
    <w:p>
      <w:pPr>
        <w:pStyle w:val="Heading2"/>
        <w:spacing w:after="100" w:before="240"/>
      </w:pPr>
      <w:r>
        <w:rPr>
          <w:rFonts w:ascii="Arial" w:cs="Arial" w:eastAsia="Arial" w:hAnsi="Arial"/>
          <w:b/>
          <w:bCs/>
          <w:color w:val="1d4ed8"/>
          <w:sz w:val="26"/>
          <w:szCs w:val="26"/>
        </w:rPr>
        <w:t xml:space="preserve">7.5 File authority lifecycle</w:t>
      </w:r>
    </w:p>
    <w:p>
      <w:pPr>
        <w:spacing w:after="100" w:before="0" w:line="280"/>
      </w:pPr>
      <w:r>
        <w:rPr>
          <w:rFonts w:ascii="Arial" w:cs="Arial" w:eastAsia="Arial" w:hAnsi="Arial"/>
          <w:sz w:val="22"/>
          <w:szCs w:val="22"/>
        </w:rPr>
        <w:t xml:space="preserve">File-level grants must auto-revoke when the claim closes. Production needs:</w:t>
      </w:r>
    </w:p>
    <w:p>
      <w:pPr>
        <w:pStyle w:val="ListParagraph"/>
        <w:numPr>
          <w:ilvl w:val="0"/>
          <w:numId w:val="2"/>
        </w:numPr>
        <w:spacing w:after="60" w:before="0" w:line="280"/>
      </w:pPr>
      <w:r>
        <w:rPr>
          <w:rFonts w:ascii="Arial" w:cs="Arial" w:eastAsia="Arial" w:hAnsi="Arial"/>
          <w:sz w:val="22"/>
          <w:szCs w:val="22"/>
        </w:rPr>
        <w:t xml:space="preserve">Hook on claim closure event that revokes any active FILE_AUTHORITY_GRANT for that claim.</w:t>
      </w:r>
    </w:p>
    <w:p>
      <w:pPr>
        <w:pStyle w:val="ListParagraph"/>
        <w:numPr>
          <w:ilvl w:val="0"/>
          <w:numId w:val="2"/>
        </w:numPr>
        <w:spacing w:after="60" w:before="0" w:line="280"/>
      </w:pPr>
      <w:r>
        <w:rPr>
          <w:rFonts w:ascii="Arial" w:cs="Arial" w:eastAsia="Arial" w:hAnsi="Arial"/>
          <w:sz w:val="22"/>
          <w:szCs w:val="22"/>
        </w:rPr>
        <w:t xml:space="preserve">Active-grant indicator visible on claim detail (currently rendered; needs real-data binding).</w:t>
      </w:r>
    </w:p>
    <w:p>
      <w:pPr>
        <w:pStyle w:val="ListParagraph"/>
        <w:numPr>
          <w:ilvl w:val="0"/>
          <w:numId w:val="2"/>
        </w:numPr>
        <w:spacing w:after="60" w:before="0" w:line="280"/>
      </w:pPr>
      <w:r>
        <w:rPr>
          <w:rFonts w:ascii="Arial" w:cs="Arial" w:eastAsia="Arial" w:hAnsi="Arial"/>
          <w:sz w:val="22"/>
          <w:szCs w:val="22"/>
        </w:rPr>
        <w:t xml:space="preserve">Audit log entry on grant, on every action taken under the grant, on revocation, on expiry.</w:t>
      </w:r>
    </w:p>
    <w:p>
      <w:pPr>
        <w:pStyle w:val="ListParagraph"/>
        <w:numPr>
          <w:ilvl w:val="0"/>
          <w:numId w:val="2"/>
        </w:numPr>
        <w:spacing w:after="60" w:before="0" w:line="280"/>
      </w:pPr>
      <w:r>
        <w:rPr>
          <w:rFonts w:ascii="Arial" w:cs="Arial" w:eastAsia="Arial" w:hAnsi="Arial"/>
          <w:sz w:val="22"/>
          <w:szCs w:val="22"/>
        </w:rPr>
        <w:t xml:space="preserve">UX consideration: if the analyst tries to act above their standard authority on a file with an active grant, the action should succeed silently — they shouldn't have to know whether a grant exists. But the receipt of the action should reference the grant in the audit log.</w:t>
      </w:r>
    </w:p>
    <w:p>
      <w:pPr>
        <w:pStyle w:val="Heading2"/>
        <w:spacing w:after="100" w:before="240"/>
      </w:pPr>
      <w:r>
        <w:rPr>
          <w:rFonts w:ascii="Arial" w:cs="Arial" w:eastAsia="Arial" w:hAnsi="Arial"/>
          <w:b/>
          <w:bCs/>
          <w:color w:val="1d4ed8"/>
          <w:sz w:val="26"/>
          <w:szCs w:val="26"/>
        </w:rPr>
        <w:t xml:space="preserve">7.6 Audit log scale and querying</w:t>
      </w:r>
    </w:p>
    <w:p>
      <w:pPr>
        <w:spacing w:after="100" w:before="0" w:line="280"/>
      </w:pPr>
      <w:r>
        <w:rPr>
          <w:rFonts w:ascii="Arial" w:cs="Arial" w:eastAsia="Arial" w:hAnsi="Arial"/>
          <w:sz w:val="22"/>
          <w:szCs w:val="22"/>
        </w:rPr>
        <w:t xml:space="preserve">Audit log will grow rapidly. At a customer with 100 analysts and 10k claims/month, expect 50–200k audit events per month. Production needs:</w:t>
      </w:r>
    </w:p>
    <w:p>
      <w:pPr>
        <w:pStyle w:val="ListParagraph"/>
        <w:numPr>
          <w:ilvl w:val="0"/>
          <w:numId w:val="2"/>
        </w:numPr>
        <w:spacing w:after="60" w:before="0" w:line="280"/>
      </w:pPr>
      <w:r>
        <w:rPr>
          <w:rFonts w:ascii="Arial" w:cs="Arial" w:eastAsia="Arial" w:hAnsi="Arial"/>
          <w:sz w:val="22"/>
          <w:szCs w:val="22"/>
        </w:rPr>
        <w:t xml:space="preserve">Append-only storage with no in-place mutation.</w:t>
      </w:r>
    </w:p>
    <w:p>
      <w:pPr>
        <w:pStyle w:val="ListParagraph"/>
        <w:numPr>
          <w:ilvl w:val="0"/>
          <w:numId w:val="2"/>
        </w:numPr>
        <w:spacing w:after="60" w:before="0" w:line="280"/>
      </w:pPr>
      <w:r>
        <w:rPr>
          <w:rFonts w:ascii="Arial" w:cs="Arial" w:eastAsia="Arial" w:hAnsi="Arial"/>
          <w:sz w:val="22"/>
          <w:szCs w:val="22"/>
        </w:rPr>
        <w:t xml:space="preserve">Indexed query by actor, target (claim ID or user ID), timestamp range, and action type.</w:t>
      </w:r>
    </w:p>
    <w:p>
      <w:pPr>
        <w:pStyle w:val="ListParagraph"/>
        <w:numPr>
          <w:ilvl w:val="0"/>
          <w:numId w:val="2"/>
        </w:numPr>
        <w:spacing w:after="60" w:before="0" w:line="280"/>
      </w:pPr>
      <w:r>
        <w:rPr>
          <w:rFonts w:ascii="Arial" w:cs="Arial" w:eastAsia="Arial" w:hAnsi="Arial"/>
          <w:sz w:val="22"/>
          <w:szCs w:val="22"/>
        </w:rPr>
        <w:t xml:space="preserve">Archive strategy beyond a hot retention window (typically 90 days) to reduce live database size.</w:t>
      </w:r>
    </w:p>
    <w:p>
      <w:pPr>
        <w:pStyle w:val="ListParagraph"/>
        <w:numPr>
          <w:ilvl w:val="0"/>
          <w:numId w:val="2"/>
        </w:numPr>
        <w:spacing w:after="60" w:before="0" w:line="280"/>
      </w:pPr>
      <w:r>
        <w:rPr>
          <w:rFonts w:ascii="Arial" w:cs="Arial" w:eastAsia="Arial" w:hAnsi="Arial"/>
          <w:sz w:val="22"/>
          <w:szCs w:val="22"/>
        </w:rPr>
        <w:t xml:space="preserve">Export for HIPAA audits — full audit log for a date range as CSV or JSON, with a separate export-audit-log entry recording the export itself.</w:t>
      </w:r>
    </w:p>
    <w:p>
      <w:pPr>
        <w:pStyle w:val="Heading2"/>
        <w:spacing w:after="100" w:before="240"/>
      </w:pPr>
      <w:r>
        <w:rPr>
          <w:rFonts w:ascii="Arial" w:cs="Arial" w:eastAsia="Arial" w:hAnsi="Arial"/>
          <w:b/>
          <w:bCs/>
          <w:color w:val="1d4ed8"/>
          <w:sz w:val="26"/>
          <w:szCs w:val="26"/>
        </w:rPr>
        <w:t xml:space="preserve">7.7 PHI access logging</w:t>
      </w:r>
    </w:p>
    <w:p>
      <w:pPr>
        <w:spacing w:after="100" w:before="0" w:line="280"/>
      </w:pPr>
      <w:r>
        <w:rPr>
          <w:rFonts w:ascii="Arial" w:cs="Arial" w:eastAsia="Arial" w:hAnsi="Arial"/>
          <w:sz w:val="22"/>
          <w:szCs w:val="22"/>
        </w:rPr>
        <w:t xml:space="preserve">Every read of member-identifiable data needs logging. Performance concern: PHI reads are frequent. Approach:</w:t>
      </w:r>
    </w:p>
    <w:p>
      <w:pPr>
        <w:pStyle w:val="ListParagraph"/>
        <w:numPr>
          <w:ilvl w:val="0"/>
          <w:numId w:val="2"/>
        </w:numPr>
        <w:spacing w:after="60" w:before="0" w:line="280"/>
      </w:pPr>
      <w:r>
        <w:rPr>
          <w:rFonts w:ascii="Arial" w:cs="Arial" w:eastAsia="Arial" w:hAnsi="Arial"/>
          <w:sz w:val="22"/>
          <w:szCs w:val="22"/>
        </w:rPr>
        <w:t xml:space="preserve">Log at the API or query layer — single chokepoint, not per-component.</w:t>
      </w:r>
    </w:p>
    <w:p>
      <w:pPr>
        <w:pStyle w:val="ListParagraph"/>
        <w:numPr>
          <w:ilvl w:val="0"/>
          <w:numId w:val="2"/>
        </w:numPr>
        <w:spacing w:after="60" w:before="0" w:line="280"/>
      </w:pPr>
      <w:r>
        <w:rPr>
          <w:rFonts w:ascii="Arial" w:cs="Arial" w:eastAsia="Arial" w:hAnsi="Arial"/>
          <w:sz w:val="22"/>
          <w:szCs w:val="22"/>
        </w:rPr>
        <w:t xml:space="preserve">Batch writes to the PHI audit table (with at-most-N-second delay) to keep write volume manageable.</w:t>
      </w:r>
    </w:p>
    <w:p>
      <w:pPr>
        <w:pStyle w:val="ListParagraph"/>
        <w:numPr>
          <w:ilvl w:val="0"/>
          <w:numId w:val="2"/>
        </w:numPr>
        <w:spacing w:after="60" w:before="0" w:line="280"/>
      </w:pPr>
      <w:r>
        <w:rPr>
          <w:rFonts w:ascii="Arial" w:cs="Arial" w:eastAsia="Arial" w:hAnsi="Arial"/>
          <w:sz w:val="22"/>
          <w:szCs w:val="22"/>
        </w:rPr>
        <w:t xml:space="preserve">Sampling for read-heavy admin views (e.g., the supervisor opening the Approvals queue reads 20 claim summaries — log this as one bulk event, not 20).</w:t>
      </w:r>
    </w:p>
    <w:p>
      <w:pPr>
        <w:pStyle w:val="ListParagraph"/>
        <w:numPr>
          <w:ilvl w:val="0"/>
          <w:numId w:val="2"/>
        </w:numPr>
        <w:spacing w:after="60" w:before="0" w:line="280"/>
      </w:pPr>
      <w:r>
        <w:rPr>
          <w:rFonts w:ascii="Arial" w:cs="Arial" w:eastAsia="Arial" w:hAnsi="Arial"/>
          <w:sz w:val="22"/>
          <w:szCs w:val="22"/>
        </w:rPr>
        <w:t xml:space="preserve">Anomaly detection: unusual-time-of-day reads, bulk-export patterns, role-mismatch reads (analyst reading a claim outside their assigned book).</w:t>
      </w:r>
    </w:p>
    <w:p>
      <w:pPr>
        <w:pStyle w:val="Heading2"/>
        <w:spacing w:after="100" w:before="240"/>
      </w:pPr>
      <w:r>
        <w:rPr>
          <w:rFonts w:ascii="Arial" w:cs="Arial" w:eastAsia="Arial" w:hAnsi="Arial"/>
          <w:b/>
          <w:bCs/>
          <w:color w:val="1d4ed8"/>
          <w:sz w:val="26"/>
          <w:szCs w:val="26"/>
        </w:rPr>
        <w:t xml:space="preserve">7.8 Real-time vs. batch metrics</w:t>
      </w:r>
    </w:p>
    <w:p>
      <w:pPr>
        <w:spacing w:after="100" w:before="0" w:line="280"/>
      </w:pPr>
      <w:r>
        <w:rPr>
          <w:rFonts w:ascii="Arial" w:cs="Arial" w:eastAsia="Arial" w:hAnsi="Arial"/>
          <w:sz w:val="22"/>
          <w:szCs w:val="22"/>
        </w:rPr>
        <w:t xml:space="preserve">KPIs and team workload metrics in the prototype are static mock data. Production decisions:</w:t>
      </w:r>
    </w:p>
    <w:p>
      <w:pPr>
        <w:pStyle w:val="ListParagraph"/>
        <w:numPr>
          <w:ilvl w:val="0"/>
          <w:numId w:val="2"/>
        </w:numPr>
        <w:spacing w:after="60" w:before="0" w:line="280"/>
      </w:pPr>
      <w:r>
        <w:rPr>
          <w:rFonts w:ascii="Arial" w:cs="Arial" w:eastAsia="Arial" w:hAnsi="Arial"/>
          <w:sz w:val="22"/>
          <w:szCs w:val="22"/>
        </w:rPr>
        <w:t xml:space="preserve">Customer-wide KPIs: probably batch-computed nightly. Acceptable lag for recovery-dollars MTD and similar.</w:t>
      </w:r>
    </w:p>
    <w:p>
      <w:pPr>
        <w:pStyle w:val="ListParagraph"/>
        <w:numPr>
          <w:ilvl w:val="0"/>
          <w:numId w:val="2"/>
        </w:numPr>
        <w:spacing w:after="60" w:before="0" w:line="280"/>
      </w:pPr>
      <w:r>
        <w:rPr>
          <w:rFonts w:ascii="Arial" w:cs="Arial" w:eastAsia="Arial" w:hAnsi="Arial"/>
          <w:sz w:val="22"/>
          <w:szCs w:val="22"/>
        </w:rPr>
        <w:t xml:space="preserve">Team workload: probably near-real-time (every 5–10 minutes). Supervisor needs this fresh to make assignment decisions.</w:t>
      </w:r>
    </w:p>
    <w:p>
      <w:pPr>
        <w:pStyle w:val="ListParagraph"/>
        <w:numPr>
          <w:ilvl w:val="0"/>
          <w:numId w:val="2"/>
        </w:numPr>
        <w:spacing w:after="60" w:before="0" w:line="280"/>
      </w:pPr>
      <w:r>
        <w:rPr>
          <w:rFonts w:ascii="Arial" w:cs="Arial" w:eastAsia="Arial" w:hAnsi="Arial"/>
          <w:sz w:val="22"/>
          <w:szCs w:val="22"/>
        </w:rPr>
        <w:t xml:space="preserve">Approval queue: must be real-time. Items appear immediately when an analyst initiates.</w:t>
      </w:r>
    </w:p>
    <w:p>
      <w:pPr>
        <w:pStyle w:val="ListParagraph"/>
        <w:numPr>
          <w:ilvl w:val="0"/>
          <w:numId w:val="2"/>
        </w:numPr>
        <w:spacing w:after="60" w:before="0" w:line="280"/>
      </w:pPr>
      <w:r>
        <w:rPr>
          <w:rFonts w:ascii="Arial" w:cs="Arial" w:eastAsia="Arial" w:hAnsi="Arial"/>
          <w:sz w:val="22"/>
          <w:szCs w:val="22"/>
        </w:rPr>
        <w:t xml:space="preserve">Level health signals: batch-computed daily. Override rate, QC concern rate, utilization don't move minute-to-minute.</w:t>
      </w:r>
    </w:p>
    <w:p>
      <w:pPr>
        <w:pStyle w:val="Heading2"/>
        <w:spacing w:after="100" w:before="240"/>
      </w:pPr>
      <w:r>
        <w:rPr>
          <w:rFonts w:ascii="Arial" w:cs="Arial" w:eastAsia="Arial" w:hAnsi="Arial"/>
          <w:b/>
          <w:bCs/>
          <w:color w:val="1d4ed8"/>
          <w:sz w:val="26"/>
          <w:szCs w:val="26"/>
        </w:rPr>
        <w:t xml:space="preserve">7.9 Integration management UX (Phase 2)</w:t>
      </w:r>
    </w:p>
    <w:p>
      <w:pPr>
        <w:spacing w:after="100" w:before="0" w:line="280"/>
      </w:pPr>
      <w:r>
        <w:rPr>
          <w:rFonts w:ascii="Arial" w:cs="Arial" w:eastAsia="Arial" w:hAnsi="Arial"/>
          <w:sz w:val="22"/>
          <w:szCs w:val="22"/>
        </w:rPr>
        <w:t xml:space="preserve">Today's Integrations tab is read-only with stubbed actions. Phase 2 work:</w:t>
      </w:r>
    </w:p>
    <w:p>
      <w:pPr>
        <w:pStyle w:val="ListParagraph"/>
        <w:numPr>
          <w:ilvl w:val="0"/>
          <w:numId w:val="2"/>
        </w:numPr>
        <w:spacing w:after="60" w:before="0" w:line="280"/>
      </w:pPr>
      <w:r>
        <w:rPr>
          <w:rFonts w:ascii="Arial" w:cs="Arial" w:eastAsia="Arial" w:hAnsi="Arial"/>
          <w:sz w:val="22"/>
          <w:szCs w:val="22"/>
        </w:rPr>
        <w:t xml:space="preserve">Real configuration UI for SFTP, API, X12 endpoints. Secrets handled via KMS-backed credential storage.</w:t>
      </w:r>
    </w:p>
    <w:p>
      <w:pPr>
        <w:pStyle w:val="ListParagraph"/>
        <w:numPr>
          <w:ilvl w:val="0"/>
          <w:numId w:val="2"/>
        </w:numPr>
        <w:spacing w:after="60" w:before="0" w:line="280"/>
      </w:pPr>
      <w:r>
        <w:rPr>
          <w:rFonts w:ascii="Arial" w:cs="Arial" w:eastAsia="Arial" w:hAnsi="Arial"/>
          <w:sz w:val="22"/>
          <w:szCs w:val="22"/>
        </w:rPr>
        <w:t xml:space="preserve">Test-connection flows with structured error messages.</w:t>
      </w:r>
    </w:p>
    <w:p>
      <w:pPr>
        <w:pStyle w:val="ListParagraph"/>
        <w:numPr>
          <w:ilvl w:val="0"/>
          <w:numId w:val="2"/>
        </w:numPr>
        <w:spacing w:after="60" w:before="0" w:line="280"/>
      </w:pPr>
      <w:r>
        <w:rPr>
          <w:rFonts w:ascii="Arial" w:cs="Arial" w:eastAsia="Arial" w:hAnsi="Arial"/>
          <w:sz w:val="22"/>
          <w:szCs w:val="22"/>
        </w:rPr>
        <w:t xml:space="preserve">Sync log viewer with filter by integration, date, and outcome.</w:t>
      </w:r>
    </w:p>
    <w:p>
      <w:pPr>
        <w:pStyle w:val="ListParagraph"/>
        <w:numPr>
          <w:ilvl w:val="0"/>
          <w:numId w:val="2"/>
        </w:numPr>
        <w:spacing w:after="60" w:before="0" w:line="280"/>
      </w:pPr>
      <w:r>
        <w:rPr>
          <w:rFonts w:ascii="Arial" w:cs="Arial" w:eastAsia="Arial" w:hAnsi="Arial"/>
          <w:sz w:val="22"/>
          <w:szCs w:val="22"/>
        </w:rPr>
        <w:t xml:space="preserve">Scheduling for periodic syncs.</w:t>
      </w:r>
    </w:p>
    <w:p>
      <w:pPr>
        <w:pStyle w:val="ListParagraph"/>
        <w:numPr>
          <w:ilvl w:val="0"/>
          <w:numId w:val="2"/>
        </w:numPr>
        <w:spacing w:after="60" w:before="0" w:line="280"/>
      </w:pPr>
      <w:r>
        <w:rPr>
          <w:rFonts w:ascii="Arial" w:cs="Arial" w:eastAsia="Arial" w:hAnsi="Arial"/>
          <w:sz w:val="22"/>
          <w:szCs w:val="22"/>
        </w:rPr>
        <w:t xml:space="preserve">Credential rotation workflows with overlap windows.</w:t>
      </w:r>
    </w:p>
    <w:p>
      <w:pPr>
        <w:pStyle w:val="Heading2"/>
        <w:spacing w:after="100" w:before="240"/>
      </w:pPr>
      <w:r>
        <w:rPr>
          <w:rFonts w:ascii="Arial" w:cs="Arial" w:eastAsia="Arial" w:hAnsi="Arial"/>
          <w:b/>
          <w:bCs/>
          <w:color w:val="1d4ed8"/>
          <w:sz w:val="26"/>
          <w:szCs w:val="26"/>
        </w:rPr>
        <w:t xml:space="preserve">7.10 User provisioning</w:t>
      </w:r>
    </w:p>
    <w:p>
      <w:pPr>
        <w:spacing w:after="100" w:before="0" w:line="280"/>
      </w:pPr>
      <w:r>
        <w:rPr>
          <w:rFonts w:ascii="Arial" w:cs="Arial" w:eastAsia="Arial" w:hAnsi="Arial"/>
          <w:sz w:val="22"/>
          <w:szCs w:val="22"/>
        </w:rPr>
        <w:t xml:space="preserve">Current Add User dialog creates users in-memory only. Production needs:</w:t>
      </w:r>
    </w:p>
    <w:p>
      <w:pPr>
        <w:pStyle w:val="ListParagraph"/>
        <w:numPr>
          <w:ilvl w:val="0"/>
          <w:numId w:val="2"/>
        </w:numPr>
        <w:spacing w:after="60" w:before="0" w:line="280"/>
      </w:pPr>
      <w:r>
        <w:rPr>
          <w:rFonts w:ascii="Arial" w:cs="Arial" w:eastAsia="Arial" w:hAnsi="Arial"/>
          <w:sz w:val="22"/>
          <w:szCs w:val="22"/>
        </w:rPr>
        <w:t xml:space="preserve">SSO-driven user creation as the primary flow. Manual add is the fallback.</w:t>
      </w:r>
    </w:p>
    <w:p>
      <w:pPr>
        <w:pStyle w:val="ListParagraph"/>
        <w:numPr>
          <w:ilvl w:val="0"/>
          <w:numId w:val="2"/>
        </w:numPr>
        <w:spacing w:after="60" w:before="0" w:line="280"/>
      </w:pPr>
      <w:r>
        <w:rPr>
          <w:rFonts w:ascii="Arial" w:cs="Arial" w:eastAsia="Arial" w:hAnsi="Arial"/>
          <w:sz w:val="22"/>
          <w:szCs w:val="22"/>
        </w:rPr>
        <w:t xml:space="preserve">SSO group sync — when a user is added to the "COB Analysts" group in the customer's IdP, they appear in COB Flow.</w:t>
      </w:r>
    </w:p>
    <w:p>
      <w:pPr>
        <w:pStyle w:val="ListParagraph"/>
        <w:numPr>
          <w:ilvl w:val="0"/>
          <w:numId w:val="2"/>
        </w:numPr>
        <w:spacing w:after="60" w:before="0" w:line="280"/>
      </w:pPr>
      <w:r>
        <w:rPr>
          <w:rFonts w:ascii="Arial" w:cs="Arial" w:eastAsia="Arial" w:hAnsi="Arial"/>
          <w:sz w:val="22"/>
          <w:szCs w:val="22"/>
        </w:rPr>
        <w:t xml:space="preserve">Deprovisioning on SSO group removal — when removed from the IdP group, automatic deactivation in COB Flow with audit log.</w:t>
      </w:r>
    </w:p>
    <w:p>
      <w:pPr>
        <w:pStyle w:val="ListParagraph"/>
        <w:numPr>
          <w:ilvl w:val="0"/>
          <w:numId w:val="2"/>
        </w:numPr>
        <w:spacing w:after="60" w:before="0" w:line="280"/>
      </w:pPr>
      <w:r>
        <w:rPr>
          <w:rFonts w:ascii="Arial" w:cs="Arial" w:eastAsia="Arial" w:hAnsi="Arial"/>
          <w:sz w:val="22"/>
          <w:szCs w:val="22"/>
        </w:rPr>
        <w:t xml:space="preserve">Role + team + level assignment at first sign-in (manager confirms; user can't log in until confirmed for supervisor-added pending users).</w:t>
      </w:r>
    </w:p>
    <w:p>
      <w:pPr>
        <w:pStyle w:val="Heading2"/>
        <w:spacing w:after="100" w:before="240"/>
      </w:pPr>
      <w:r>
        <w:rPr>
          <w:rFonts w:ascii="Arial" w:cs="Arial" w:eastAsia="Arial" w:hAnsi="Arial"/>
          <w:b/>
          <w:bCs/>
          <w:color w:val="1d4ed8"/>
          <w:sz w:val="26"/>
          <w:szCs w:val="26"/>
        </w:rPr>
        <w:t xml:space="preserve">7.11 Reporting and KPIs source-of-truth</w:t>
      </w:r>
    </w:p>
    <w:p>
      <w:pPr>
        <w:spacing w:after="100" w:before="0" w:line="280"/>
      </w:pPr>
      <w:r>
        <w:rPr>
          <w:rFonts w:ascii="Arial" w:cs="Arial" w:eastAsia="Arial" w:hAnsi="Arial"/>
          <w:sz w:val="22"/>
          <w:szCs w:val="22"/>
        </w:rPr>
        <w:t xml:space="preserve">Customer KPIs displayed in Management → Overview → KPIs are aggregates that need a defined source-of-truth. Implementation concerns:</w:t>
      </w:r>
    </w:p>
    <w:p>
      <w:pPr>
        <w:pStyle w:val="ListParagraph"/>
        <w:numPr>
          <w:ilvl w:val="0"/>
          <w:numId w:val="2"/>
        </w:numPr>
        <w:spacing w:after="60" w:before="0" w:line="280"/>
      </w:pPr>
      <w:r>
        <w:rPr>
          <w:rFonts w:ascii="Arial" w:cs="Arial" w:eastAsia="Arial" w:hAnsi="Arial"/>
          <w:sz w:val="22"/>
          <w:szCs w:val="22"/>
        </w:rPr>
        <w:t xml:space="preserve">Recovery dollars MTD/YTD: settlement amounts recorded at recovery close. Definition: settlement minus attorney pro-rata fee (net recovery).</w:t>
      </w:r>
    </w:p>
    <w:p>
      <w:pPr>
        <w:pStyle w:val="ListParagraph"/>
        <w:numPr>
          <w:ilvl w:val="0"/>
          <w:numId w:val="2"/>
        </w:numPr>
        <w:spacing w:after="60" w:before="0" w:line="280"/>
      </w:pPr>
      <w:r>
        <w:rPr>
          <w:rFonts w:ascii="Arial" w:cs="Arial" w:eastAsia="Arial" w:hAnsi="Arial"/>
          <w:sz w:val="22"/>
          <w:szCs w:val="22"/>
        </w:rPr>
        <w:t xml:space="preserve">Average days-to-recovery: from claim intake to recovery close. Excludes claims still open.</w:t>
      </w:r>
    </w:p>
    <w:p>
      <w:pPr>
        <w:pStyle w:val="ListParagraph"/>
        <w:numPr>
          <w:ilvl w:val="0"/>
          <w:numId w:val="2"/>
        </w:numPr>
        <w:spacing w:after="60" w:before="0" w:line="280"/>
      </w:pPr>
      <w:r>
        <w:rPr>
          <w:rFonts w:ascii="Arial" w:cs="Arial" w:eastAsia="Arial" w:hAnsi="Arial"/>
          <w:sz w:val="22"/>
          <w:szCs w:val="22"/>
        </w:rPr>
        <w:t xml:space="preserve">Recovery-to-paid ratio: recovery dollars / total plan-paid medical for accident-related claims. Denominator definition matters.</w:t>
      </w:r>
    </w:p>
    <w:p>
      <w:pPr>
        <w:pStyle w:val="ListParagraph"/>
        <w:numPr>
          <w:ilvl w:val="0"/>
          <w:numId w:val="2"/>
        </w:numPr>
        <w:spacing w:after="60" w:before="0" w:line="280"/>
      </w:pPr>
      <w:r>
        <w:rPr>
          <w:rFonts w:ascii="Arial" w:cs="Arial" w:eastAsia="Arial" w:hAnsi="Arial"/>
          <w:sz w:val="22"/>
          <w:szCs w:val="22"/>
        </w:rPr>
        <w:t xml:space="preserve">Override rate: supervisor or manager overrides of engine recommendations / total engine recommendations. Needs careful definition (only high-confidence determinations? exclude analyst-initiated overrides?).</w:t>
      </w:r>
    </w:p>
    <w:p>
      <w:pPr>
        <w:pStyle w:val="ListParagraph"/>
        <w:numPr>
          <w:ilvl w:val="0"/>
          <w:numId w:val="2"/>
        </w:numPr>
        <w:spacing w:after="60" w:before="0" w:line="280"/>
      </w:pPr>
      <w:r>
        <w:rPr>
          <w:rFonts w:ascii="Arial" w:cs="Arial" w:eastAsia="Arial" w:hAnsi="Arial"/>
          <w:sz w:val="22"/>
          <w:szCs w:val="22"/>
        </w:rPr>
        <w:t xml:space="preserve">Leakage estimate: claims with subrogation potential identified by triage that were closed without recovery action. Inherently estimated.</w:t>
      </w:r>
    </w:p>
    <w:p>
      <w:pPr>
        <w:pStyle w:val="Heading2"/>
        <w:spacing w:after="100" w:before="240"/>
      </w:pPr>
      <w:r>
        <w:rPr>
          <w:rFonts w:ascii="Arial" w:cs="Arial" w:eastAsia="Arial" w:hAnsi="Arial"/>
          <w:b/>
          <w:bCs/>
          <w:color w:val="1d4ed8"/>
          <w:sz w:val="26"/>
          <w:szCs w:val="26"/>
        </w:rPr>
        <w:t xml:space="preserve">7.12 Hybrid role users (Admin + Manager)</w:t>
      </w:r>
    </w:p>
    <w:p>
      <w:pPr>
        <w:spacing w:after="100" w:before="0" w:line="280"/>
      </w:pPr>
      <w:r>
        <w:rPr>
          <w:rFonts w:ascii="Arial" w:cs="Arial" w:eastAsia="Arial" w:hAnsi="Arial"/>
          <w:sz w:val="22"/>
          <w:szCs w:val="22"/>
        </w:rPr>
        <w:t xml:space="preserve">In small customers, the same person is often Manager and Admin. Production needs:</w:t>
      </w:r>
    </w:p>
    <w:p>
      <w:pPr>
        <w:pStyle w:val="ListParagraph"/>
        <w:numPr>
          <w:ilvl w:val="0"/>
          <w:numId w:val="2"/>
        </w:numPr>
        <w:spacing w:after="60" w:before="0" w:line="280"/>
      </w:pPr>
      <w:r>
        <w:rPr>
          <w:rFonts w:ascii="Arial" w:cs="Arial" w:eastAsia="Arial" w:hAnsi="Arial"/>
          <w:sz w:val="22"/>
          <w:szCs w:val="22"/>
        </w:rPr>
        <w:t xml:space="preserve">A user can hold multiple roles. UI shows both Management and Admin in the sidebar.</w:t>
      </w:r>
    </w:p>
    <w:p>
      <w:pPr>
        <w:pStyle w:val="ListParagraph"/>
        <w:numPr>
          <w:ilvl w:val="0"/>
          <w:numId w:val="2"/>
        </w:numPr>
        <w:spacing w:after="60" w:before="0" w:line="280"/>
      </w:pPr>
      <w:r>
        <w:rPr>
          <w:rFonts w:ascii="Arial" w:cs="Arial" w:eastAsia="Arial" w:hAnsi="Arial"/>
          <w:sz w:val="22"/>
          <w:szCs w:val="22"/>
        </w:rPr>
        <w:t xml:space="preserve">Action enforcement uses the union of authorities — e.g., the user can both approve a supervisor's authority-override proposal (as Manager) AND configure SSO settings (as Admin).</w:t>
      </w:r>
    </w:p>
    <w:p>
      <w:pPr>
        <w:pStyle w:val="ListParagraph"/>
        <w:numPr>
          <w:ilvl w:val="0"/>
          <w:numId w:val="2"/>
        </w:numPr>
        <w:spacing w:after="60" w:before="0" w:line="280"/>
      </w:pPr>
      <w:r>
        <w:rPr>
          <w:rFonts w:ascii="Arial" w:cs="Arial" w:eastAsia="Arial" w:hAnsi="Arial"/>
          <w:sz w:val="22"/>
          <w:szCs w:val="22"/>
        </w:rPr>
        <w:t xml:space="preserve">Audit log records the role-context of each action ("D. Berger as Manager approved" vs. "D. Berger as Admin rotated key").</w:t>
      </w:r>
    </w:p>
    <w:p>
      <w:r>
        <w:br w:type="page"/>
      </w:r>
    </w:p>
    <w:p>
      <w:pPr>
        <w:pStyle w:val="Heading1"/>
        <w:spacing w:after="140" w:before="280"/>
      </w:pPr>
      <w:r>
        <w:rPr>
          <w:rFonts w:ascii="Arial" w:cs="Arial" w:eastAsia="Arial" w:hAnsi="Arial"/>
          <w:b/>
          <w:bCs/>
          <w:color w:val="1d4ed8"/>
          <w:sz w:val="32"/>
          <w:szCs w:val="32"/>
        </w:rPr>
        <w:t xml:space="preserve">8. Open questions</w:t>
      </w:r>
    </w:p>
    <w:p>
      <w:pPr>
        <w:spacing w:after="100" w:before="0" w:line="280"/>
      </w:pPr>
      <w:r>
        <w:rPr>
          <w:rFonts w:ascii="Arial" w:cs="Arial" w:eastAsia="Arial" w:hAnsi="Arial"/>
          <w:sz w:val="22"/>
          <w:szCs w:val="22"/>
        </w:rPr>
        <w:t xml:space="preserve">Decisions that need customer or implementation input before pilot:</w:t>
      </w:r>
    </w:p>
    <w:p>
      <w:pPr>
        <w:pStyle w:val="ListParagraph"/>
        <w:numPr>
          <w:ilvl w:val="0"/>
          <w:numId w:val="2"/>
        </w:numPr>
        <w:spacing w:after="60" w:before="0" w:line="280"/>
      </w:pPr>
      <w:r>
        <w:rPr>
          <w:rFonts w:ascii="Arial" w:cs="Arial" w:eastAsia="Arial" w:hAnsi="Arial"/>
          <w:sz w:val="22"/>
          <w:szCs w:val="22"/>
        </w:rPr>
        <w:t xml:space="preserve">Authority enforcement: which language for the enforcement layer? Decline silently and queue for approval? Display a "requires approval" message and require explicit submission? Both?</w:t>
      </w:r>
    </w:p>
    <w:p>
      <w:pPr>
        <w:pStyle w:val="ListParagraph"/>
        <w:numPr>
          <w:ilvl w:val="0"/>
          <w:numId w:val="2"/>
        </w:numPr>
        <w:spacing w:after="60" w:before="0" w:line="280"/>
      </w:pPr>
      <w:r>
        <w:rPr>
          <w:rFonts w:ascii="Arial" w:cs="Arial" w:eastAsia="Arial" w:hAnsi="Arial"/>
          <w:sz w:val="22"/>
          <w:szCs w:val="22"/>
        </w:rPr>
        <w:t xml:space="preserve">Approval routing: hard-route to the analyst's team supervisor, or allow any supervisor in the team's hierarchy to claim and approve?</w:t>
      </w:r>
    </w:p>
    <w:p>
      <w:pPr>
        <w:pStyle w:val="ListParagraph"/>
        <w:numPr>
          <w:ilvl w:val="0"/>
          <w:numId w:val="2"/>
        </w:numPr>
        <w:spacing w:after="60" w:before="0" w:line="280"/>
      </w:pPr>
      <w:r>
        <w:rPr>
          <w:rFonts w:ascii="Arial" w:cs="Arial" w:eastAsia="Arial" w:hAnsi="Arial"/>
          <w:sz w:val="22"/>
          <w:szCs w:val="22"/>
        </w:rPr>
        <w:t xml:space="preserve">File-authority lifecycle: should the system block the analyst from acting above grant ceilings (action fails) or escalate silently (grant the action and route to approval)?</w:t>
      </w:r>
    </w:p>
    <w:p>
      <w:pPr>
        <w:pStyle w:val="ListParagraph"/>
        <w:numPr>
          <w:ilvl w:val="0"/>
          <w:numId w:val="2"/>
        </w:numPr>
        <w:spacing w:after="60" w:before="0" w:line="280"/>
      </w:pPr>
      <w:r>
        <w:rPr>
          <w:rFonts w:ascii="Arial" w:cs="Arial" w:eastAsia="Arial" w:hAnsi="Arial"/>
          <w:sz w:val="22"/>
          <w:szCs w:val="22"/>
        </w:rPr>
        <w:t xml:space="preserve">Coaching notes retention: HIPAA-style 7 years, customer-configured, or until the analyst leaves?</w:t>
      </w:r>
    </w:p>
    <w:p>
      <w:pPr>
        <w:pStyle w:val="ListParagraph"/>
        <w:numPr>
          <w:ilvl w:val="0"/>
          <w:numId w:val="2"/>
        </w:numPr>
        <w:spacing w:after="60" w:before="0" w:line="280"/>
      </w:pPr>
      <w:r>
        <w:rPr>
          <w:rFonts w:ascii="Arial" w:cs="Arial" w:eastAsia="Arial" w:hAnsi="Arial"/>
          <w:sz w:val="22"/>
          <w:szCs w:val="22"/>
        </w:rPr>
        <w:t xml:space="preserve">KPI definitions: who at the customer signs off on the leakage estimate formula and the override-rate denominator? Manager? Compliance officer?</w:t>
      </w:r>
    </w:p>
    <w:p>
      <w:pPr>
        <w:pStyle w:val="ListParagraph"/>
        <w:numPr>
          <w:ilvl w:val="0"/>
          <w:numId w:val="2"/>
        </w:numPr>
        <w:spacing w:after="60" w:before="0" w:line="280"/>
      </w:pPr>
      <w:r>
        <w:rPr>
          <w:rFonts w:ascii="Arial" w:cs="Arial" w:eastAsia="Arial" w:hAnsi="Arial"/>
          <w:sz w:val="22"/>
          <w:szCs w:val="22"/>
        </w:rPr>
        <w:t xml:space="preserve">Out-of-office delegation: opt-in per supervisor ("I'm out next week, route my queue to backup") or customer-policy ("all queue items idle for 8 business hours auto-escalate")?</w:t>
      </w:r>
    </w:p>
    <w:p>
      <w:pPr>
        <w:pStyle w:val="ListParagraph"/>
        <w:numPr>
          <w:ilvl w:val="0"/>
          <w:numId w:val="2"/>
        </w:numPr>
        <w:spacing w:after="60" w:before="0" w:line="280"/>
      </w:pPr>
      <w:r>
        <w:rPr>
          <w:rFonts w:ascii="Arial" w:cs="Arial" w:eastAsia="Arial" w:hAnsi="Arial"/>
          <w:sz w:val="22"/>
          <w:szCs w:val="22"/>
        </w:rPr>
        <w:t xml:space="preserve">Multi-tenant Admin: can an Admin in vendor mode see multiple customers? If yes, single-Admin-multi-customer UI vs. switching context?</w:t>
      </w:r>
    </w:p>
    <w:p>
      <w:pPr>
        <w:pStyle w:val="Heading1"/>
        <w:spacing w:after="140" w:before="280"/>
      </w:pPr>
      <w:r>
        <w:rPr>
          <w:rFonts w:ascii="Arial" w:cs="Arial" w:eastAsia="Arial" w:hAnsi="Arial"/>
          <w:b/>
          <w:bCs/>
          <w:color w:val="1d4ed8"/>
          <w:sz w:val="32"/>
          <w:szCs w:val="32"/>
        </w:rPr>
        <w:t xml:space="preserve">9. Related project documents</w:t>
      </w:r>
    </w:p>
    <w:p>
      <w:pPr>
        <w:pStyle w:val="ListParagraph"/>
        <w:numPr>
          <w:ilvl w:val="0"/>
          <w:numId w:val="2"/>
        </w:numPr>
        <w:spacing w:after="60" w:before="0" w:line="280"/>
      </w:pPr>
      <w:r>
        <w:rPr>
          <w:rFonts w:ascii="Arial" w:cs="Arial" w:eastAsia="Arial" w:hAnsi="Arial"/>
          <w:b/>
          <w:bCs/>
          <w:sz w:val="22"/>
          <w:szCs w:val="22"/>
        </w:rPr>
        <w:t xml:space="preserve">COB_Flow_Product_Spec_v0.5.docx </w:t>
      </w:r>
      <w:r>
        <w:rPr>
          <w:rFonts w:ascii="Arial" w:cs="Arial" w:eastAsia="Arial" w:hAnsi="Arial"/>
          <w:sz w:val="22"/>
          <w:szCs w:val="22"/>
        </w:rPr>
        <w:t xml:space="preserve">(soon v0.6) — master product spec; §11.2 Authority &amp; Approval Model overlaps this document at the strategic level. This document is the technical companion.</w:t>
      </w:r>
    </w:p>
    <w:p>
      <w:pPr>
        <w:pStyle w:val="ListParagraph"/>
        <w:numPr>
          <w:ilvl w:val="0"/>
          <w:numId w:val="2"/>
        </w:numPr>
        <w:spacing w:after="60" w:before="0" w:line="280"/>
      </w:pPr>
      <w:r>
        <w:rPr>
          <w:rFonts w:ascii="Arial" w:cs="Arial" w:eastAsia="Arial" w:hAnsi="Arial"/>
          <w:b/>
          <w:bCs/>
          <w:sz w:val="22"/>
          <w:szCs w:val="22"/>
        </w:rPr>
        <w:t xml:space="preserve">COB_Flow_Onboarding_Playbook_v0.1.docx </w:t>
      </w:r>
      <w:r>
        <w:rPr>
          <w:rFonts w:ascii="Arial" w:cs="Arial" w:eastAsia="Arial" w:hAnsi="Arial"/>
          <w:sz w:val="22"/>
          <w:szCs w:val="22"/>
        </w:rPr>
        <w:t xml:space="preserve">— customer onboarding flow; Phase 2 (Technical setup) and Phase 4 (Training) reference the role model documented here.</w:t>
      </w:r>
    </w:p>
    <w:p>
      <w:pPr>
        <w:pStyle w:val="ListParagraph"/>
        <w:numPr>
          <w:ilvl w:val="0"/>
          <w:numId w:val="2"/>
        </w:numPr>
        <w:spacing w:after="60" w:before="0" w:line="280"/>
      </w:pPr>
      <w:r>
        <w:rPr>
          <w:rFonts w:ascii="Arial" w:cs="Arial" w:eastAsia="Arial" w:hAnsi="Arial"/>
          <w:b/>
          <w:bCs/>
          <w:sz w:val="22"/>
          <w:szCs w:val="22"/>
        </w:rPr>
        <w:t xml:space="preserve">COB_Flow_WI_Workflow_v1.0.docx </w:t>
      </w:r>
      <w:r>
        <w:rPr>
          <w:rFonts w:ascii="Arial" w:cs="Arial" w:eastAsia="Arial" w:hAnsi="Arial"/>
          <w:sz w:val="22"/>
          <w:szCs w:val="22"/>
        </w:rPr>
        <w:t xml:space="preserve">— canonical analyst workflow; what analysts do day-to-day under the authority architecture documented here.</w:t>
      </w:r>
    </w:p>
    <w:p>
      <w:pPr>
        <w:pStyle w:val="ListParagraph"/>
        <w:numPr>
          <w:ilvl w:val="0"/>
          <w:numId w:val="2"/>
        </w:numPr>
        <w:spacing w:after="60" w:before="0" w:line="280"/>
      </w:pPr>
      <w:r>
        <w:rPr>
          <w:rFonts w:ascii="Arial" w:cs="Arial" w:eastAsia="Arial" w:hAnsi="Arial"/>
          <w:b/>
          <w:bCs/>
          <w:sz w:val="22"/>
          <w:szCs w:val="22"/>
        </w:rPr>
        <w:t xml:space="preserve">COB_Flow_Handoff.md </w:t>
      </w:r>
      <w:r>
        <w:rPr>
          <w:rFonts w:ascii="Arial" w:cs="Arial" w:eastAsia="Arial" w:hAnsi="Arial"/>
          <w:sz w:val="22"/>
          <w:szCs w:val="22"/>
        </w:rPr>
        <w:t xml:space="preserve">— session entry-point handoff with current capabilities summary.</w:t>
      </w:r>
    </w:p>
    <w:p>
      <w:pPr>
        <w:pStyle w:val="ListParagraph"/>
        <w:numPr>
          <w:ilvl w:val="0"/>
          <w:numId w:val="2"/>
        </w:numPr>
        <w:spacing w:after="60" w:before="0" w:line="280"/>
      </w:pPr>
      <w:r>
        <w:rPr>
          <w:rFonts w:ascii="Arial" w:cs="Arial" w:eastAsia="Arial" w:hAnsi="Arial"/>
          <w:b/>
          <w:bCs/>
          <w:sz w:val="22"/>
          <w:szCs w:val="22"/>
        </w:rPr>
        <w:t xml:space="preserve">COB_Flow_MVP.html </w:t>
      </w:r>
      <w:r>
        <w:rPr>
          <w:rFonts w:ascii="Arial" w:cs="Arial" w:eastAsia="Arial" w:hAnsi="Arial"/>
          <w:sz w:val="22"/>
          <w:szCs w:val="22"/>
        </w:rPr>
        <w:t xml:space="preserve">— working prototype demonstrating every surface described in this document.</w:t>
      </w:r>
    </w:p>
    <w:p>
      <w:pPr>
        <w:pStyle w:val="ListParagraph"/>
        <w:numPr>
          <w:ilvl w:val="0"/>
          <w:numId w:val="2"/>
        </w:numPr>
        <w:spacing w:after="60" w:before="0" w:line="280"/>
      </w:pPr>
      <w:r>
        <w:rPr>
          <w:rFonts w:ascii="Arial" w:cs="Arial" w:eastAsia="Arial" w:hAnsi="Arial"/>
          <w:b/>
          <w:bCs/>
          <w:sz w:val="22"/>
          <w:szCs w:val="22"/>
        </w:rPr>
        <w:t xml:space="preserve">COB_Flow_Auto_COB_Syllabus.docx </w:t>
      </w:r>
      <w:r>
        <w:rPr>
          <w:rFonts w:ascii="Arial" w:cs="Arial" w:eastAsia="Arial" w:hAnsi="Arial"/>
          <w:sz w:val="22"/>
          <w:szCs w:val="22"/>
        </w:rPr>
        <w:t xml:space="preserve">— learner-facing curriculum; Module 11 covers the compliance and authority surfaces.</w:t>
      </w:r>
    </w:p>
    <w:p>
      <w:pPr>
        <w:pBdr>
          <w:top w:val="single" w:color="475569" w:sz="6" w:space="3"/>
        </w:pBdr>
        <w:spacing w:before="200"/>
      </w:pPr>
      <w:r>
        <w:rPr>
          <w:rFonts w:ascii="Arial" w:cs="Arial" w:eastAsia="Arial" w:hAnsi="Arial"/>
          <w:i/>
          <w:iCs/>
          <w:color w:val="475569"/>
          <w:sz w:val="18"/>
          <w:szCs w:val="18"/>
        </w:rPr>
        <w:t xml:space="preserve">End of v0.1 · This document evolves into the basis for the implementation plan and checklist when engineering work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d4ed8"/>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2026-05-18T15:11:42.100Z</dcterms:created>
  <dcterms:modified xsi:type="dcterms:W3CDTF">2026-05-18T15:11:42.101Z</dcterms:modified>
</cp:coreProperties>
</file>

<file path=docProps/custom.xml><?xml version="1.0" encoding="utf-8"?>
<Properties xmlns="http://schemas.openxmlformats.org/officeDocument/2006/custom-properties" xmlns:vt="http://schemas.openxmlformats.org/officeDocument/2006/docPropsVTypes"/>
</file>