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44"/>
          <w:szCs w:val="44"/>
        </w:rPr>
        <w:t xml:space="preserve">COB Flow</w:t>
      </w:r>
    </w:p>
    <w:p>
      <w:pPr>
        <w:spacing w:after="60"/>
        <w:jc w:val="center"/>
      </w:pPr>
      <w:r>
        <w:rPr>
          <w:b/>
          <w:bCs/>
          <w:sz w:val="30"/>
          <w:szCs w:val="30"/>
        </w:rPr>
        <w:t xml:space="preserve">Wisconsin COB Auto Claim Workflow</w:t>
      </w:r>
    </w:p>
    <w:p>
      <w:pPr>
        <w:spacing w:after="60"/>
        <w:jc w:val="center"/>
      </w:pPr>
      <w:r>
        <w:rPr>
          <w:sz w:val="22"/>
          <w:szCs w:val="22"/>
        </w:rPr>
        <w:t xml:space="preserve">Canonical analyst workflow for the Wisconsin pilot</w:t>
      </w:r>
    </w:p>
    <w:p>
      <w:pPr>
        <w:spacing w:after="480"/>
        <w:jc w:val="center"/>
      </w:pPr>
      <w:r>
        <w:rPr>
          <w:i/>
          <w:iCs/>
          <w:color w:val="666666"/>
        </w:rPr>
        <w:t xml:space="preserve">v1.0  ·  May 2026</w:t>
      </w:r>
    </w:p>
    <w:p>
      <w:pPr>
        <w:pStyle w:val="Heading1"/>
        <w:spacing w:after="180" w:before="360"/>
      </w:pPr>
      <w:r>
        <w:t xml:space="preserve">0. How to Use This Document</w:t>
      </w:r>
    </w:p>
    <w:p>
      <w:pPr>
        <w:spacing w:after="120"/>
      </w:pPr>
      <w:r>
        <w:t xml:space="preserve">This document defines the canonical end-to-end workflow that COB Flow expects a Wisconsin auto-related COB claim to follow. It serves three audiences: analysts (as process reference and training material), product / engineering (as the source-of-truth feature map), and pilot tenants (as the auditable description of what the platform does, in plain language, before they sign).</w:t>
      </w:r>
    </w:p>
    <w:p>
      <w:pPr>
        <w:spacing w:after="120"/>
      </w:pPr>
      <w:r>
        <w:t xml:space="preserve">The workflow is organized into nine phases. Each phase has a goal, inputs, activities, outputs, Wisconsin-specific legal hooks where applicable, and a clear product-status line indicating whether the phase is in MVP scope or scheduled for Phase 2 expansion. The Phase 2 phases are real workflow surface today — analysts still walk them by hand — but the MVP product does not yet surface dedicated modules for them. The reasoning is in Section 11.</w:t>
      </w:r>
    </w:p>
    <w:p>
      <w:pPr>
        <w:pStyle w:val="Heading1"/>
        <w:spacing w:after="180" w:before="360"/>
      </w:pPr>
      <w:r>
        <w:t xml:space="preserve">1. Wisconsin Legal Anchors (read first)</w:t>
      </w:r>
    </w:p>
    <w:p>
      <w:pPr>
        <w:spacing w:after="120"/>
      </w:pPr>
      <w:r>
        <w:t xml:space="preserve">Wisconsin is a tort / at-fault state, not no-fault. The recovery cycle is therefore fundamentally fault-based, not PIP-priority. Five Wisconsin-specific legal anchors govern almost every recovery decision the analyst makes and the platform supports. These are not edge cases. They are first-class product requirements.</w:t>
      </w:r>
    </w:p>
    <w:p>
      <w:pPr>
        <w:pStyle w:val="Heading2"/>
        <w:spacing w:after="120" w:before="240"/>
      </w:pPr>
      <w:r>
        <w:t xml:space="preserve">1.1 Made-whole doctrine</w:t>
      </w:r>
    </w:p>
    <w:p>
      <w:pPr>
        <w:spacing w:after="120"/>
      </w:pPr>
      <w:r>
        <w:t xml:space="preserve">Wisconsin holds that an insurer's right of subrogation is subject to the insured first being made whole for all elements of damage. The seminal case is Rimes v. State Farm Mut. Auto. Ins. Co., 106 Wis. 2d 263 (1982), reinforced by Vogt v. Schroeder, 129 Wis. 2d 3 (1986), and Petta v. ABC Ins. Co., 692 N.W.2d 639 (2005). In practical terms: a health plan cannot collect on a recovery from a tort settlement until the claimant has been compensated for all medical expenses, lost wages, pain and suffering, and other damages. The made-whole doctrine can be modified or eliminated by clear plan language — and self-funded ERISA plans may preempt the doctrine entirely under FMC Corp. v. Holliday and McKesson Corp. v. Islamic Republic of Iran-type analysis. The platform must flag every Wisconsin recovery for made-whole evaluation before any demand is sent.</w:t>
      </w:r>
    </w:p>
    <w:p>
      <w:pPr>
        <w:pStyle w:val="Heading2"/>
        <w:spacing w:after="120" w:before="240"/>
      </w:pPr>
      <w:r>
        <w:t xml:space="preserve">1.2 Comparative negligence (modified, 51% bar)</w:t>
      </w:r>
    </w:p>
    <w:p>
      <w:pPr>
        <w:spacing w:after="120"/>
      </w:pPr>
      <w:r>
        <w:t xml:space="preserve">Wis. Stat. § 895.045 establishes modified comparative negligence. A claimant's recovery is reduced by their percentage of fault and is barred entirely if the claimant is found 51% or more at fault. This affects the engine's recoverable-damages calculation directly: recoverable = total medical paid × (defendant's % fault) when claimant &lt; 51% at fault; otherwise zero. This is a calculation, not an analyst note.</w:t>
      </w:r>
    </w:p>
    <w:p>
      <w:pPr>
        <w:pStyle w:val="Heading2"/>
        <w:spacing w:after="120" w:before="240"/>
      </w:pPr>
      <w:r>
        <w:t xml:space="preserve">1.3 Common-fund doctrine</w:t>
      </w:r>
    </w:p>
    <w:p>
      <w:pPr>
        <w:spacing w:after="120"/>
      </w:pPr>
      <w:r>
        <w:t xml:space="preserve">When a claimant's attorney creates the recovery fund from which the plan is reimbursed, the plan typically bears a pro-rata share of the attorney's fees (and sometimes costs) as a matter of equity. The pro-rata share equals (plan's gross recovery / total recovery) × attorney's fee. The platform must support this calculation natively because it materially changes what the plan demands and what it accepts.</w:t>
      </w:r>
    </w:p>
    <w:p>
      <w:pPr>
        <w:pStyle w:val="Heading2"/>
        <w:spacing w:after="120" w:before="240"/>
      </w:pPr>
      <w:r>
        <w:t xml:space="preserve">1.4 Wisconsin auto policy statute — Wis. Stat. § 632.32</w:t>
      </w:r>
    </w:p>
    <w:p>
      <w:pPr>
        <w:spacing w:after="120"/>
      </w:pPr>
      <w:r>
        <w:t xml:space="preserve">Governs the form and content of motor-vehicle insurance policies issued in Wisconsin. Mandates uninsured motorist coverage and establishes the framework for underinsured motorist coverage. Medical Payments Coverage (Med-Pay) is optional, not mandatory. Reading § 632.32 is required before drafting any demand letter language targeting a Wisconsin auto carrier.</w:t>
      </w:r>
    </w:p>
    <w:p>
      <w:pPr>
        <w:pStyle w:val="Heading2"/>
        <w:spacing w:after="120" w:before="240"/>
      </w:pPr>
      <w:r>
        <w:t xml:space="preserve">1.5 Subrogation rights under insurance contracts — Wis. Stat. § 631.43</w:t>
      </w:r>
    </w:p>
    <w:p>
      <w:pPr>
        <w:spacing w:after="120"/>
      </w:pPr>
      <w:r>
        <w:t xml:space="preserve">Establishes the framework for subrogation rights under contracts of insurance in Wisconsin. Operates alongside the made-whole doctrine. Plan language drafted under this statute must be reviewed for whether it explicitly waives or modifies the made-whole rule.</w:t>
      </w:r>
    </w:p>
    <w:p>
      <w:pPr>
        <w:pStyle w:val="Heading2"/>
        <w:spacing w:after="120" w:before="240"/>
      </w:pPr>
      <w:r>
        <w:t xml:space="preserve">1.6 Regulator</w:t>
      </w:r>
    </w:p>
    <w:p>
      <w:pPr>
        <w:spacing w:after="120"/>
      </w:pPr>
      <w:r>
        <w:t xml:space="preserve">Wisconsin Office of the Commissioner of Insurance (OCI). Light-touch compared to NY DFS or CA DOI, but third-party recovery vendor activity is regulated. The Phase 0 attorney scoping call must confirm registration posture before any commercial recovery activity begins under the independent-vendor deployment mode.</w:t>
      </w:r>
    </w:p>
    <w:p>
      <w:pPr>
        <w:pStyle w:val="Heading1"/>
        <w:spacing w:after="180" w:before="360"/>
      </w:pPr>
      <w:r>
        <w:t xml:space="preserve">2. Workflow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4360"/>
        <w:gridCol w:w="1800"/>
      </w:tblGrid>
      <w:tr>
        <w:trPr>
          <w:tblHeader/>
        </w:trPr>
        <w:tc>
          <w:tcPr>
            <w:tcW w:type="dxa" w:w="8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r>
              <w:rPr>
                <w:b/>
                <w:bCs/>
                <w:sz w:val="20"/>
                <w:szCs w:val="20"/>
              </w:rPr>
              <w:t xml:space="preserve">#</w:t>
            </w:r>
          </w:p>
        </w:tc>
        <w:tc>
          <w:tcPr>
            <w:tcW w:type="dxa" w:w="24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r>
              <w:rPr>
                <w:b/>
                <w:bCs/>
                <w:sz w:val="20"/>
                <w:szCs w:val="20"/>
              </w:rPr>
              <w:t xml:space="preserve">Phase</w:t>
            </w:r>
          </w:p>
        </w:tc>
        <w:tc>
          <w:tcPr>
            <w:tcW w:type="dxa" w:w="436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r>
              <w:rPr>
                <w:b/>
                <w:bCs/>
                <w:sz w:val="20"/>
                <w:szCs w:val="20"/>
              </w:rPr>
              <w:t xml:space="preserve">One-line summary</w:t>
            </w:r>
          </w:p>
        </w:tc>
        <w:tc>
          <w:tcPr>
            <w:tcW w:type="dxa" w:w="18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r>
              <w:rPr>
                <w:b/>
                <w:bCs/>
                <w:sz w:val="20"/>
                <w:szCs w:val="20"/>
              </w:rPr>
              <w:t xml:space="preserve">Product status</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1</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Claim Intake</w:t>
            </w:r>
          </w:p>
        </w:tc>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Receive accident facts, claimant info, medical bills, attorney rep.</w:t>
            </w:r>
          </w:p>
        </w:tc>
        <w:tc>
          <w:tcPr>
            <w:tcW w:type="dxa" w:w="1800"/>
            <w:tcBorders>
              <w:top w:val="single" w:color="BFBFBF" w:sz="4"/>
              <w:left w:val="single" w:color="BFBFBF" w:sz="4"/>
              <w:bottom w:val="single" w:color="BFBFBF" w:sz="4"/>
              <w:right w:val="single" w:color="BFBFBF" w:sz="4"/>
            </w:tcBorders>
            <w:shd w:fill="C6EFCE" w:val="clear"/>
            <w:tcMar>
              <w:top w:type="dxa" w:w="80"/>
              <w:left w:type="dxa" w:w="120"/>
              <w:bottom w:type="dxa" w:w="80"/>
              <w:right w:type="dxa" w:w="120"/>
            </w:tcMar>
          </w:tcPr>
          <w:p>
            <w:r>
              <w:rPr>
                <w:b w:val="false"/>
                <w:bCs w:val="false"/>
                <w:sz w:val="20"/>
                <w:szCs w:val="20"/>
              </w:rPr>
              <w:t xml:space="preserve">MVP</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2</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Coverage Discovery</w:t>
            </w:r>
          </w:p>
        </w:tc>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Identify all coverages: health, auto liability, Med-Pay, UM/UIM, ERISA, Medicare, Medicaid, WC.</w:t>
            </w:r>
          </w:p>
        </w:tc>
        <w:tc>
          <w:tcPr>
            <w:tcW w:type="dxa" w:w="1800"/>
            <w:tcBorders>
              <w:top w:val="single" w:color="BFBFBF" w:sz="4"/>
              <w:left w:val="single" w:color="BFBFBF" w:sz="4"/>
              <w:bottom w:val="single" w:color="BFBFBF" w:sz="4"/>
              <w:right w:val="single" w:color="BFBFBF" w:sz="4"/>
            </w:tcBorders>
            <w:shd w:fill="C6EFCE" w:val="clear"/>
            <w:tcMar>
              <w:top w:type="dxa" w:w="80"/>
              <w:left w:type="dxa" w:w="120"/>
              <w:bottom w:type="dxa" w:w="80"/>
              <w:right w:type="dxa" w:w="120"/>
            </w:tcMar>
          </w:tcPr>
          <w:p>
            <w:r>
              <w:rPr>
                <w:b w:val="false"/>
                <w:bCs w:val="false"/>
                <w:sz w:val="20"/>
                <w:szCs w:val="20"/>
              </w:rPr>
              <w:t xml:space="preserve">MVP</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3</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Coverage Classification</w:t>
            </w:r>
          </w:p>
        </w:tc>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Classify each coverage; flag ERISA self-funded for preemption analysis.</w:t>
            </w:r>
          </w:p>
        </w:tc>
        <w:tc>
          <w:tcPr>
            <w:tcW w:type="dxa" w:w="1800"/>
            <w:tcBorders>
              <w:top w:val="single" w:color="BFBFBF" w:sz="4"/>
              <w:left w:val="single" w:color="BFBFBF" w:sz="4"/>
              <w:bottom w:val="single" w:color="BFBFBF" w:sz="4"/>
              <w:right w:val="single" w:color="BFBFBF" w:sz="4"/>
            </w:tcBorders>
            <w:shd w:fill="C6EFCE" w:val="clear"/>
            <w:tcMar>
              <w:top w:type="dxa" w:w="80"/>
              <w:left w:type="dxa" w:w="120"/>
              <w:bottom w:type="dxa" w:w="80"/>
              <w:right w:type="dxa" w:w="120"/>
            </w:tcMar>
          </w:tcPr>
          <w:p>
            <w:r>
              <w:rPr>
                <w:b w:val="false"/>
                <w:bCs w:val="false"/>
                <w:sz w:val="20"/>
                <w:szCs w:val="20"/>
              </w:rPr>
              <w:t xml:space="preserve">MVP</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4</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Liability &amp; Fault Investigation</w:t>
            </w:r>
          </w:p>
        </w:tc>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Establish % fault per party under comparative negligence. May run in parallel with Phases 2–3.</w:t>
            </w:r>
          </w:p>
        </w:tc>
        <w:tc>
          <w:tcPr>
            <w:tcW w:type="dxa" w:w="1800"/>
            <w:tcBorders>
              <w:top w:val="single" w:color="BFBFBF" w:sz="4"/>
              <w:left w:val="single" w:color="BFBFBF" w:sz="4"/>
              <w:bottom w:val="single" w:color="BFBFBF" w:sz="4"/>
              <w:right w:val="single" w:color="BFBFBF" w:sz="4"/>
            </w:tcBorders>
            <w:shd w:fill="FCD5B4" w:val="clear"/>
            <w:tcMar>
              <w:top w:type="dxa" w:w="80"/>
              <w:left w:type="dxa" w:w="120"/>
              <w:bottom w:type="dxa" w:w="80"/>
              <w:right w:type="dxa" w:w="120"/>
            </w:tcMar>
          </w:tcPr>
          <w:p>
            <w:r>
              <w:rPr>
                <w:b w:val="false"/>
                <w:bCs w:val="false"/>
                <w:sz w:val="20"/>
                <w:szCs w:val="20"/>
              </w:rPr>
              <w:t xml:space="preserve">Phase 2</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5</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Apply COB Rules</w:t>
            </w:r>
          </w:p>
        </w:tc>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Engine determines primary payer with citations, confidence, and rationale.</w:t>
            </w:r>
          </w:p>
        </w:tc>
        <w:tc>
          <w:tcPr>
            <w:tcW w:type="dxa" w:w="1800"/>
            <w:tcBorders>
              <w:top w:val="single" w:color="BFBFBF" w:sz="4"/>
              <w:left w:val="single" w:color="BFBFBF" w:sz="4"/>
              <w:bottom w:val="single" w:color="BFBFBF" w:sz="4"/>
              <w:right w:val="single" w:color="BFBFBF" w:sz="4"/>
            </w:tcBorders>
            <w:shd w:fill="C6EFCE" w:val="clear"/>
            <w:tcMar>
              <w:top w:type="dxa" w:w="80"/>
              <w:left w:type="dxa" w:w="120"/>
              <w:bottom w:type="dxa" w:w="80"/>
              <w:right w:type="dxa" w:w="120"/>
            </w:tcMar>
          </w:tcPr>
          <w:p>
            <w:r>
              <w:rPr>
                <w:b w:val="false"/>
                <w:bCs w:val="false"/>
                <w:sz w:val="20"/>
                <w:szCs w:val="20"/>
              </w:rPr>
              <w:t xml:space="preserve">MVP</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6</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Claim Payment Routing &amp; Demand</w:t>
            </w:r>
          </w:p>
        </w:tc>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Route to primary; generate COB questionnaire or demand letter from determination.</w:t>
            </w:r>
          </w:p>
        </w:tc>
        <w:tc>
          <w:tcPr>
            <w:tcW w:type="dxa" w:w="1800"/>
            <w:tcBorders>
              <w:top w:val="single" w:color="BFBFBF" w:sz="4"/>
              <w:left w:val="single" w:color="BFBFBF" w:sz="4"/>
              <w:bottom w:val="single" w:color="BFBFBF" w:sz="4"/>
              <w:right w:val="single" w:color="BFBFBF" w:sz="4"/>
            </w:tcBorders>
            <w:shd w:fill="C6EFCE" w:val="clear"/>
            <w:tcMar>
              <w:top w:type="dxa" w:w="80"/>
              <w:left w:type="dxa" w:w="120"/>
              <w:bottom w:type="dxa" w:w="80"/>
              <w:right w:type="dxa" w:w="120"/>
            </w:tcMar>
          </w:tcPr>
          <w:p>
            <w:r>
              <w:rPr>
                <w:b w:val="false"/>
                <w:bCs w:val="false"/>
                <w:sz w:val="20"/>
                <w:szCs w:val="20"/>
              </w:rPr>
              <w:t xml:space="preserve">MVP</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7</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Ongoing Claim Management</w:t>
            </w:r>
          </w:p>
        </w:tc>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Track duplicate payments, reserves, ongoing treatment, supplemental EOBs.</w:t>
            </w:r>
          </w:p>
        </w:tc>
        <w:tc>
          <w:tcPr>
            <w:tcW w:type="dxa" w:w="1800"/>
            <w:tcBorders>
              <w:top w:val="single" w:color="BFBFBF" w:sz="4"/>
              <w:left w:val="single" w:color="BFBFBF" w:sz="4"/>
              <w:bottom w:val="single" w:color="BFBFBF" w:sz="4"/>
              <w:right w:val="single" w:color="BFBFBF" w:sz="4"/>
            </w:tcBorders>
            <w:shd w:fill="FCD5B4" w:val="clear"/>
            <w:tcMar>
              <w:top w:type="dxa" w:w="80"/>
              <w:left w:type="dxa" w:w="120"/>
              <w:bottom w:type="dxa" w:w="80"/>
              <w:right w:type="dxa" w:w="120"/>
            </w:tcMar>
          </w:tcPr>
          <w:p>
            <w:r>
              <w:rPr>
                <w:b w:val="false"/>
                <w:bCs w:val="false"/>
                <w:sz w:val="20"/>
                <w:szCs w:val="20"/>
              </w:rPr>
              <w:t xml:space="preserve">Phase 2</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8</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Subrogation &amp; Recovery</w:t>
            </w:r>
          </w:p>
        </w:tc>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Made-whole eval, common-fund pro-rata, lien reduction, negotiation, settlement.</w:t>
            </w:r>
          </w:p>
        </w:tc>
        <w:tc>
          <w:tcPr>
            <w:tcW w:type="dxa" w:w="1800"/>
            <w:tcBorders>
              <w:top w:val="single" w:color="BFBFBF" w:sz="4"/>
              <w:left w:val="single" w:color="BFBFBF" w:sz="4"/>
              <w:bottom w:val="single" w:color="BFBFBF" w:sz="4"/>
              <w:right w:val="single" w:color="BFBFBF" w:sz="4"/>
            </w:tcBorders>
            <w:shd w:fill="FFEB9C" w:val="clear"/>
            <w:tcMar>
              <w:top w:type="dxa" w:w="80"/>
              <w:left w:type="dxa" w:w="120"/>
              <w:bottom w:type="dxa" w:w="80"/>
              <w:right w:type="dxa" w:w="120"/>
            </w:tcMar>
          </w:tcPr>
          <w:p>
            <w:r>
              <w:rPr>
                <w:b w:val="false"/>
                <w:bCs w:val="false"/>
                <w:sz w:val="20"/>
                <w:szCs w:val="20"/>
              </w:rPr>
              <w:t xml:space="preserve">MVP (partial)</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9</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Audit &amp; Closure</w:t>
            </w:r>
          </w:p>
        </w:tc>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Verify primacy, confirm no duplicates, close claim with audit-ready summary.</w:t>
            </w:r>
          </w:p>
        </w:tc>
        <w:tc>
          <w:tcPr>
            <w:tcW w:type="dxa" w:w="1800"/>
            <w:tcBorders>
              <w:top w:val="single" w:color="BFBFBF" w:sz="4"/>
              <w:left w:val="single" w:color="BFBFBF" w:sz="4"/>
              <w:bottom w:val="single" w:color="BFBFBF" w:sz="4"/>
              <w:right w:val="single" w:color="BFBFBF" w:sz="4"/>
            </w:tcBorders>
            <w:shd w:fill="FCD5B4" w:val="clear"/>
            <w:tcMar>
              <w:top w:type="dxa" w:w="80"/>
              <w:left w:type="dxa" w:w="120"/>
              <w:bottom w:type="dxa" w:w="80"/>
              <w:right w:type="dxa" w:w="120"/>
            </w:tcMar>
          </w:tcPr>
          <w:p>
            <w:r>
              <w:rPr>
                <w:b w:val="false"/>
                <w:bCs w:val="false"/>
                <w:sz w:val="20"/>
                <w:szCs w:val="20"/>
              </w:rPr>
              <w:t xml:space="preserve">Phase 2</w:t>
            </w:r>
          </w:p>
        </w:tc>
      </w:tr>
    </w:tbl>
    <w:p>
      <w:pPr>
        <w:pStyle w:val="Heading1"/>
        <w:spacing w:after="180" w:before="360"/>
      </w:pPr>
      <w:r>
        <w:t xml:space="preserve">3. Phase 1 — Claim Intake</w:t>
      </w:r>
    </w:p>
    <w:p>
      <w:pPr>
        <w:pStyle w:val="Heading2"/>
        <w:spacing w:after="120" w:before="240"/>
      </w:pPr>
      <w:r>
        <w:t xml:space="preserve">Phase 1 detail</w:t>
      </w:r>
    </w:p>
    <w:p>
      <w:pPr>
        <w:spacing w:after="120"/>
      </w:pPr>
      <w:r>
        <w:rPr>
          <w:b/>
          <w:bCs/>
        </w:rPr>
        <w:t xml:space="preserve">Goal: </w:t>
      </w:r>
      <w:r>
        <w:t xml:space="preserve">Capture the structured facts of the accident, the claimant, and the medical episode in a form the engine can reason about.</w:t>
      </w:r>
    </w:p>
    <w:p>
      <w:pPr>
        <w:spacing w:after="120"/>
      </w:pPr>
      <w:r>
        <w:rPr>
          <w:b/>
          <w:bCs/>
        </w:rPr>
        <w:t xml:space="preserve">Inputs: </w:t>
      </w:r>
      <w:r>
        <w:t xml:space="preserve">Police accident report, claimant demographic and contact info, attorney representation status, medical bills, EOBs, dates of service, accident date and state.</w:t>
      </w:r>
    </w:p>
    <w:p>
      <w:pPr>
        <w:pStyle w:val="Heading3"/>
        <w:spacing w:after="80" w:before="180"/>
      </w:pPr>
      <w:r>
        <w:t xml:space="preserve">Activities</w:t>
      </w:r>
    </w:p>
    <w:p>
      <w:pPr>
        <w:pStyle w:val="ListParagraph"/>
        <w:numPr>
          <w:ilvl w:val="0"/>
          <w:numId w:val="2"/>
        </w:numPr>
        <w:spacing w:after="60"/>
      </w:pPr>
      <w:r>
        <w:t xml:space="preserve">Verify claimant identity and date of loss against the police report and the carrier's eligibility system.</w:t>
      </w:r>
    </w:p>
    <w:p>
      <w:pPr>
        <w:pStyle w:val="ListParagraph"/>
        <w:numPr>
          <w:ilvl w:val="0"/>
          <w:numId w:val="2"/>
        </w:numPr>
        <w:spacing w:after="60"/>
      </w:pPr>
      <w:r>
        <w:t xml:space="preserve">Record all involved parties: claimant, other drivers, passengers, employer (if work-related), attorney of record.</w:t>
      </w:r>
    </w:p>
    <w:p>
      <w:pPr>
        <w:pStyle w:val="ListParagraph"/>
        <w:numPr>
          <w:ilvl w:val="0"/>
          <w:numId w:val="2"/>
        </w:numPr>
        <w:spacing w:after="60"/>
      </w:pPr>
      <w:r>
        <w:t xml:space="preserve">Capture policy numbers for every potentially involved insurance product (auto liability, auto Med-Pay, UM/UIM, health, workers' comp).</w:t>
      </w:r>
    </w:p>
    <w:p>
      <w:pPr>
        <w:pStyle w:val="ListParagraph"/>
        <w:numPr>
          <w:ilvl w:val="0"/>
          <w:numId w:val="2"/>
        </w:numPr>
        <w:spacing w:after="60"/>
      </w:pPr>
      <w:r>
        <w:t xml:space="preserve">Run Diagnosis and Trauma Code Edits on the medical bills to confirm subrogation potential — automated triage.</w:t>
      </w:r>
    </w:p>
    <w:p>
      <w:pPr>
        <w:pStyle w:val="Heading3"/>
        <w:spacing w:after="80" w:before="180"/>
      </w:pPr>
      <w:r>
        <w:t xml:space="preserve">Outputs / hand-off</w:t>
      </w:r>
    </w:p>
    <w:p>
      <w:pPr>
        <w:spacing w:after="120"/>
      </w:pPr>
      <w:r>
        <w:t xml:space="preserve">Structured Claim record in the platform with member, dates of service, billed and paid amounts, diagnosis codes, place of service, accident indicator, accident state (WI), and accident date.</w:t>
      </w:r>
    </w:p>
    <w:p>
      <w:pPr>
        <w:pStyle w:val="Heading3"/>
        <w:spacing w:after="80" w:before="180"/>
      </w:pPr>
      <w:r>
        <w:t xml:space="preserve">Wisconsin-specific hooks</w:t>
      </w:r>
    </w:p>
    <w:p>
      <w:pPr>
        <w:pStyle w:val="ListParagraph"/>
        <w:numPr>
          <w:ilvl w:val="0"/>
          <w:numId w:val="2"/>
        </w:numPr>
        <w:spacing w:after="60"/>
      </w:pPr>
      <w:r>
        <w:t xml:space="preserve">Wisconsin claims must always have accidentState = WI to engage the Wisconsin overlay rules in Phase 5 and Phase 8.</w:t>
      </w:r>
    </w:p>
    <w:p>
      <w:pPr>
        <w:pStyle w:val="ListParagraph"/>
        <w:numPr>
          <w:ilvl w:val="0"/>
          <w:numId w:val="2"/>
        </w:numPr>
        <w:spacing w:after="60"/>
      </w:pPr>
      <w:r>
        <w:t xml:space="preserve">Record the attorney of record. Made-whole doctrine analysis depends on whether the claimant has counsel and on the attorney's fee arrangement.</w:t>
      </w:r>
    </w:p>
    <w:p>
      <w:pPr>
        <w:spacing w:after="120"/>
      </w:pPr>
      <w:r>
        <w:rPr>
          <w:b/>
          <w:bCs/>
        </w:rPr>
        <w:t xml:space="preserve">Product status: </w:t>
      </w:r>
      <w:r>
        <w:rPr>
          <w:i/>
          <w:iCs/>
        </w:rPr>
        <w:t xml:space="preserve">MVP — currently supported by the Intake &amp; Triage module. ICD-based triage runs automatically.</w:t>
      </w:r>
    </w:p>
    <w:p>
      <w:pPr>
        <w:pStyle w:val="Heading1"/>
        <w:spacing w:after="180" w:before="360"/>
      </w:pPr>
      <w:r>
        <w:t xml:space="preserve">4. Phase 2 — Coverage Discovery</w:t>
      </w:r>
    </w:p>
    <w:p>
      <w:pPr>
        <w:pStyle w:val="Heading2"/>
        <w:spacing w:after="120" w:before="240"/>
      </w:pPr>
      <w:r>
        <w:t xml:space="preserve">Phase 2 detail</w:t>
      </w:r>
    </w:p>
    <w:p>
      <w:pPr>
        <w:spacing w:after="120"/>
      </w:pPr>
      <w:r>
        <w:rPr>
          <w:b/>
          <w:bCs/>
        </w:rPr>
        <w:t xml:space="preserve">Goal: </w:t>
      </w:r>
      <w:r>
        <w:t xml:space="preserve">Identify every coverage source that could potentially pay for any portion of the medical expenses arising from this accident.</w:t>
      </w:r>
    </w:p>
    <w:p>
      <w:pPr>
        <w:spacing w:after="120"/>
      </w:pPr>
      <w:r>
        <w:rPr>
          <w:b/>
          <w:bCs/>
        </w:rPr>
        <w:t xml:space="preserve">Inputs: </w:t>
      </w:r>
      <w:r>
        <w:t xml:space="preserve">Insurance cards, eligibility verification responses, employer information, COB questionnaire responses, COB Smart match files (Phase 2 integration).</w:t>
      </w:r>
    </w:p>
    <w:p>
      <w:pPr>
        <w:pStyle w:val="Heading3"/>
        <w:spacing w:after="80" w:before="180"/>
      </w:pPr>
      <w:r>
        <w:t xml:space="preserve">Activities</w:t>
      </w:r>
    </w:p>
    <w:p>
      <w:pPr>
        <w:pStyle w:val="ListParagraph"/>
        <w:numPr>
          <w:ilvl w:val="0"/>
          <w:numId w:val="2"/>
        </w:numPr>
        <w:spacing w:after="60"/>
      </w:pPr>
      <w:r>
        <w:t xml:space="preserve">Gather all potential coverage sources: health insurance (own and dependent), auto liability of every involved party, auto Med-Pay, UM/UIM, ERISA plans, Medicare, Medicaid, workers' comp, TFL, VA.</w:t>
      </w:r>
    </w:p>
    <w:p>
      <w:pPr>
        <w:pStyle w:val="ListParagraph"/>
        <w:numPr>
          <w:ilvl w:val="0"/>
          <w:numId w:val="2"/>
        </w:numPr>
        <w:spacing w:after="60"/>
      </w:pPr>
      <w:r>
        <w:t xml:space="preserve">Verify dependent and spouse coverage; capture subscriber relationship and subscriber DOB for birthday-rule evaluation.</w:t>
      </w:r>
    </w:p>
    <w:p>
      <w:pPr>
        <w:pStyle w:val="ListParagraph"/>
        <w:numPr>
          <w:ilvl w:val="0"/>
          <w:numId w:val="2"/>
        </w:numPr>
        <w:spacing w:after="60"/>
      </w:pPr>
      <w:r>
        <w:t xml:space="preserve">For health coverage, identify funding type (self-funded ERISA vs. fully insured) — this is the single most important classification for Wisconsin made-whole preemption analysis in Phase 8.</w:t>
      </w:r>
    </w:p>
    <w:p>
      <w:pPr>
        <w:pStyle w:val="ListParagraph"/>
        <w:numPr>
          <w:ilvl w:val="0"/>
          <w:numId w:val="2"/>
        </w:numPr>
        <w:spacing w:after="60"/>
      </w:pPr>
      <w:r>
        <w:t xml:space="preserve">For auto coverage, identify policy state. A Wisconsin claimant injured in Illinois changes the legal analysis materially.</w:t>
      </w:r>
    </w:p>
    <w:p>
      <w:pPr>
        <w:pStyle w:val="Heading3"/>
        <w:spacing w:after="80" w:before="180"/>
      </w:pPr>
      <w:r>
        <w:t xml:space="preserve">Outputs / hand-off</w:t>
      </w:r>
    </w:p>
    <w:p>
      <w:pPr>
        <w:spacing w:after="120"/>
      </w:pPr>
      <w:r>
        <w:t xml:space="preserve">Coverage records for every identified payer, linked to the Claim. Each Coverage carries planType, funding, basis, effective dates, and any escape/excess clauses on file.</w:t>
      </w:r>
    </w:p>
    <w:p>
      <w:pPr>
        <w:pStyle w:val="Heading3"/>
        <w:spacing w:after="80" w:before="180"/>
      </w:pPr>
      <w:r>
        <w:t xml:space="preserve">Wisconsin-specific hooks</w:t>
      </w:r>
    </w:p>
    <w:p>
      <w:pPr>
        <w:pStyle w:val="ListParagraph"/>
        <w:numPr>
          <w:ilvl w:val="0"/>
          <w:numId w:val="2"/>
        </w:numPr>
        <w:spacing w:after="60"/>
      </w:pPr>
      <w:r>
        <w:t xml:space="preserve">Confirm whether claimant has uninsured/underinsured motorist coverage under Wis. Stat. § 632.32. UM/UIM is mandatory in WI and frequently overlooked.</w:t>
      </w:r>
    </w:p>
    <w:p>
      <w:pPr>
        <w:pStyle w:val="ListParagraph"/>
        <w:numPr>
          <w:ilvl w:val="0"/>
          <w:numId w:val="2"/>
        </w:numPr>
        <w:spacing w:after="60"/>
      </w:pPr>
      <w:r>
        <w:t xml:space="preserve">Med-Pay is optional in Wisconsin. If present, capture limits — it is typically primary to health for accident-related expenses up to limits.</w:t>
      </w:r>
    </w:p>
    <w:p>
      <w:pPr>
        <w:spacing w:after="120"/>
      </w:pPr>
      <w:r>
        <w:rPr>
          <w:b/>
          <w:bCs/>
        </w:rPr>
        <w:t xml:space="preserve">Product status: </w:t>
      </w:r>
      <w:r>
        <w:rPr>
          <w:i/>
          <w:iCs/>
        </w:rPr>
        <w:t xml:space="preserve">MVP — currently supported by manual entry and CSV upload. LLM-assisted document parsing extracts candidate fields from insurance cards and plan documents; analyst confirms each before it flows into the engine.</w:t>
      </w:r>
    </w:p>
    <w:p>
      <w:pPr>
        <w:pStyle w:val="Heading1"/>
        <w:spacing w:after="180" w:before="360"/>
      </w:pPr>
      <w:r>
        <w:t xml:space="preserve">5. Phase 3 — Coverage Classification</w:t>
      </w:r>
    </w:p>
    <w:p>
      <w:pPr>
        <w:pStyle w:val="Heading2"/>
        <w:spacing w:after="120" w:before="240"/>
      </w:pPr>
      <w:r>
        <w:t xml:space="preserve">Phase 3 detail</w:t>
      </w:r>
    </w:p>
    <w:p>
      <w:pPr>
        <w:spacing w:after="120"/>
      </w:pPr>
      <w:r>
        <w:rPr>
          <w:b/>
          <w:bCs/>
        </w:rPr>
        <w:t xml:space="preserve">Goal: </w:t>
      </w:r>
      <w:r>
        <w:t xml:space="preserve">Classify each identified coverage in a way that drives correct rule selection in Phase 5.</w:t>
      </w:r>
    </w:p>
    <w:p>
      <w:pPr>
        <w:spacing w:after="120"/>
      </w:pPr>
      <w:r>
        <w:rPr>
          <w:b/>
          <w:bCs/>
        </w:rPr>
        <w:t xml:space="preserve">Inputs: </w:t>
      </w:r>
      <w:r>
        <w:t xml:space="preserve">Coverage records from Phase 2; plan documents and benefit summaries where available.</w:t>
      </w:r>
    </w:p>
    <w:p>
      <w:pPr>
        <w:pStyle w:val="Heading3"/>
        <w:spacing w:after="80" w:before="180"/>
      </w:pPr>
      <w:r>
        <w:t xml:space="preserve">Activities</w:t>
      </w:r>
    </w:p>
    <w:p>
      <w:pPr>
        <w:pStyle w:val="ListParagraph"/>
        <w:numPr>
          <w:ilvl w:val="0"/>
          <w:numId w:val="2"/>
        </w:numPr>
        <w:spacing w:after="60"/>
      </w:pPr>
      <w:r>
        <w:t xml:space="preserve">Classify each health coverage as self-funded ERISA, fully insured, Medicare, Medicaid, TRICARE/TFL, VA, Black Lung, or COBRA.</w:t>
      </w:r>
    </w:p>
    <w:p>
      <w:pPr>
        <w:pStyle w:val="ListParagraph"/>
        <w:numPr>
          <w:ilvl w:val="0"/>
          <w:numId w:val="2"/>
        </w:numPr>
        <w:spacing w:after="60"/>
      </w:pPr>
      <w:r>
        <w:t xml:space="preserve">For each ERISA self-funded plan, classify the COB provision: NAIC-standard, escape clause, excess clause, non-conforming.</w:t>
      </w:r>
    </w:p>
    <w:p>
      <w:pPr>
        <w:pStyle w:val="ListParagraph"/>
        <w:numPr>
          <w:ilvl w:val="0"/>
          <w:numId w:val="2"/>
        </w:numPr>
        <w:spacing w:after="60"/>
      </w:pPr>
      <w:r>
        <w:t xml:space="preserve">For each auto coverage, classify as PIP (not applicable in WI), Med-Pay, UM, UIM, or liability.</w:t>
      </w:r>
    </w:p>
    <w:p>
      <w:pPr>
        <w:pStyle w:val="ListParagraph"/>
        <w:numPr>
          <w:ilvl w:val="0"/>
          <w:numId w:val="2"/>
        </w:numPr>
        <w:spacing w:after="60"/>
      </w:pPr>
      <w:r>
        <w:t xml:space="preserve">Flag any coverage with an escape clause for Phase 5 preemption analysis — escape clauses are unenforceable between two ERISA plans under federal common law but enforceable against state-law fully-insured plans.</w:t>
      </w:r>
    </w:p>
    <w:p>
      <w:pPr>
        <w:pStyle w:val="Heading3"/>
        <w:spacing w:after="80" w:before="180"/>
      </w:pPr>
      <w:r>
        <w:t xml:space="preserve">Outputs / hand-off</w:t>
      </w:r>
    </w:p>
    <w:p>
      <w:pPr>
        <w:spacing w:after="120"/>
      </w:pPr>
      <w:r>
        <w:t xml:space="preserve">Each Coverage record has funding, COB provision type, and any escape/excess clause flags set. Ready for engine evaluation.</w:t>
      </w:r>
    </w:p>
    <w:p>
      <w:pPr>
        <w:pStyle w:val="Heading3"/>
        <w:spacing w:after="80" w:before="180"/>
      </w:pPr>
      <w:r>
        <w:t xml:space="preserve">Wisconsin-specific hooks</w:t>
      </w:r>
    </w:p>
    <w:p>
      <w:pPr>
        <w:pStyle w:val="ListParagraph"/>
        <w:numPr>
          <w:ilvl w:val="0"/>
          <w:numId w:val="2"/>
        </w:numPr>
        <w:spacing w:after="60"/>
      </w:pPr>
      <w:r>
        <w:t xml:space="preserve">For Wisconsin: a fully-insured plan's subrogation language is governed by Wis. Stat. § 631.43 and the made-whole doctrine. A self-funded ERISA plan's language may preempt both.</w:t>
      </w:r>
    </w:p>
    <w:p>
      <w:pPr>
        <w:spacing w:after="120"/>
      </w:pPr>
      <w:r>
        <w:rPr>
          <w:b/>
          <w:bCs/>
        </w:rPr>
        <w:t xml:space="preserve">Product status: </w:t>
      </w:r>
      <w:r>
        <w:rPr>
          <w:i/>
          <w:iCs/>
        </w:rPr>
        <w:t xml:space="preserve">MVP — supported by the COB Analyzer module's Coverage inputs. LLM-assisted plan-document review (Option B) identifies the COB section and classifies the provision type; analyst confirms.</w:t>
      </w:r>
    </w:p>
    <w:p>
      <w:pPr>
        <w:pStyle w:val="Heading1"/>
        <w:spacing w:after="180" w:before="360"/>
      </w:pPr>
      <w:r>
        <w:t xml:space="preserve">6. Phase 4 — Liability &amp; Fault Investigation</w:t>
      </w:r>
    </w:p>
    <w:p>
      <w:pPr>
        <w:pStyle w:val="Heading2"/>
        <w:spacing w:after="120" w:before="240"/>
      </w:pPr>
      <w:r>
        <w:t xml:space="preserve">Phase 4 detail</w:t>
      </w:r>
    </w:p>
    <w:p>
      <w:pPr>
        <w:spacing w:after="120"/>
      </w:pPr>
      <w:r>
        <w:rPr>
          <w:b/>
          <w:bCs/>
        </w:rPr>
        <w:t xml:space="preserve">Goal: </w:t>
      </w:r>
      <w:r>
        <w:t xml:space="preserve">Establish each party's percentage of fault under Wisconsin's modified comparative negligence rule, since recoverable damages depend on it.</w:t>
      </w:r>
    </w:p>
    <w:p>
      <w:pPr>
        <w:spacing w:after="120"/>
      </w:pPr>
      <w:r>
        <w:rPr>
          <w:b/>
          <w:bCs/>
        </w:rPr>
        <w:t xml:space="preserve">Inputs: </w:t>
      </w:r>
      <w:r>
        <w:t xml:space="preserve">Police accident report, witness statements, claimant statement, attorney correspondence, accident reconstruction (if pursued), liability determinations from the auto carriers involved.</w:t>
      </w:r>
    </w:p>
    <w:p>
      <w:pPr>
        <w:pStyle w:val="Heading3"/>
        <w:spacing w:after="80" w:before="180"/>
      </w:pPr>
      <w:r>
        <w:t xml:space="preserve">Activities</w:t>
      </w:r>
    </w:p>
    <w:p>
      <w:pPr>
        <w:pStyle w:val="ListParagraph"/>
        <w:numPr>
          <w:ilvl w:val="0"/>
          <w:numId w:val="2"/>
        </w:numPr>
        <w:spacing w:after="60"/>
      </w:pPr>
      <w:r>
        <w:t xml:space="preserve">Record each party's stipulated or assessed % fault. Common allocations: 0/100, 30/70, 50/50, 70/30, 100/0.</w:t>
      </w:r>
    </w:p>
    <w:p>
      <w:pPr>
        <w:pStyle w:val="ListParagraph"/>
        <w:numPr>
          <w:ilvl w:val="0"/>
          <w:numId w:val="2"/>
        </w:numPr>
        <w:spacing w:after="60"/>
      </w:pPr>
      <w:r>
        <w:t xml:space="preserve">Record whether liability has been formally accepted by the at-fault carrier or is still contested.</w:t>
      </w:r>
    </w:p>
    <w:p>
      <w:pPr>
        <w:pStyle w:val="ListParagraph"/>
        <w:numPr>
          <w:ilvl w:val="0"/>
          <w:numId w:val="2"/>
        </w:numPr>
        <w:spacing w:after="60"/>
      </w:pPr>
      <w:r>
        <w:t xml:space="preserve">Record litigation status: settled, in negotiation, in suit, pre-suit.</w:t>
      </w:r>
    </w:p>
    <w:p>
      <w:pPr>
        <w:pStyle w:val="ListParagraph"/>
        <w:numPr>
          <w:ilvl w:val="0"/>
          <w:numId w:val="2"/>
        </w:numPr>
        <w:spacing w:after="60"/>
      </w:pPr>
      <w:r>
        <w:t xml:space="preserve">Compute recoverable medical damages: total medical paid × (defendant's % fault). If claimant is 51% or more at fault under Wis. Stat. § 895.045, recoverable = $0 and the claim should be closed without further recovery activity.</w:t>
      </w:r>
    </w:p>
    <w:p>
      <w:pPr>
        <w:pStyle w:val="ListParagraph"/>
        <w:numPr>
          <w:ilvl w:val="0"/>
          <w:numId w:val="2"/>
        </w:numPr>
        <w:spacing w:after="60"/>
      </w:pPr>
      <w:r>
        <w:t xml:space="preserve">Document any disputes about fault allocation and the basis for resolving them.</w:t>
      </w:r>
    </w:p>
    <w:p>
      <w:pPr>
        <w:pStyle w:val="Heading3"/>
        <w:spacing w:after="80" w:before="180"/>
      </w:pPr>
      <w:r>
        <w:t xml:space="preserve">Outputs / hand-off</w:t>
      </w:r>
    </w:p>
    <w:p>
      <w:pPr>
        <w:spacing w:after="120"/>
      </w:pPr>
      <w:r>
        <w:t xml:space="preserve">Liability record attached to the Claim: party fault percentages, liability acceptance status, litigation status, computed recoverable damages.</w:t>
      </w:r>
    </w:p>
    <w:p>
      <w:pPr>
        <w:pStyle w:val="Heading3"/>
        <w:spacing w:after="80" w:before="180"/>
      </w:pPr>
      <w:r>
        <w:t xml:space="preserve">Wisconsin-specific hooks</w:t>
      </w:r>
    </w:p>
    <w:p>
      <w:pPr>
        <w:pStyle w:val="ListParagraph"/>
        <w:numPr>
          <w:ilvl w:val="0"/>
          <w:numId w:val="2"/>
        </w:numPr>
        <w:spacing w:after="60"/>
      </w:pPr>
      <w:r>
        <w:t xml:space="preserve">Wis. Stat. § 895.045 — modified comparative negligence with 51% bar. Claimant ≥51% at fault recovers nothing.</w:t>
      </w:r>
    </w:p>
    <w:p>
      <w:pPr>
        <w:pStyle w:val="ListParagraph"/>
        <w:numPr>
          <w:ilvl w:val="0"/>
          <w:numId w:val="2"/>
        </w:numPr>
        <w:spacing w:after="60"/>
      </w:pPr>
      <w:r>
        <w:t xml:space="preserve">Fault % feeds the made-whole evaluation in Phase 8: a less-than-100% recovery makes made-whole analysis essential before demanding reimbursement.</w:t>
      </w:r>
    </w:p>
    <w:p>
      <w:pPr>
        <w:spacing w:after="120"/>
      </w:pPr>
      <w:r>
        <w:rPr>
          <w:b/>
          <w:bCs/>
        </w:rPr>
        <w:t xml:space="preserve">Product status: </w:t>
      </w:r>
      <w:r>
        <w:rPr>
          <w:i/>
          <w:iCs/>
        </w:rPr>
        <w:t xml:space="preserve">PHASE 2 EXPANSION. MVP supports liability/fault as free-text analyst notes on the Claim. Dedicated module with structured inputs and recoverable-damages calculator is scheduled for Phase 2.</w:t>
      </w:r>
    </w:p>
    <w:p>
      <w:pPr>
        <w:pStyle w:val="Heading1"/>
        <w:spacing w:after="180" w:before="360"/>
      </w:pPr>
      <w:r>
        <w:t xml:space="preserve">7. Phase 5 — Apply Coordination of Benefits Rules</w:t>
      </w:r>
    </w:p>
    <w:p>
      <w:pPr>
        <w:pStyle w:val="Heading2"/>
        <w:spacing w:after="120" w:before="240"/>
      </w:pPr>
      <w:r>
        <w:t xml:space="preserve">Phase 5 detail</w:t>
      </w:r>
    </w:p>
    <w:p>
      <w:pPr>
        <w:spacing w:after="120"/>
      </w:pPr>
      <w:r>
        <w:rPr>
          <w:b/>
          <w:bCs/>
        </w:rPr>
        <w:t xml:space="preserve">Goal: </w:t>
      </w:r>
      <w:r>
        <w:t xml:space="preserve">Determine which coverage is primary, which is secondary (and tertiary where applicable), with controlling rule, citations, confidence, and rationale.</w:t>
      </w:r>
    </w:p>
    <w:p>
      <w:pPr>
        <w:spacing w:after="120"/>
      </w:pPr>
      <w:r>
        <w:rPr>
          <w:b/>
          <w:bCs/>
        </w:rPr>
        <w:t xml:space="preserve">Inputs: </w:t>
      </w:r>
      <w:r>
        <w:t xml:space="preserve">Classified coverages from Phase 3; member demographics and dependent relationships; accident facts and accident state.</w:t>
      </w:r>
    </w:p>
    <w:p>
      <w:pPr>
        <w:pStyle w:val="Heading3"/>
        <w:spacing w:after="80" w:before="180"/>
      </w:pPr>
      <w:r>
        <w:t xml:space="preserve">Activities</w:t>
      </w:r>
    </w:p>
    <w:p>
      <w:pPr>
        <w:pStyle w:val="ListParagraph"/>
        <w:numPr>
          <w:ilvl w:val="0"/>
          <w:numId w:val="2"/>
        </w:numPr>
        <w:spacing w:after="60"/>
      </w:pPr>
      <w:r>
        <w:t xml:space="preserve">Engine evaluates the ordered decision tree: Medicaid payer-of-last-resort, TFL/Medicare, no-fault PIP (not applicable to WI), MSP working-aged/disability/ESRD, employee-over-dependent, active-over-retiree/COBRA, QMCSO, birthday rule, separated-parents fallback, ERISA self-funded coordination, longer/shorter rule.</w:t>
      </w:r>
    </w:p>
    <w:p>
      <w:pPr>
        <w:pStyle w:val="ListParagraph"/>
        <w:numPr>
          <w:ilvl w:val="0"/>
          <w:numId w:val="2"/>
        </w:numPr>
        <w:spacing w:after="60"/>
      </w:pPr>
      <w:r>
        <w:t xml:space="preserve">Wisconsin overlay rules layer on top: every WI claim is annotated with made-whole, comparative negligence, common-fund, and § 632.32 references.</w:t>
      </w:r>
    </w:p>
    <w:p>
      <w:pPr>
        <w:pStyle w:val="ListParagraph"/>
        <w:numPr>
          <w:ilvl w:val="0"/>
          <w:numId w:val="2"/>
        </w:numPr>
        <w:spacing w:after="60"/>
      </w:pPr>
      <w:r>
        <w:t xml:space="preserve">Engine produces structured output: primary coverage, secondary coverage, rule fired, rule version, citations, confidence band, rationale, warnings, review-required flag, determination ID.</w:t>
      </w:r>
    </w:p>
    <w:p>
      <w:pPr>
        <w:pStyle w:val="ListParagraph"/>
        <w:numPr>
          <w:ilvl w:val="0"/>
          <w:numId w:val="2"/>
        </w:numPr>
        <w:spacing w:after="60"/>
      </w:pPr>
      <w:r>
        <w:t xml:space="preserve">Low-confidence and high-dollar determinations route to a review queue; analyst signs off before any downstream action.</w:t>
      </w:r>
    </w:p>
    <w:p>
      <w:pPr>
        <w:pStyle w:val="Heading3"/>
        <w:spacing w:after="80" w:before="180"/>
      </w:pPr>
      <w:r>
        <w:t xml:space="preserve">Outputs / hand-off</w:t>
      </w:r>
    </w:p>
    <w:p>
      <w:pPr>
        <w:spacing w:after="120"/>
      </w:pPr>
      <w:r>
        <w:t xml:space="preserve">CobDetermination record persisted to the claim; visible in the UI with full citations and rationale; ready for analyst confirmation.</w:t>
      </w:r>
    </w:p>
    <w:p>
      <w:pPr>
        <w:pStyle w:val="Heading3"/>
        <w:spacing w:after="80" w:before="180"/>
      </w:pPr>
      <w:r>
        <w:t xml:space="preserve">Wisconsin-specific hooks</w:t>
      </w:r>
    </w:p>
    <w:p>
      <w:pPr>
        <w:pStyle w:val="ListParagraph"/>
        <w:numPr>
          <w:ilvl w:val="0"/>
          <w:numId w:val="2"/>
        </w:numPr>
        <w:spacing w:after="60"/>
      </w:pPr>
      <w:r>
        <w:t xml:space="preserve">Wisconsin overlay never fires the mandatory no-fault PIP rule — WI is at-fault, not no-fault.</w:t>
      </w:r>
    </w:p>
    <w:p>
      <w:pPr>
        <w:pStyle w:val="ListParagraph"/>
        <w:numPr>
          <w:ilvl w:val="0"/>
          <w:numId w:val="2"/>
        </w:numPr>
        <w:spacing w:after="60"/>
      </w:pPr>
      <w:r>
        <w:t xml:space="preserve">Every WI determination carries an automatic warning recommending made-whole evaluation before any recovery action proceeds in Phase 8.</w:t>
      </w:r>
    </w:p>
    <w:p>
      <w:pPr>
        <w:spacing w:after="120"/>
      </w:pPr>
      <w:r>
        <w:rPr>
          <w:b/>
          <w:bCs/>
        </w:rPr>
        <w:t xml:space="preserve">Product status: </w:t>
      </w:r>
      <w:r>
        <w:rPr>
          <w:i/>
          <w:iCs/>
        </w:rPr>
        <w:t xml:space="preserve">MVP — COB Analyzer module, engine v0.2 with Wisconsin overlay shipping in v0.3.</w:t>
      </w:r>
    </w:p>
    <w:p>
      <w:pPr>
        <w:pStyle w:val="Heading1"/>
        <w:spacing w:after="180" w:before="360"/>
      </w:pPr>
      <w:r>
        <w:t xml:space="preserve">8. Phase 6 — Claim Payment Routing &amp; Demand</w:t>
      </w:r>
    </w:p>
    <w:p>
      <w:pPr>
        <w:pStyle w:val="Heading2"/>
        <w:spacing w:after="120" w:before="240"/>
      </w:pPr>
      <w:r>
        <w:t xml:space="preserve">Phase 6 detail</w:t>
      </w:r>
    </w:p>
    <w:p>
      <w:pPr>
        <w:spacing w:after="120"/>
      </w:pPr>
      <w:r>
        <w:rPr>
          <w:b/>
          <w:bCs/>
        </w:rPr>
        <w:t xml:space="preserve">Goal: </w:t>
      </w:r>
      <w:r>
        <w:t xml:space="preserve">Get the claim to the right payer in the right order, and generate the correspondence that does it.</w:t>
      </w:r>
    </w:p>
    <w:p>
      <w:pPr>
        <w:spacing w:after="120"/>
      </w:pPr>
      <w:r>
        <w:rPr>
          <w:b/>
          <w:bCs/>
        </w:rPr>
        <w:t xml:space="preserve">Inputs: </w:t>
      </w:r>
      <w:r>
        <w:t xml:space="preserve">CobDetermination from Phase 5; Liability record from Phase 4; tenant branding and contact info.</w:t>
      </w:r>
    </w:p>
    <w:p>
      <w:pPr>
        <w:pStyle w:val="Heading3"/>
        <w:spacing w:after="80" w:before="180"/>
      </w:pPr>
      <w:r>
        <w:t xml:space="preserve">Activities</w:t>
      </w:r>
    </w:p>
    <w:p>
      <w:pPr>
        <w:pStyle w:val="ListParagraph"/>
        <w:numPr>
          <w:ilvl w:val="0"/>
          <w:numId w:val="2"/>
        </w:numPr>
        <w:spacing w:after="60"/>
      </w:pPr>
      <w:r>
        <w:t xml:space="preserve">Route the claim to the primary payer per the determination.</w:t>
      </w:r>
    </w:p>
    <w:p>
      <w:pPr>
        <w:pStyle w:val="ListParagraph"/>
        <w:numPr>
          <w:ilvl w:val="0"/>
          <w:numId w:val="2"/>
        </w:numPr>
        <w:spacing w:after="60"/>
      </w:pPr>
      <w:r>
        <w:t xml:space="preserve">If reimbursement is owed by an auto carrier, generate a demand letter from the template, populated with member, dates of loss, paid amounts, controlling rule, citations, and the Wisconsin made-whole / common-fund disclaimers where applicable.</w:t>
      </w:r>
    </w:p>
    <w:p>
      <w:pPr>
        <w:pStyle w:val="ListParagraph"/>
        <w:numPr>
          <w:ilvl w:val="0"/>
          <w:numId w:val="2"/>
        </w:numPr>
        <w:spacing w:after="60"/>
      </w:pPr>
      <w:r>
        <w:t xml:space="preserve">If the COB question is unresolved, generate a COB questionnaire to the member.</w:t>
      </w:r>
    </w:p>
    <w:p>
      <w:pPr>
        <w:pStyle w:val="ListParagraph"/>
        <w:numPr>
          <w:ilvl w:val="0"/>
          <w:numId w:val="2"/>
        </w:numPr>
        <w:spacing w:after="60"/>
      </w:pPr>
      <w:r>
        <w:t xml:space="preserve">Handle EOB adjustments and rebilling where the determination changes the order of payment.</w:t>
      </w:r>
    </w:p>
    <w:p>
      <w:pPr>
        <w:pStyle w:val="Heading3"/>
        <w:spacing w:after="80" w:before="180"/>
      </w:pPr>
      <w:r>
        <w:t xml:space="preserve">Outputs / hand-off</w:t>
      </w:r>
    </w:p>
    <w:p>
      <w:pPr>
        <w:spacing w:after="120"/>
      </w:pPr>
      <w:r>
        <w:t xml:space="preserve">Generated correspondence (DOCX/PDF), stored to object storage, ready to send. Full audit trail including determination ID and analyst sign-off.</w:t>
      </w:r>
    </w:p>
    <w:p>
      <w:pPr>
        <w:pStyle w:val="Heading3"/>
        <w:spacing w:after="80" w:before="180"/>
      </w:pPr>
      <w:r>
        <w:t xml:space="preserve">Wisconsin-specific hooks</w:t>
      </w:r>
    </w:p>
    <w:p>
      <w:pPr>
        <w:pStyle w:val="ListParagraph"/>
        <w:numPr>
          <w:ilvl w:val="0"/>
          <w:numId w:val="2"/>
        </w:numPr>
        <w:spacing w:after="60"/>
      </w:pPr>
      <w:r>
        <w:t xml:space="preserve">Wisconsin demand letters must include disclaimers acknowledging the made-whole doctrine where applicable, language consistent with Wis. Stat. § 631.43, and citations to controlling Wisconsin case law (Rimes, Vogt, Petta).</w:t>
      </w:r>
    </w:p>
    <w:p>
      <w:pPr>
        <w:spacing w:after="120"/>
      </w:pPr>
      <w:r>
        <w:rPr>
          <w:b/>
          <w:bCs/>
        </w:rPr>
        <w:t xml:space="preserve">Product status: </w:t>
      </w:r>
      <w:r>
        <w:rPr>
          <w:i/>
          <w:iCs/>
        </w:rPr>
        <w:t xml:space="preserve">MVP — Documents module generates the demand letter from the determination. Wisconsin-specific template variant ships in v0.3.</w:t>
      </w:r>
    </w:p>
    <w:p>
      <w:pPr>
        <w:pStyle w:val="Heading1"/>
        <w:spacing w:after="180" w:before="360"/>
      </w:pPr>
      <w:r>
        <w:t xml:space="preserve">9. Phase 7 — Ongoing Claim Management</w:t>
      </w:r>
    </w:p>
    <w:p>
      <w:pPr>
        <w:pStyle w:val="Heading2"/>
        <w:spacing w:after="120" w:before="240"/>
      </w:pPr>
      <w:r>
        <w:t xml:space="preserve">Phase 7 detail</w:t>
      </w:r>
    </w:p>
    <w:p>
      <w:pPr>
        <w:spacing w:after="120"/>
      </w:pPr>
      <w:r>
        <w:rPr>
          <w:b/>
          <w:bCs/>
        </w:rPr>
        <w:t xml:space="preserve">Goal: </w:t>
      </w:r>
      <w:r>
        <w:t xml:space="preserve">Monitor the claim over time: supplemental treatment, additional EOBs, duplicate payments, reserve adjustments, partial settlements.</w:t>
      </w:r>
    </w:p>
    <w:p>
      <w:pPr>
        <w:spacing w:after="120"/>
      </w:pPr>
      <w:r>
        <w:rPr>
          <w:b/>
          <w:bCs/>
        </w:rPr>
        <w:t xml:space="preserve">Inputs: </w:t>
      </w:r>
      <w:r>
        <w:t xml:space="preserve">Supplemental EOBs, follow-up medical bills, periodic remittance from the primary payer, settlement communications from the auto carrier or attorney.</w:t>
      </w:r>
    </w:p>
    <w:p>
      <w:pPr>
        <w:pStyle w:val="Heading3"/>
        <w:spacing w:after="80" w:before="180"/>
      </w:pPr>
      <w:r>
        <w:t xml:space="preserve">Activities</w:t>
      </w:r>
    </w:p>
    <w:p>
      <w:pPr>
        <w:pStyle w:val="ListParagraph"/>
        <w:numPr>
          <w:ilvl w:val="0"/>
          <w:numId w:val="2"/>
        </w:numPr>
        <w:spacing w:after="60"/>
      </w:pPr>
      <w:r>
        <w:t xml:space="preserve">Add new dates of service to the claim as supplemental treatment occurs; re-run triage and re-evaluate primacy if the picture changes.</w:t>
      </w:r>
    </w:p>
    <w:p>
      <w:pPr>
        <w:pStyle w:val="ListParagraph"/>
        <w:numPr>
          <w:ilvl w:val="0"/>
          <w:numId w:val="2"/>
        </w:numPr>
        <w:spacing w:after="60"/>
      </w:pPr>
      <w:r>
        <w:t xml:space="preserve">Detect duplicate payments — same date of service paid by more than one carrier — and trigger refund workflow.</w:t>
      </w:r>
    </w:p>
    <w:p>
      <w:pPr>
        <w:pStyle w:val="ListParagraph"/>
        <w:numPr>
          <w:ilvl w:val="0"/>
          <w:numId w:val="2"/>
        </w:numPr>
        <w:spacing w:after="60"/>
      </w:pPr>
      <w:r>
        <w:t xml:space="preserve">Maintain reserves: dollar amount expected to be recovered; adjust as new information arrives.</w:t>
      </w:r>
    </w:p>
    <w:p>
      <w:pPr>
        <w:pStyle w:val="ListParagraph"/>
        <w:numPr>
          <w:ilvl w:val="0"/>
          <w:numId w:val="2"/>
        </w:numPr>
        <w:spacing w:after="60"/>
      </w:pPr>
      <w:r>
        <w:t xml:space="preserve">Track settlement signals: claimant attorney communications, mediation dates, court dates if in suit.</w:t>
      </w:r>
    </w:p>
    <w:p>
      <w:pPr>
        <w:pStyle w:val="Heading3"/>
        <w:spacing w:after="80" w:before="180"/>
      </w:pPr>
      <w:r>
        <w:t xml:space="preserve">Outputs / hand-off</w:t>
      </w:r>
    </w:p>
    <w:p>
      <w:pPr>
        <w:spacing w:after="120"/>
      </w:pPr>
      <w:r>
        <w:t xml:space="preserve">Updated Claim, Recovery, and reserve records. Duplicate-payment alerts where detected. Settlement-readiness flag for Phase 8.</w:t>
      </w:r>
    </w:p>
    <w:p>
      <w:pPr>
        <w:pStyle w:val="Heading3"/>
        <w:spacing w:after="80" w:before="180"/>
      </w:pPr>
      <w:r>
        <w:t xml:space="preserve">Wisconsin-specific hooks</w:t>
      </w:r>
    </w:p>
    <w:p>
      <w:pPr>
        <w:pStyle w:val="ListParagraph"/>
        <w:numPr>
          <w:ilvl w:val="0"/>
          <w:numId w:val="2"/>
        </w:numPr>
        <w:spacing w:after="60"/>
      </w:pPr>
      <w:r>
        <w:t xml:space="preserve">Watch for Wisconsin settlements that explicitly do not address medical reimbursement — these can trigger common-fund analysis when the plan tries to recover later.</w:t>
      </w:r>
    </w:p>
    <w:p>
      <w:pPr>
        <w:spacing w:after="120"/>
      </w:pPr>
      <w:r>
        <w:rPr>
          <w:b/>
          <w:bCs/>
        </w:rPr>
        <w:t xml:space="preserve">Product status: </w:t>
      </w:r>
      <w:r>
        <w:rPr>
          <w:i/>
          <w:iCs/>
        </w:rPr>
        <w:t xml:space="preserve">PHASE 2 EXPANSION. MVP supports new dates of service via re-upload but no dedicated reserves, duplicate-payment detection, or supplemental-treatment monitoring module.</w:t>
      </w:r>
    </w:p>
    <w:p>
      <w:pPr>
        <w:pStyle w:val="Heading1"/>
        <w:spacing w:after="180" w:before="360"/>
      </w:pPr>
      <w:r>
        <w:t xml:space="preserve">10. Phase 8 — Subrogation &amp; Recovery</w:t>
      </w:r>
    </w:p>
    <w:p>
      <w:pPr>
        <w:pStyle w:val="Heading2"/>
        <w:spacing w:after="120" w:before="240"/>
      </w:pPr>
      <w:r>
        <w:t xml:space="preserve">Phase 8 detail</w:t>
      </w:r>
    </w:p>
    <w:p>
      <w:pPr>
        <w:spacing w:after="120"/>
      </w:pPr>
      <w:r>
        <w:rPr>
          <w:b/>
          <w:bCs/>
        </w:rPr>
        <w:t xml:space="preserve">Goal: </w:t>
      </w:r>
      <w:r>
        <w:t xml:space="preserve">Convert identified recovery opportunities into dollars, subject to Wisconsin's made-whole, comparative-negligence, and common-fund constraints.</w:t>
      </w:r>
    </w:p>
    <w:p>
      <w:pPr>
        <w:spacing w:after="120"/>
      </w:pPr>
      <w:r>
        <w:rPr>
          <w:b/>
          <w:bCs/>
        </w:rPr>
        <w:t xml:space="preserve">Inputs: </w:t>
      </w:r>
      <w:r>
        <w:t xml:space="preserve">CobDetermination, Liability record (fault %), settlement amount or projected settlement, attorney fee arrangement (if any), claimant's other damages estimate (made-whole input).</w:t>
      </w:r>
    </w:p>
    <w:p>
      <w:pPr>
        <w:pStyle w:val="Heading3"/>
        <w:spacing w:after="80" w:before="180"/>
      </w:pPr>
      <w:r>
        <w:t xml:space="preserve">Activities</w:t>
      </w:r>
    </w:p>
    <w:p>
      <w:pPr>
        <w:pStyle w:val="ListParagraph"/>
        <w:numPr>
          <w:ilvl w:val="0"/>
          <w:numId w:val="2"/>
        </w:numPr>
        <w:spacing w:after="60"/>
      </w:pPr>
      <w:r>
        <w:t xml:space="preserve">Run made-whole evaluation: is the claimant fully compensated for medical, lost wages, pain and suffering, and other damages from this recovery? If not, flag the recovery for made-whole-constrained negotiation or document the plan-language preemption argument.</w:t>
      </w:r>
    </w:p>
    <w:p>
      <w:pPr>
        <w:pStyle w:val="ListParagraph"/>
        <w:numPr>
          <w:ilvl w:val="0"/>
          <w:numId w:val="2"/>
        </w:numPr>
        <w:spacing w:after="60"/>
      </w:pPr>
      <w:r>
        <w:t xml:space="preserve">Compute the gross recovery owed to the plan under the COB determination and any policy reimbursement provisions.</w:t>
      </w:r>
    </w:p>
    <w:p>
      <w:pPr>
        <w:pStyle w:val="ListParagraph"/>
        <w:numPr>
          <w:ilvl w:val="0"/>
          <w:numId w:val="2"/>
        </w:numPr>
        <w:spacing w:after="60"/>
      </w:pPr>
      <w:r>
        <w:t xml:space="preserve">Apply common-fund pro-rata: plan's share of attorney's fees = (plan's gross recovery / total recovery) × attorney's fee.</w:t>
      </w:r>
    </w:p>
    <w:p>
      <w:pPr>
        <w:pStyle w:val="ListParagraph"/>
        <w:numPr>
          <w:ilvl w:val="0"/>
          <w:numId w:val="2"/>
        </w:numPr>
        <w:spacing w:after="60"/>
      </w:pPr>
      <w:r>
        <w:t xml:space="preserve">Compute the net recovery the plan can demand: gross − common-fund share.</w:t>
      </w:r>
    </w:p>
    <w:p>
      <w:pPr>
        <w:pStyle w:val="ListParagraph"/>
        <w:numPr>
          <w:ilvl w:val="0"/>
          <w:numId w:val="2"/>
        </w:numPr>
        <w:spacing w:after="60"/>
      </w:pPr>
      <w:r>
        <w:t xml:space="preserve">Send demand or, where the matter is in suit, file a lien notice.</w:t>
      </w:r>
    </w:p>
    <w:p>
      <w:pPr>
        <w:pStyle w:val="ListParagraph"/>
        <w:numPr>
          <w:ilvl w:val="0"/>
          <w:numId w:val="2"/>
        </w:numPr>
        <w:spacing w:after="60"/>
      </w:pPr>
      <w:r>
        <w:t xml:space="preserve">Negotiate. Standard concessions in WI: further common-fund reduction in exchange for fast pay, walk-away discount for litigation avoidance.</w:t>
      </w:r>
    </w:p>
    <w:p>
      <w:pPr>
        <w:pStyle w:val="ListParagraph"/>
        <w:numPr>
          <w:ilvl w:val="0"/>
          <w:numId w:val="2"/>
        </w:numPr>
        <w:spacing w:after="60"/>
      </w:pPr>
      <w:r>
        <w:t xml:space="preserve">Document the settlement and the rationale for any reductions accepted.</w:t>
      </w:r>
    </w:p>
    <w:p>
      <w:pPr>
        <w:pStyle w:val="Heading3"/>
        <w:spacing w:after="80" w:before="180"/>
      </w:pPr>
      <w:r>
        <w:t xml:space="preserve">Outputs / hand-off</w:t>
      </w:r>
    </w:p>
    <w:p>
      <w:pPr>
        <w:spacing w:after="120"/>
      </w:pPr>
      <w:r>
        <w:t xml:space="preserve">Settled Recovery record with demand, recovered, reductions, and final rationale. Settlement documents stored. Engine learns from the negotiated outcome.</w:t>
      </w:r>
    </w:p>
    <w:p>
      <w:pPr>
        <w:pStyle w:val="Heading3"/>
        <w:spacing w:after="80" w:before="180"/>
      </w:pPr>
      <w:r>
        <w:t xml:space="preserve">Wisconsin-specific hooks</w:t>
      </w:r>
    </w:p>
    <w:p>
      <w:pPr>
        <w:pStyle w:val="ListParagraph"/>
        <w:numPr>
          <w:ilvl w:val="0"/>
          <w:numId w:val="2"/>
        </w:numPr>
        <w:spacing w:after="60"/>
      </w:pPr>
      <w:r>
        <w:t xml:space="preserve">Made-whole doctrine — Rimes, Vogt, Petta — applies unless preempted by clear self-funded ERISA plan language.</w:t>
      </w:r>
    </w:p>
    <w:p>
      <w:pPr>
        <w:pStyle w:val="ListParagraph"/>
        <w:numPr>
          <w:ilvl w:val="0"/>
          <w:numId w:val="2"/>
        </w:numPr>
        <w:spacing w:after="60"/>
      </w:pPr>
      <w:r>
        <w:t xml:space="preserve">Common-fund doctrine — pro-rata fee share is the default unless contractually waived.</w:t>
      </w:r>
    </w:p>
    <w:p>
      <w:pPr>
        <w:pStyle w:val="ListParagraph"/>
        <w:numPr>
          <w:ilvl w:val="0"/>
          <w:numId w:val="2"/>
        </w:numPr>
        <w:spacing w:after="60"/>
      </w:pPr>
      <w:r>
        <w:t xml:space="preserve">Comparative negligence — recoverable scales with defendant's % fault; barred at claimant ≥51%.</w:t>
      </w:r>
    </w:p>
    <w:p>
      <w:pPr>
        <w:spacing w:after="120"/>
      </w:pPr>
      <w:r>
        <w:rPr>
          <w:b/>
          <w:bCs/>
        </w:rPr>
        <w:t xml:space="preserve">Product status: </w:t>
      </w:r>
      <w:r>
        <w:rPr>
          <w:i/>
          <w:iCs/>
        </w:rPr>
        <w:t xml:space="preserve">MVP (partial) — Recovery Tracker supports the pipeline stages (Identified, Investigating, Demand Sent, Negotiating, Settled, Closed). Made-whole evaluation, comparative-negligence math, and common-fund calculation are MVP additions in v0.3 via the Wisconsin engine overlay. Full lien-and-negotiation workspace is Phase 2.</w:t>
      </w:r>
    </w:p>
    <w:p>
      <w:pPr>
        <w:pStyle w:val="Heading1"/>
        <w:spacing w:after="180" w:before="360"/>
      </w:pPr>
      <w:r>
        <w:t xml:space="preserve">11. Phase 9 — Audit &amp; Closure</w:t>
      </w:r>
    </w:p>
    <w:p>
      <w:pPr>
        <w:pStyle w:val="Heading2"/>
        <w:spacing w:after="120" w:before="240"/>
      </w:pPr>
      <w:r>
        <w:t xml:space="preserve">Phase 9 detail</w:t>
      </w:r>
    </w:p>
    <w:p>
      <w:pPr>
        <w:spacing w:after="120"/>
      </w:pPr>
      <w:r>
        <w:rPr>
          <w:b/>
          <w:bCs/>
        </w:rPr>
        <w:t xml:space="preserve">Goal: </w:t>
      </w:r>
      <w:r>
        <w:t xml:space="preserve">Verify the claim was handled correctly end-to-end and produce an audit-ready closure summary.</w:t>
      </w:r>
    </w:p>
    <w:p>
      <w:pPr>
        <w:spacing w:after="120"/>
      </w:pPr>
      <w:r>
        <w:rPr>
          <w:b/>
          <w:bCs/>
        </w:rPr>
        <w:t xml:space="preserve">Inputs: </w:t>
      </w:r>
      <w:r>
        <w:t xml:space="preserve">Full claim history: determinations, demands, payments received, reductions, settlement documents.</w:t>
      </w:r>
    </w:p>
    <w:p>
      <w:pPr>
        <w:pStyle w:val="Heading3"/>
        <w:spacing w:after="80" w:before="180"/>
      </w:pPr>
      <w:r>
        <w:t xml:space="preserve">Activities</w:t>
      </w:r>
    </w:p>
    <w:p>
      <w:pPr>
        <w:pStyle w:val="ListParagraph"/>
        <w:numPr>
          <w:ilvl w:val="0"/>
          <w:numId w:val="2"/>
        </w:numPr>
        <w:spacing w:after="60"/>
      </w:pPr>
      <w:r>
        <w:t xml:space="preserve">Verify the primary payer determination matches the recovery actually pursued.</w:t>
      </w:r>
    </w:p>
    <w:p>
      <w:pPr>
        <w:pStyle w:val="ListParagraph"/>
        <w:numPr>
          <w:ilvl w:val="0"/>
          <w:numId w:val="2"/>
        </w:numPr>
        <w:spacing w:after="60"/>
      </w:pPr>
      <w:r>
        <w:t xml:space="preserve">Confirm no duplicate payments persist; if any, confirm refund workflow completed.</w:t>
      </w:r>
    </w:p>
    <w:p>
      <w:pPr>
        <w:pStyle w:val="ListParagraph"/>
        <w:numPr>
          <w:ilvl w:val="0"/>
          <w:numId w:val="2"/>
        </w:numPr>
        <w:spacing w:after="60"/>
      </w:pPr>
      <w:r>
        <w:t xml:space="preserve">Confirm all liens addressed and reimbursements documented.</w:t>
      </w:r>
    </w:p>
    <w:p>
      <w:pPr>
        <w:pStyle w:val="ListParagraph"/>
        <w:numPr>
          <w:ilvl w:val="0"/>
          <w:numId w:val="2"/>
        </w:numPr>
        <w:spacing w:after="60"/>
      </w:pPr>
      <w:r>
        <w:t xml:space="preserve">Generate the closure summary: parties, dates, dollars, controlling rules, determinations, final settlement, common-fund and made-whole notes.</w:t>
      </w:r>
    </w:p>
    <w:p>
      <w:pPr>
        <w:pStyle w:val="ListParagraph"/>
        <w:numPr>
          <w:ilvl w:val="0"/>
          <w:numId w:val="2"/>
        </w:numPr>
        <w:spacing w:after="60"/>
      </w:pPr>
      <w:r>
        <w:t xml:space="preserve">Lock the claim record. Any subsequent change requires re-open with reason.</w:t>
      </w:r>
    </w:p>
    <w:p>
      <w:pPr>
        <w:pStyle w:val="Heading3"/>
        <w:spacing w:after="80" w:before="180"/>
      </w:pPr>
      <w:r>
        <w:t xml:space="preserve">Outputs / hand-off</w:t>
      </w:r>
    </w:p>
    <w:p>
      <w:pPr>
        <w:spacing w:after="120"/>
      </w:pPr>
      <w:r>
        <w:t xml:space="preserve">Locked Claim record with closure summary. Audit-ready package downloadable on demand for compliance review.</w:t>
      </w:r>
    </w:p>
    <w:p>
      <w:pPr>
        <w:pStyle w:val="Heading3"/>
        <w:spacing w:after="80" w:before="180"/>
      </w:pPr>
      <w:r>
        <w:t xml:space="preserve">Wisconsin-specific hooks</w:t>
      </w:r>
    </w:p>
    <w:p>
      <w:pPr>
        <w:pStyle w:val="ListParagraph"/>
        <w:numPr>
          <w:ilvl w:val="0"/>
          <w:numId w:val="2"/>
        </w:numPr>
        <w:spacing w:after="60"/>
      </w:pPr>
      <w:r>
        <w:t xml:space="preserve">Closure summary for a Wisconsin claim explicitly notes whether made-whole and common-fund analysis was performed and the basis for the outcome.</w:t>
      </w:r>
    </w:p>
    <w:p>
      <w:pPr>
        <w:spacing w:after="120"/>
      </w:pPr>
      <w:r>
        <w:rPr>
          <w:b/>
          <w:bCs/>
        </w:rPr>
        <w:t xml:space="preserve">Product status: </w:t>
      </w:r>
      <w:r>
        <w:rPr>
          <w:i/>
          <w:iCs/>
        </w:rPr>
        <w:t xml:space="preserve">PHASE 2 EXPANSION. MVP has the underlying audit log (every action timestamped, user-attributed, content-hashed). Dedicated closure workflow with verification checklist and audit-ready summary export ships in Phase 2.</w:t>
      </w:r>
    </w:p>
    <w:p>
      <w:pPr>
        <w:pStyle w:val="Heading1"/>
        <w:spacing w:after="180" w:before="360"/>
      </w:pPr>
      <w:r>
        <w:t xml:space="preserve">12. How the Nine Phases Map to MVP Modules</w:t>
      </w:r>
    </w:p>
    <w:p>
      <w:pPr>
        <w:spacing w:after="120"/>
      </w:pPr>
      <w:r>
        <w:t xml:space="preserve">The MVP product surfaces four modules. The nine analyst phases map onto them as follows: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60"/>
      </w:tblGrid>
      <w:tr>
        <w:trPr>
          <w:tblHeader/>
        </w:trPr>
        <w:tc>
          <w:tcPr>
            <w:tcW w:type="dxa" w:w="32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r>
              <w:rPr>
                <w:b/>
                <w:bCs/>
                <w:sz w:val="20"/>
                <w:szCs w:val="20"/>
              </w:rPr>
              <w:t xml:space="preserve">Workflow phase</w:t>
            </w:r>
          </w:p>
        </w:tc>
        <w:tc>
          <w:tcPr>
            <w:tcW w:type="dxa" w:w="32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r>
              <w:rPr>
                <w:b/>
                <w:bCs/>
                <w:sz w:val="20"/>
                <w:szCs w:val="20"/>
              </w:rPr>
              <w:t xml:space="preserve">MVP module</w:t>
            </w:r>
          </w:p>
        </w:tc>
        <w:tc>
          <w:tcPr>
            <w:tcW w:type="dxa" w:w="296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r>
              <w:rPr>
                <w:b/>
                <w:bCs/>
                <w:sz w:val="20"/>
                <w:szCs w:val="20"/>
              </w:rPr>
              <w:t xml:space="preserve">Coverage</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1 Intake</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Intake &amp; Triage</w:t>
            </w:r>
          </w:p>
        </w:tc>
        <w:tc>
          <w:tcPr>
            <w:tcW w:type="dxa" w:w="2960"/>
            <w:tcBorders>
              <w:top w:val="single" w:color="BFBFBF" w:sz="4"/>
              <w:left w:val="single" w:color="BFBFBF" w:sz="4"/>
              <w:bottom w:val="single" w:color="BFBFBF" w:sz="4"/>
              <w:right w:val="single" w:color="BFBFBF" w:sz="4"/>
            </w:tcBorders>
            <w:shd w:fill="C6EFCE" w:val="clear"/>
            <w:tcMar>
              <w:top w:type="dxa" w:w="80"/>
              <w:left w:type="dxa" w:w="120"/>
              <w:bottom w:type="dxa" w:w="80"/>
              <w:right w:type="dxa" w:w="120"/>
            </w:tcMar>
          </w:tcPr>
          <w:p>
            <w:r>
              <w:rPr>
                <w:b w:val="false"/>
                <w:bCs w:val="false"/>
                <w:sz w:val="20"/>
                <w:szCs w:val="20"/>
              </w:rPr>
              <w:t xml:space="preserve">Full</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2 Coverage Discovery</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Intake &amp; Triage + COB Analyzer</w:t>
            </w:r>
          </w:p>
        </w:tc>
        <w:tc>
          <w:tcPr>
            <w:tcW w:type="dxa" w:w="2960"/>
            <w:tcBorders>
              <w:top w:val="single" w:color="BFBFBF" w:sz="4"/>
              <w:left w:val="single" w:color="BFBFBF" w:sz="4"/>
              <w:bottom w:val="single" w:color="BFBFBF" w:sz="4"/>
              <w:right w:val="single" w:color="BFBFBF" w:sz="4"/>
            </w:tcBorders>
            <w:shd w:fill="C6EFCE" w:val="clear"/>
            <w:tcMar>
              <w:top w:type="dxa" w:w="80"/>
              <w:left w:type="dxa" w:w="120"/>
              <w:bottom w:type="dxa" w:w="80"/>
              <w:right w:type="dxa" w:w="120"/>
            </w:tcMar>
          </w:tcPr>
          <w:p>
            <w:r>
              <w:rPr>
                <w:b w:val="false"/>
                <w:bCs w:val="false"/>
                <w:sz w:val="20"/>
                <w:szCs w:val="20"/>
              </w:rPr>
              <w:t xml:space="preserve">Full (manual + LLM-assisted)</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3 Coverage Classification</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COB Analyzer</w:t>
            </w:r>
          </w:p>
        </w:tc>
        <w:tc>
          <w:tcPr>
            <w:tcW w:type="dxa" w:w="2960"/>
            <w:tcBorders>
              <w:top w:val="single" w:color="BFBFBF" w:sz="4"/>
              <w:left w:val="single" w:color="BFBFBF" w:sz="4"/>
              <w:bottom w:val="single" w:color="BFBFBF" w:sz="4"/>
              <w:right w:val="single" w:color="BFBFBF" w:sz="4"/>
            </w:tcBorders>
            <w:shd w:fill="C6EFCE" w:val="clear"/>
            <w:tcMar>
              <w:top w:type="dxa" w:w="80"/>
              <w:left w:type="dxa" w:w="120"/>
              <w:bottom w:type="dxa" w:w="80"/>
              <w:right w:type="dxa" w:w="120"/>
            </w:tcMar>
          </w:tcPr>
          <w:p>
            <w:r>
              <w:rPr>
                <w:b w:val="false"/>
                <w:bCs w:val="false"/>
                <w:sz w:val="20"/>
                <w:szCs w:val="20"/>
              </w:rPr>
              <w:t xml:space="preserve">Full</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4 Liability &amp; Fault</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No dedicated module yet</w:t>
            </w:r>
          </w:p>
        </w:tc>
        <w:tc>
          <w:tcPr>
            <w:tcW w:type="dxa" w:w="2960"/>
            <w:tcBorders>
              <w:top w:val="single" w:color="BFBFBF" w:sz="4"/>
              <w:left w:val="single" w:color="BFBFBF" w:sz="4"/>
              <w:bottom w:val="single" w:color="BFBFBF" w:sz="4"/>
              <w:right w:val="single" w:color="BFBFBF" w:sz="4"/>
            </w:tcBorders>
            <w:shd w:fill="FCD5B4" w:val="clear"/>
            <w:tcMar>
              <w:top w:type="dxa" w:w="80"/>
              <w:left w:type="dxa" w:w="120"/>
              <w:bottom w:type="dxa" w:w="80"/>
              <w:right w:type="dxa" w:w="120"/>
            </w:tcMar>
          </w:tcPr>
          <w:p>
            <w:r>
              <w:rPr>
                <w:b w:val="false"/>
                <w:bCs w:val="false"/>
                <w:sz w:val="20"/>
                <w:szCs w:val="20"/>
              </w:rPr>
              <w:t xml:space="preserve">Phase 2</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5 Apply COB Rules</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COB Analyzer (engine)</w:t>
            </w:r>
          </w:p>
        </w:tc>
        <w:tc>
          <w:tcPr>
            <w:tcW w:type="dxa" w:w="2960"/>
            <w:tcBorders>
              <w:top w:val="single" w:color="BFBFBF" w:sz="4"/>
              <w:left w:val="single" w:color="BFBFBF" w:sz="4"/>
              <w:bottom w:val="single" w:color="BFBFBF" w:sz="4"/>
              <w:right w:val="single" w:color="BFBFBF" w:sz="4"/>
            </w:tcBorders>
            <w:shd w:fill="C6EFCE" w:val="clear"/>
            <w:tcMar>
              <w:top w:type="dxa" w:w="80"/>
              <w:left w:type="dxa" w:w="120"/>
              <w:bottom w:type="dxa" w:w="80"/>
              <w:right w:type="dxa" w:w="120"/>
            </w:tcMar>
          </w:tcPr>
          <w:p>
            <w:r>
              <w:rPr>
                <w:b w:val="false"/>
                <w:bCs w:val="false"/>
                <w:sz w:val="20"/>
                <w:szCs w:val="20"/>
              </w:rPr>
              <w:t xml:space="preserve">Full + Wisconsin overlay</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6 Payment Routing &amp; Demand</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Documents + Recovery Tracker</w:t>
            </w:r>
          </w:p>
        </w:tc>
        <w:tc>
          <w:tcPr>
            <w:tcW w:type="dxa" w:w="2960"/>
            <w:tcBorders>
              <w:top w:val="single" w:color="BFBFBF" w:sz="4"/>
              <w:left w:val="single" w:color="BFBFBF" w:sz="4"/>
              <w:bottom w:val="single" w:color="BFBFBF" w:sz="4"/>
              <w:right w:val="single" w:color="BFBFBF" w:sz="4"/>
            </w:tcBorders>
            <w:shd w:fill="C6EFCE" w:val="clear"/>
            <w:tcMar>
              <w:top w:type="dxa" w:w="80"/>
              <w:left w:type="dxa" w:w="120"/>
              <w:bottom w:type="dxa" w:w="80"/>
              <w:right w:type="dxa" w:w="120"/>
            </w:tcMar>
          </w:tcPr>
          <w:p>
            <w:r>
              <w:rPr>
                <w:b w:val="false"/>
                <w:bCs w:val="false"/>
                <w:sz w:val="20"/>
                <w:szCs w:val="20"/>
              </w:rPr>
              <w:t xml:space="preserve">Full</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7 Ongoing Management</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No dedicated module yet</w:t>
            </w:r>
          </w:p>
        </w:tc>
        <w:tc>
          <w:tcPr>
            <w:tcW w:type="dxa" w:w="2960"/>
            <w:tcBorders>
              <w:top w:val="single" w:color="BFBFBF" w:sz="4"/>
              <w:left w:val="single" w:color="BFBFBF" w:sz="4"/>
              <w:bottom w:val="single" w:color="BFBFBF" w:sz="4"/>
              <w:right w:val="single" w:color="BFBFBF" w:sz="4"/>
            </w:tcBorders>
            <w:shd w:fill="FCD5B4" w:val="clear"/>
            <w:tcMar>
              <w:top w:type="dxa" w:w="80"/>
              <w:left w:type="dxa" w:w="120"/>
              <w:bottom w:type="dxa" w:w="80"/>
              <w:right w:type="dxa" w:w="120"/>
            </w:tcMar>
          </w:tcPr>
          <w:p>
            <w:r>
              <w:rPr>
                <w:b w:val="false"/>
                <w:bCs w:val="false"/>
                <w:sz w:val="20"/>
                <w:szCs w:val="20"/>
              </w:rPr>
              <w:t xml:space="preserve">Phase 2</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8 Subrogation &amp; Recovery</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Recovery Tracker + Wisconsin engine overlay</w:t>
            </w:r>
          </w:p>
        </w:tc>
        <w:tc>
          <w:tcPr>
            <w:tcW w:type="dxa" w:w="2960"/>
            <w:tcBorders>
              <w:top w:val="single" w:color="BFBFBF" w:sz="4"/>
              <w:left w:val="single" w:color="BFBFBF" w:sz="4"/>
              <w:bottom w:val="single" w:color="BFBFBF" w:sz="4"/>
              <w:right w:val="single" w:color="BFBFBF" w:sz="4"/>
            </w:tcBorders>
            <w:shd w:fill="FFEB9C" w:val="clear"/>
            <w:tcMar>
              <w:top w:type="dxa" w:w="80"/>
              <w:left w:type="dxa" w:w="120"/>
              <w:bottom w:type="dxa" w:w="80"/>
              <w:right w:type="dxa" w:w="120"/>
            </w:tcMar>
          </w:tcPr>
          <w:p>
            <w:r>
              <w:rPr>
                <w:b w:val="false"/>
                <w:bCs w:val="false"/>
                <w:sz w:val="20"/>
                <w:szCs w:val="20"/>
              </w:rPr>
              <w:t xml:space="preserve">Partial (negotiation workspace = Phase 2)</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9 Audit &amp; Closure</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Audit log exists; no closure workflow</w:t>
            </w:r>
          </w:p>
        </w:tc>
        <w:tc>
          <w:tcPr>
            <w:tcW w:type="dxa" w:w="2960"/>
            <w:tcBorders>
              <w:top w:val="single" w:color="BFBFBF" w:sz="4"/>
              <w:left w:val="single" w:color="BFBFBF" w:sz="4"/>
              <w:bottom w:val="single" w:color="BFBFBF" w:sz="4"/>
              <w:right w:val="single" w:color="BFBFBF" w:sz="4"/>
            </w:tcBorders>
            <w:shd w:fill="FCD5B4" w:val="clear"/>
            <w:tcMar>
              <w:top w:type="dxa" w:w="80"/>
              <w:left w:type="dxa" w:w="120"/>
              <w:bottom w:type="dxa" w:w="80"/>
              <w:right w:type="dxa" w:w="120"/>
            </w:tcMar>
          </w:tcPr>
          <w:p>
            <w:r>
              <w:rPr>
                <w:b w:val="false"/>
                <w:bCs w:val="false"/>
                <w:sz w:val="20"/>
                <w:szCs w:val="20"/>
              </w:rPr>
              <w:t xml:space="preserve">Phase 2</w:t>
            </w:r>
          </w:p>
        </w:tc>
      </w:tr>
    </w:tbl>
    <w:p>
      <w:pPr>
        <w:spacing w:after="120"/>
      </w:pPr>
      <w:r>
        <w:t xml:space="preserve">Phases 4, 7, and 9 are real workflow surface that analysts walk through today by hand. The MVP product supports them via free-text fields and the underlying audit log, but does not yet surface dedicated user interfaces or calculations for them. This is a deliberate scoping choice: the MVP focuses on the four phases (1, 2, 3, 5, 6, 8) where COB Flow's explainable-engine advantage is most defensible and the unit economics of building are best. Phase 2 of the product roadmap picks up the missing modules once the pilot tenant has validated the MVP and we have a real workflow-frequency signal for what they need next.</w:t>
      </w:r>
    </w:p>
    <w:p>
      <w:pPr>
        <w:pStyle w:val="Heading1"/>
        <w:spacing w:after="180" w:before="360"/>
      </w:pPr>
      <w:r>
        <w:t xml:space="preserve">13. Where Automation Helps Most</w:t>
      </w:r>
    </w:p>
    <w:p>
      <w:pPr>
        <w:pStyle w:val="ListParagraph"/>
        <w:numPr>
          <w:ilvl w:val="0"/>
          <w:numId w:val="2"/>
        </w:numPr>
        <w:spacing w:after="60"/>
      </w:pPr>
      <w:r>
        <w:t xml:space="preserve">Coverage discovery — LLM extraction from plan documents, insurance cards, EOBs; analyst confirms each field.</w:t>
      </w:r>
    </w:p>
    <w:p>
      <w:pPr>
        <w:pStyle w:val="ListParagraph"/>
        <w:numPr>
          <w:ilvl w:val="0"/>
          <w:numId w:val="2"/>
        </w:numPr>
        <w:spacing w:after="60"/>
      </w:pPr>
      <w:r>
        <w:t xml:space="preserve">Primary vs. secondary payer determination — the COB engine.</w:t>
      </w:r>
    </w:p>
    <w:p>
      <w:pPr>
        <w:pStyle w:val="ListParagraph"/>
        <w:numPr>
          <w:ilvl w:val="0"/>
          <w:numId w:val="2"/>
        </w:numPr>
        <w:spacing w:after="60"/>
      </w:pPr>
      <w:r>
        <w:t xml:space="preserve">ERISA clause classification — LLM-assisted; analyst confirms.</w:t>
      </w:r>
    </w:p>
    <w:p>
      <w:pPr>
        <w:pStyle w:val="ListParagraph"/>
        <w:numPr>
          <w:ilvl w:val="0"/>
          <w:numId w:val="2"/>
        </w:numPr>
        <w:spacing w:after="60"/>
      </w:pPr>
      <w:r>
        <w:t xml:space="preserve">Diagnosis and Trauma Code Edits — automatic triage on ICD codes.</w:t>
      </w:r>
    </w:p>
    <w:p>
      <w:pPr>
        <w:pStyle w:val="ListParagraph"/>
        <w:numPr>
          <w:ilvl w:val="0"/>
          <w:numId w:val="2"/>
        </w:numPr>
        <w:spacing w:after="60"/>
      </w:pPr>
      <w:r>
        <w:t xml:space="preserve">Wisconsin overlay calculations — comparative-negligence math, common-fund pro-rata, made-whole flag.</w:t>
      </w:r>
    </w:p>
    <w:p>
      <w:pPr>
        <w:pStyle w:val="ListParagraph"/>
        <w:numPr>
          <w:ilvl w:val="0"/>
          <w:numId w:val="2"/>
        </w:numPr>
        <w:spacing w:after="60"/>
      </w:pPr>
      <w:r>
        <w:t xml:space="preserve">Demand letter generation — template populated from determination.</w:t>
      </w:r>
    </w:p>
    <w:p>
      <w:pPr>
        <w:pStyle w:val="ListParagraph"/>
        <w:numPr>
          <w:ilvl w:val="0"/>
          <w:numId w:val="2"/>
        </w:numPr>
        <w:spacing w:after="60"/>
      </w:pPr>
      <w:r>
        <w:t xml:space="preserve">Audit trail — automatic, immutable, per-action.</w:t>
      </w:r>
    </w:p>
    <w:p>
      <w:pPr>
        <w:pStyle w:val="ListParagraph"/>
        <w:numPr>
          <w:ilvl w:val="0"/>
          <w:numId w:val="2"/>
        </w:numPr>
        <w:spacing w:after="60"/>
      </w:pPr>
      <w:r>
        <w:t xml:space="preserve">Duplicate payment detection — Phase 2.</w:t>
      </w:r>
    </w:p>
    <w:p>
      <w:pPr>
        <w:pStyle w:val="Heading1"/>
        <w:spacing w:after="180" w:before="360"/>
      </w:pPr>
      <w:r>
        <w:t xml:space="preserve">14. What's Next</w:t>
      </w:r>
    </w:p>
    <w:p>
      <w:pPr>
        <w:spacing w:after="120"/>
      </w:pPr>
      <w:r>
        <w:t xml:space="preserve">This document is the canonical workflow reference for the COB Flow Wisconsin pilot. It evolves in two scenarios. First, when the platform ships a new module that changes a phase's product status (e.g., Phase 4 ships in Phase 2 of the roadmap and its status changes from 'Phase 2 expansion' to 'MVP'), this document updates. Second, when Phase 1 discovery interviews surface that an analyst step is missing or misordered, this document updates and the engineering scope follows.</w:t>
      </w:r>
    </w:p>
    <w:p>
      <w:pPr>
        <w:spacing w:after="120"/>
      </w:pPr>
      <w:r>
        <w:t xml:space="preserve">Cross-references: the COB Flow Product Spec carries the architecture, data model, integrations, compliance plan, and roadmap. The COB Flow Go-to-Market Roadmap carries the phased commercialization plan. This workflow document, the Spec, and the GTM Roadmap together constitute the project's working master set.</w:t>
      </w:r>
    </w:p>
    <w:p>
      <w:pPr>
        <w:spacing w:before="600"/>
        <w:jc w:val="center"/>
      </w:pPr>
      <w:r>
        <w:rPr>
          <w:i/>
          <w:iCs/>
          <w:color w:val="999999"/>
        </w:rPr>
        <w:t xml:space="preserve">— end of v1.0 —</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8"/>
        <w:szCs w:val="18"/>
      </w:rPr>
      <w:t xml:space="preserve">COB Flow — Wisconsin Workflow v1.0   |   Page </w:t>
    </w:r>
    <w:r>
      <w:rPr>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1F4E79"/>
      <w:sz w:val="30"/>
      <w:szCs w:val="30"/>
    </w:rPr>
  </w:style>
  <w:style w:type="paragraph" w:styleId="Heading2">
    <w:name w:val="Heading 2"/>
    <w:basedOn w:val="Normal"/>
    <w:next w:val="Normal"/>
    <w:qFormat/>
    <w:pPr>
      <w:spacing w:after="120" w:before="240"/>
      <w:outlineLvl w:val="1"/>
    </w:pPr>
    <w:rPr>
      <w:rFonts w:ascii="Calibri" w:cs="Calibri" w:eastAsia="Calibri" w:hAnsi="Calibri"/>
      <w:b/>
      <w:bCs/>
      <w:color w:val="2E75B6"/>
      <w:sz w:val="24"/>
      <w:szCs w:val="24"/>
    </w:rPr>
  </w:style>
  <w:style w:type="paragraph" w:styleId="Heading3">
    <w:name w:val="Heading 3"/>
    <w:basedOn w:val="Normal"/>
    <w:next w:val="Normal"/>
    <w:qFormat/>
    <w:pPr>
      <w:spacing w:after="80" w:before="180"/>
      <w:outlineLvl w:val="2"/>
    </w:pPr>
    <w:rPr>
      <w:rFonts w:ascii="Calibri" w:cs="Calibri" w:eastAsia="Calibri" w:hAnsi="Calibri"/>
      <w:b/>
      <w:bCs/>
      <w:color w:val="404040"/>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2026-05-16T14:43:00.196Z</dcterms:created>
  <dcterms:modified xsi:type="dcterms:W3CDTF">2026-05-16T14:43:00.196Z</dcterms:modified>
</cp:coreProperties>
</file>

<file path=docProps/custom.xml><?xml version="1.0" encoding="utf-8"?>
<Properties xmlns="http://schemas.openxmlformats.org/officeDocument/2006/custom-properties" xmlns:vt="http://schemas.openxmlformats.org/officeDocument/2006/docPropsVTypes"/>
</file>