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LUXURY LIFESTYLE VAULT</w:t>
      </w:r>
    </w:p>
    <w:p>
      <w:pPr>
        <w:pStyle w:val="BodyText"/>
      </w:pPr>
      <w:r>
        <w:rPr>
          <w:b/>
        </w:rPr>
        <w:t xml:space="preserve">Business Strategy Assumptions Register</w:t>
      </w:r>
    </w:p>
    <w:p>
      <w:pPr>
        <w:pStyle w:val="BodyText"/>
      </w:pPr>
      <w:r>
        <w:t xml:space="preserve">Working Assumptions for Platform Development &amp; Open Items for Resolution</w:t>
      </w:r>
    </w:p>
    <w:p>
      <w:pPr>
        <w:pStyle w:val="BodyText"/>
      </w:pPr>
      <w:r>
        <w:t xml:space="preserve">Prepared: May 25, 2026 | Status: LIVING DOCUMENT — Update as decisions are finalized</w:t>
      </w:r>
    </w:p>
    <w:p>
      <w:pPr>
        <w:pStyle w:val="BodyText"/>
      </w:pPr>
      <w:r>
        <w:t xml:space="preserve">This document captures every business strategy decision that affects platform development. For each item, it records the working assumption the codebase is built against and leaves space for the actual decision once validated through research, provider conversations, legal consultation, or operational experience. The platform is designed so that updating any assumption requires only configuration changes (admin panel or database), not code rewrites.</w:t>
      </w:r>
    </w:p>
    <w:p>
      <w:pPr>
        <w:pStyle w:val="Heading1"/>
      </w:pPr>
      <w:bookmarkStart w:id="20" w:name="wisconsin-premium-garment-care-providers"/>
      <w:r>
        <w:rPr>
          <w:b/>
        </w:rPr>
        <w:t xml:space="preserve">1. Wisconsin Premium Garment Care Providers</w:t>
      </w:r>
      <w:bookmarkEnd w:id="20"/>
    </w:p>
    <w:p>
      <w:pPr>
        <w:pStyle w:val="FirstParagraph"/>
      </w:pPr>
      <w:r>
        <w:t xml:space="preserve">Handoff Reference: Section 13, Item 1</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Working Assumption</w:t>
            </w:r>
          </w:p>
        </w:tc>
        <w:tc>
          <w:tcPr>
            <w:tcBorders>
              <w:bottom w:val="single"/>
            </w:tcBorders>
            <w:vAlign w:val="bottom"/>
          </w:tcPr>
          <w:p>
            <w:pPr>
              <w:pStyle w:val="Compact"/>
              <w:jc w:val="left"/>
            </w:pPr>
            <w:r>
              <w:t xml:space="preserve">The platform supports multiple providers per corridor endpoint. For the WI side, the admin will onboard 1-3 premium garment care providers in the Brookfield/Milwaukee area offering luxury-grade cleaning, pressing, and storage. The system is provider-agnostic — any qualified provider can be added via the admin panel.</w:t>
            </w:r>
          </w:p>
        </w:tc>
      </w:tr>
      <w:tr>
        <w:tc>
          <w:p>
            <w:pPr>
              <w:pStyle w:val="Compact"/>
              <w:jc w:val="left"/>
            </w:pPr>
            <w:r>
              <w:rPr>
                <w:b/>
              </w:rPr>
              <w:t xml:space="preserve">Platform Impact</w:t>
            </w:r>
          </w:p>
        </w:tc>
        <w:tc>
          <w:p>
            <w:pPr>
              <w:pStyle w:val="Compact"/>
              <w:jc w:val="left"/>
            </w:pPr>
            <w:r>
              <w:t xml:space="preserve">None — provider management is fully built. Adding providers is an admin action. Provider names, services, and capabilities are data, not code.</w:t>
            </w:r>
          </w:p>
        </w:tc>
      </w:tr>
      <w:tr>
        <w:tc>
          <w:p>
            <w:pPr>
              <w:pStyle w:val="Compact"/>
              <w:jc w:val="left"/>
            </w:pPr>
            <w:r>
              <w:rPr>
                <w:b/>
              </w:rPr>
              <w:t xml:space="preserve">Actual Decision</w:t>
            </w:r>
          </w:p>
        </w:tc>
        <w:tc>
          <w:p>
            <w:pPr>
              <w:pStyle w:val="Compact"/>
              <w:jc w:val="left"/>
            </w:pPr>
            <w:r>
              <w:t xml:space="preserve">OPEN — Requires web research for Brookfield/Milwaukee luxury garment care providers, then in-person visits and qualification.</w:t>
            </w:r>
          </w:p>
        </w:tc>
      </w:tr>
    </w:tbl>
    <w:p>
      <w:pPr>
        <w:pStyle w:val="Heading1"/>
      </w:pPr>
      <w:bookmarkStart w:id="21" w:name="pricing-service-packaging"/>
      <w:r>
        <w:rPr>
          <w:b/>
        </w:rPr>
        <w:t xml:space="preserve">2. Pricing &amp; Service Packaging</w:t>
      </w:r>
      <w:bookmarkEnd w:id="21"/>
    </w:p>
    <w:p>
      <w:pPr>
        <w:pStyle w:val="FirstParagraph"/>
      </w:pPr>
      <w:r>
        <w:t xml:space="preserve">Handoff Reference: Section 13, Item 2</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Working Assumption</w:t>
            </w:r>
          </w:p>
        </w:tc>
        <w:tc>
          <w:tcPr>
            <w:tcBorders>
              <w:bottom w:val="single"/>
            </w:tcBorders>
            <w:vAlign w:val="bottom"/>
          </w:tcPr>
          <w:p>
            <w:pPr>
              <w:pStyle w:val="Compact"/>
              <w:jc w:val="left"/>
            </w:pPr>
            <w:r>
              <w:t>Tier 1 (Seasonal Rotation): $299/month during active season (6 months/year) — covers storage, cleaning, pressing, and one seasonal shipment each direction. Tier 2 (Total Wardrobe Management): $599/month — includes everything in Tier 1 plus full wardrobe transition management, arrival preparation, and closet organization. Tier 3 (On-Demand): $75 base fee per request + $15/item surcharge. Rush delivery (under 48 hours) adds 50% premium. Founding member discount: 20% off for first 12 months.</w:t>
            </w:r>
          </w:p>
        </w:tc>
      </w:tr>
      <w:tr>
        <w:tc>
          <w:p>
            <w:pPr>
              <w:pStyle w:val="Compact"/>
              <w:jc w:val="left"/>
            </w:pPr>
            <w:r>
              <w:rPr>
                <w:b/>
              </w:rPr>
              <w:t xml:space="preserve">Platform Impact</w:t>
            </w:r>
          </w:p>
        </w:tc>
        <w:tc>
          <w:p>
            <w:pPr>
              <w:pStyle w:val="Compact"/>
              <w:jc w:val="left"/>
            </w:pPr>
            <w:r>
              <w:t xml:space="preserve">All pricing is stored in the service_tiers database table and editable via the admin pricing configuration panel (B3-04). Changing any price is a form submission, not a code change. Stripe products/prices are created programmatically from the DB values.</w:t>
            </w:r>
          </w:p>
        </w:tc>
      </w:tr>
      <w:tr>
        <w:tc>
          <w:p>
            <w:pPr>
              <w:pStyle w:val="Compact"/>
              <w:jc w:val="left"/>
            </w:pPr>
            <w:r>
              <w:rPr>
                <w:b/>
              </w:rPr>
              <w:t xml:space="preserve">Actual Decision</w:t>
            </w:r>
          </w:p>
        </w:tc>
        <w:tc>
          <w:p>
            <w:pPr>
              <w:pStyle w:val="Compact"/>
              <w:jc w:val="left"/>
            </w:pPr>
            <w:r>
              <w:t xml:space="preserve">OPEN — Requires competitive analysis, provider cost analysis (to determine margins), and founding member pricing validation. May adjust significantly based on actual provider costs.</w:t>
            </w:r>
          </w:p>
        </w:tc>
      </w:tr>
    </w:tbl>
    <w:p>
      <w:pPr>
        <w:pStyle w:val="Heading1"/>
      </w:pPr>
      <w:bookmarkStart w:id="22" w:name="provider-partnership-terms-negotiation"/>
      <w:r>
        <w:rPr>
          <w:b/>
        </w:rPr>
        <w:t xml:space="preserve">3. Provider Partnership Terms &amp; Negotiation</w:t>
      </w:r>
      <w:bookmarkEnd w:id="22"/>
    </w:p>
    <w:p>
      <w:pPr>
        <w:pStyle w:val="FirstParagraph"/>
      </w:pPr>
      <w:r>
        <w:t xml:space="preserve">Handoff Reference: Section 13, Item 3</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Working Assumption</w:t>
            </w:r>
          </w:p>
        </w:tc>
        <w:tc>
          <w:tcPr>
            <w:tcBorders>
              <w:bottom w:val="single"/>
            </w:tcBorders>
            <w:vAlign w:val="bottom"/>
          </w:tcPr>
          <w:p>
            <w:pPr>
              <w:pStyle w:val="Compact"/>
              <w:jc w:val="left"/>
            </w:pPr>
            <w:r>
              <w:t xml:space="preserve">LLV pays providers at their standard retail rates initially, negotiating volume discounts as client base grows. No revenue sharing or commission model at launch. Providers are service vendors, not partners. LLV controls the client relationship and brand experience. Provider portal gives providers order visibility without client contact information.</w:t>
            </w:r>
          </w:p>
        </w:tc>
      </w:tr>
      <w:tr>
        <w:tc>
          <w:p>
            <w:pPr>
              <w:pStyle w:val="Compact"/>
              <w:jc w:val="left"/>
            </w:pPr>
            <w:r>
              <w:rPr>
                <w:b/>
              </w:rPr>
              <w:t xml:space="preserve">Platform Impact</w:t>
            </w:r>
          </w:p>
        </w:tc>
        <w:tc>
          <w:p>
            <w:pPr>
              <w:pStyle w:val="Compact"/>
              <w:jc w:val="left"/>
            </w:pPr>
            <w:r>
              <w:t xml:space="preserve">Provider portal already restricts client PII. Provider payment tracking can be added as a Phase C feature. The order dispatch system is provider-agnostic.</w:t>
            </w:r>
          </w:p>
        </w:tc>
      </w:tr>
      <w:tr>
        <w:tc>
          <w:p>
            <w:pPr>
              <w:pStyle w:val="Compact"/>
              <w:jc w:val="left"/>
            </w:pPr>
            <w:r>
              <w:rPr>
                <w:b/>
              </w:rPr>
              <w:t xml:space="preserve">Actual Decision</w:t>
            </w:r>
          </w:p>
        </w:tc>
        <w:tc>
          <w:p>
            <w:pPr>
              <w:pStyle w:val="Compact"/>
              <w:jc w:val="left"/>
            </w:pPr>
            <w:r>
              <w:t xml:space="preserve">OPEN — Requires actual provider conversations. Need to understand their pricing structure, capacity, willingness to work with a platform intermediary, and any exclusivity concerns.</w:t>
            </w:r>
          </w:p>
        </w:tc>
      </w:tr>
    </w:tbl>
    <w:p>
      <w:pPr>
        <w:pStyle w:val="Heading1"/>
      </w:pPr>
      <w:bookmarkStart w:id="23" w:name="insurance-liability-structure"/>
      <w:r>
        <w:rPr>
          <w:b/>
        </w:rPr>
        <w:t xml:space="preserve">4. Insurance &amp; Liability Structure</w:t>
      </w:r>
      <w:bookmarkEnd w:id="23"/>
    </w:p>
    <w:p>
      <w:pPr>
        <w:pStyle w:val="FirstParagraph"/>
      </w:pPr>
      <w:r>
        <w:t xml:space="preserve">Handoff Reference: Section 13, Item 4</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Working Assumption</w:t>
            </w:r>
          </w:p>
        </w:tc>
        <w:tc>
          <w:tcPr>
            <w:tcBorders>
              <w:bottom w:val="single"/>
            </w:tcBorders>
            <w:vAlign w:val="bottom"/>
          </w:tcPr>
          <w:p>
            <w:pPr>
              <w:pStyle w:val="Compact"/>
              <w:jc w:val="left"/>
            </w:pPr>
            <w:r>
              <w:t xml:space="preserve">LLV carries general business liability insurance and bailee coverage (insurance covering goods in LLV’s custody). Clients declare item values during intake. Platform captures declared values and condition records (already built in Phase A) to support insurance claims. In-transit coverage handled through shipping carrier insurance. Maximum liability per item is capped (TBD, assumption: $5,000 per item, $50,000 per client).</w:t>
            </w:r>
          </w:p>
        </w:tc>
      </w:tr>
      <w:tr>
        <w:tc>
          <w:p>
            <w:pPr>
              <w:pStyle w:val="Compact"/>
              <w:jc w:val="left"/>
            </w:pPr>
            <w:r>
              <w:rPr>
                <w:b/>
              </w:rPr>
              <w:t xml:space="preserve">Platform Impact</w:t>
            </w:r>
          </w:p>
        </w:tc>
        <w:tc>
          <w:p>
            <w:pPr>
              <w:pStyle w:val="Compact"/>
              <w:jc w:val="left"/>
            </w:pPr>
            <w:r>
              <w:t xml:space="preserve">Item value field exists in the schema. Condition tracking with photos is built (Phase A). Terms of service acceptance is in the onboarding flow. Liability caps are configurable values. No code changes needed for any insurance decision.</w:t>
            </w:r>
          </w:p>
        </w:tc>
      </w:tr>
      <w:tr>
        <w:tc>
          <w:p>
            <w:pPr>
              <w:pStyle w:val="Compact"/>
              <w:jc w:val="left"/>
            </w:pPr>
            <w:r>
              <w:rPr>
                <w:b/>
              </w:rPr>
              <w:t xml:space="preserve">Actual Decision</w:t>
            </w:r>
          </w:p>
        </w:tc>
        <w:tc>
          <w:p>
            <w:pPr>
              <w:pStyle w:val="Compact"/>
              <w:jc w:val="left"/>
            </w:pPr>
            <w:r>
              <w:t xml:space="preserve">OPEN — Requires consultation with a commercial insurance broker experienced in bailee coverage. Need quotes, coverage limits, exclusions, and provider insurance coordination requirements.</w:t>
            </w:r>
          </w:p>
        </w:tc>
      </w:tr>
    </w:tbl>
    <w:p>
      <w:pPr>
        <w:pStyle w:val="Heading1"/>
      </w:pPr>
      <w:bookmarkStart w:id="24" w:name="daughters-formal-role"/>
      <w:r>
        <w:rPr>
          <w:b/>
        </w:rPr>
        <w:t xml:space="preserve">5. Daughter’s Formal Role</w:t>
      </w:r>
      <w:bookmarkEnd w:id="24"/>
    </w:p>
    <w:p>
      <w:pPr>
        <w:pStyle w:val="FirstParagraph"/>
      </w:pPr>
      <w:r>
        <w:t xml:space="preserve">Handoff Reference: Section 13, Item 5</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Working Assumption</w:t>
            </w:r>
          </w:p>
        </w:tc>
        <w:tc>
          <w:tcPr>
            <w:tcBorders>
              <w:bottom w:val="single"/>
            </w:tcBorders>
            <w:vAlign w:val="bottom"/>
          </w:tcPr>
          <w:p>
            <w:pPr>
              <w:pStyle w:val="Compact"/>
              <w:jc w:val="left"/>
            </w:pPr>
            <w:r>
              <w:t xml:space="preserve">Daughter operates as AZ Corridor Manager — responsible for provider relationships, client intake/delivery coordination, and quality control on the Arizona end. Compensated via a flat monthly stipend during pilot ($1,500-$2,500/month) with equity discussion deferred until business validates. Platform supports multiple admin users with regional assignments.</w:t>
            </w:r>
          </w:p>
        </w:tc>
      </w:tr>
      <w:tr>
        <w:tc>
          <w:p>
            <w:pPr>
              <w:pStyle w:val="Compact"/>
              <w:jc w:val="left"/>
            </w:pPr>
            <w:r>
              <w:rPr>
                <w:b/>
              </w:rPr>
              <w:t xml:space="preserve">Platform Impact</w:t>
            </w:r>
          </w:p>
        </w:tc>
        <w:tc>
          <w:p>
            <w:pPr>
              <w:pStyle w:val="Compact"/>
              <w:jc w:val="left"/>
            </w:pPr>
            <w:r>
              <w:t xml:space="preserve">Role-based access already supports multiple admins. Corridor management (B6-03) will allow filtering admin views by region. No code changes needed for any role/compensation decision.</w:t>
            </w:r>
          </w:p>
        </w:tc>
      </w:tr>
      <w:tr>
        <w:tc>
          <w:p>
            <w:pPr>
              <w:pStyle w:val="Compact"/>
              <w:jc w:val="left"/>
            </w:pPr>
            <w:r>
              <w:rPr>
                <w:b/>
              </w:rPr>
              <w:t xml:space="preserve">Actual Decision</w:t>
            </w:r>
          </w:p>
        </w:tc>
        <w:tc>
          <w:p>
            <w:pPr>
              <w:pStyle w:val="Compact"/>
              <w:jc w:val="left"/>
            </w:pPr>
            <w:r>
              <w:t xml:space="preserve">OPEN — Family conversation needed. Key questions: formal employment vs. contractor, equity stake or not, title, scope of authority, and what happens if the arrangement doesn’t work out.</w:t>
            </w:r>
          </w:p>
        </w:tc>
      </w:tr>
    </w:tbl>
    <w:p>
      <w:pPr>
        <w:pStyle w:val="Heading1"/>
      </w:pPr>
      <w:bookmarkStart w:id="25" w:name="capital-strategy"/>
      <w:r>
        <w:rPr>
          <w:b/>
        </w:rPr>
        <w:t xml:space="preserve">6. Capital Strategy</w:t>
      </w:r>
      <w:bookmarkEnd w:id="25"/>
    </w:p>
    <w:p>
      <w:pPr>
        <w:pStyle w:val="FirstParagraph"/>
      </w:pPr>
      <w:r>
        <w:t xml:space="preserve">Handoff Reference: Section 13, Item 7</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Working Assumption</w:t>
            </w:r>
          </w:p>
        </w:tc>
        <w:tc>
          <w:tcPr>
            <w:tcBorders>
              <w:bottom w:val="single"/>
            </w:tcBorders>
            <w:vAlign w:val="bottom"/>
          </w:tcPr>
          <w:p>
            <w:pPr>
              <w:pStyle w:val="Compact"/>
              <w:jc w:val="left"/>
            </w:pPr>
            <w:r>
              <w:t xml:space="preserve">Self-funded pilot with $25K-$40K budget. No external investment needed for launch. If pilot validates (10-15 paying clients, positive unit economics), angel investment conversation happens from a position of strength with real traction data. Platform costs during pilot are minimal: Vercel free/hobby tier, Supabase free tier, Stripe standard fees, Resend free tier. Major costs are operational (provider payments, shipping, insurance), not technology.</w:t>
            </w:r>
          </w:p>
        </w:tc>
      </w:tr>
      <w:tr>
        <w:tc>
          <w:p>
            <w:pPr>
              <w:pStyle w:val="Compact"/>
              <w:jc w:val="left"/>
            </w:pPr>
            <w:r>
              <w:rPr>
                <w:b/>
              </w:rPr>
              <w:t xml:space="preserve">Platform Impact</w:t>
            </w:r>
          </w:p>
        </w:tc>
        <w:tc>
          <w:p>
            <w:pPr>
              <w:pStyle w:val="Compact"/>
              <w:jc w:val="left"/>
            </w:pPr>
            <w:r>
              <w:t xml:space="preserve">None. Technology stack was chosen for low pilot-stage costs. All services have free or low-cost tiers that support 10-15 clients easily.</w:t>
            </w:r>
          </w:p>
        </w:tc>
      </w:tr>
      <w:tr>
        <w:tc>
          <w:p>
            <w:pPr>
              <w:pStyle w:val="Compact"/>
              <w:jc w:val="left"/>
            </w:pPr>
            <w:r>
              <w:rPr>
                <w:b/>
              </w:rPr>
              <w:t xml:space="preserve">Actual Decision</w:t>
            </w:r>
          </w:p>
        </w:tc>
        <w:tc>
          <w:p>
            <w:pPr>
              <w:pStyle w:val="Compact"/>
              <w:jc w:val="left"/>
            </w:pPr>
            <w:r>
              <w:t xml:space="preserve">OPEN — Decision point comes after pilot launch. If unit economics work at 10-15 clients, self-funding may continue. If growth requires capital, the UHC exit track record and real traction data create a strong pitch.</w:t>
            </w:r>
          </w:p>
        </w:tc>
      </w:tr>
    </w:tbl>
    <w:p>
      <w:pPr>
        <w:pStyle w:val="Heading1"/>
      </w:pPr>
      <w:bookmarkStart w:id="26" w:name="operational-choke-points-3-4"/>
      <w:r>
        <w:rPr>
          <w:b/>
        </w:rPr>
        <w:t xml:space="preserve">7. Operational Choke Points 3 &amp; 4</w:t>
      </w:r>
      <w:bookmarkEnd w:id="26"/>
    </w:p>
    <w:p>
      <w:pPr>
        <w:pStyle w:val="FirstParagraph"/>
      </w:pPr>
      <w:r>
        <w:t xml:space="preserve">Handoff Reference: Section 13, Item 8</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Working Assumption</w:t>
            </w:r>
          </w:p>
        </w:tc>
        <w:tc>
          <w:tcPr>
            <w:tcBorders>
              <w:bottom w:val="single"/>
            </w:tcBorders>
            <w:vAlign w:val="bottom"/>
          </w:tcPr>
          <w:p>
            <w:pPr>
              <w:pStyle w:val="Compact"/>
              <w:jc w:val="left"/>
            </w:pPr>
            <w:r>
              <w:t xml:space="preserve">Choke Point 3 (Operational Proving): The pilot with 10-15 founding members IS the operational proof. Success metrics: on-time delivery rate above 95%, zero damage incidents, client satisfaction above 4.5/5, positive unit economics per client. Choke Point 4: Deferred — will be identified based on what the pilot reveals as the real operational bottleneck.</w:t>
            </w:r>
          </w:p>
        </w:tc>
      </w:tr>
      <w:tr>
        <w:tc>
          <w:p>
            <w:pPr>
              <w:pStyle w:val="Compact"/>
              <w:jc w:val="left"/>
            </w:pPr>
            <w:r>
              <w:rPr>
                <w:b/>
              </w:rPr>
              <w:t xml:space="preserve">Platform Impact</w:t>
            </w:r>
          </w:p>
        </w:tc>
        <w:tc>
          <w:p>
            <w:pPr>
              <w:pStyle w:val="Compact"/>
              <w:jc w:val="left"/>
            </w:pPr>
            <w:r>
              <w:t xml:space="preserve">Reporting and analytics (B6-04) will track all success metrics. Audit trail (B6-05) captures operational data. These Phase B features are designed to provide the data needed to evaluate choke points.</w:t>
            </w:r>
          </w:p>
        </w:tc>
      </w:tr>
      <w:tr>
        <w:tc>
          <w:p>
            <w:pPr>
              <w:pStyle w:val="Compact"/>
              <w:jc w:val="left"/>
            </w:pPr>
            <w:r>
              <w:rPr>
                <w:b/>
              </w:rPr>
              <w:t xml:space="preserve">Actual Decision</w:t>
            </w:r>
          </w:p>
        </w:tc>
        <w:tc>
          <w:p>
            <w:pPr>
              <w:pStyle w:val="Compact"/>
              <w:jc w:val="left"/>
            </w:pPr>
            <w:r>
              <w:t xml:space="preserve">OPEN — Revisit after first full seasonal cycle (approximately April 2027). Choke Point 4 will emerge from operational data.</w:t>
            </w:r>
          </w:p>
        </w:tc>
      </w:tr>
    </w:tbl>
    <w:p>
      <w:pPr>
        <w:pStyle w:val="Heading1"/>
      </w:pPr>
      <w:bookmarkStart w:id="27" w:name="business-entity-formation"/>
      <w:r>
        <w:rPr>
          <w:b/>
        </w:rPr>
        <w:t xml:space="preserve">8. Business Entity Formation</w:t>
      </w:r>
      <w:bookmarkEnd w:id="27"/>
    </w:p>
    <w:p>
      <w:pPr>
        <w:pStyle w:val="FirstParagraph"/>
      </w:pPr>
      <w:r>
        <w:t xml:space="preserve">Handoff Reference: Section 13, Item 9</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Working Assumption</w:t>
            </w:r>
          </w:p>
        </w:tc>
        <w:tc>
          <w:tcPr>
            <w:tcBorders>
              <w:bottom w:val="single"/>
            </w:tcBorders>
            <w:vAlign w:val="bottom"/>
          </w:tcPr>
          <w:p>
            <w:pPr>
              <w:pStyle w:val="Compact"/>
              <w:jc w:val="left"/>
            </w:pPr>
            <w:r>
              <w:t xml:space="preserve">Wisconsin LLC as primary entity (founder is WI-based). Register as a foreign LLC in Arizona for operations there. Trademark</w:t>
            </w:r>
            <w:r>
              <w:t xml:space="preserve"> </w:t>
            </w:r>
            <w:r>
              <w:t xml:space="preserve">‘</w:t>
            </w:r>
            <w:r>
              <w:t xml:space="preserve">Luxury Lifestyle Vault</w:t>
            </w:r>
            <w:r>
              <w:t xml:space="preserve">’</w:t>
            </w:r>
            <w:r>
              <w:t xml:space="preserve"> </w:t>
            </w:r>
            <w:r>
              <w:t xml:space="preserve">and the tagline</w:t>
            </w:r>
            <w:r>
              <w:t xml:space="preserve"> </w:t>
            </w:r>
            <w:r>
              <w:t xml:space="preserve">‘</w:t>
            </w:r>
            <w:r>
              <w:t xml:space="preserve">Your Lifestyle, Wherever Life Takes You.</w:t>
            </w:r>
            <w:r>
              <w:t xml:space="preserve">’</w:t>
            </w:r>
            <w:r>
              <w:t xml:space="preserve"> </w:t>
            </w:r>
            <w:r>
              <w:t xml:space="preserve">File before launch to establish priority.</w:t>
            </w:r>
          </w:p>
        </w:tc>
      </w:tr>
      <w:tr>
        <w:tc>
          <w:p>
            <w:pPr>
              <w:pStyle w:val="Compact"/>
              <w:jc w:val="left"/>
            </w:pPr>
            <w:r>
              <w:rPr>
                <w:b/>
              </w:rPr>
              <w:t xml:space="preserve">Platform Impact</w:t>
            </w:r>
          </w:p>
        </w:tc>
        <w:tc>
          <w:p>
            <w:pPr>
              <w:pStyle w:val="Compact"/>
              <w:jc w:val="left"/>
            </w:pPr>
            <w:r>
              <w:t xml:space="preserve">None. Entity name appears in Terms of Service and legal footer — both are content, not code. Stripe account will be registered under the LLC.</w:t>
            </w:r>
          </w:p>
        </w:tc>
      </w:tr>
      <w:tr>
        <w:tc>
          <w:p>
            <w:pPr>
              <w:pStyle w:val="Compact"/>
              <w:jc w:val="left"/>
            </w:pPr>
            <w:r>
              <w:rPr>
                <w:b/>
              </w:rPr>
              <w:t xml:space="preserve">Actual Decision</w:t>
            </w:r>
          </w:p>
        </w:tc>
        <w:tc>
          <w:p>
            <w:pPr>
              <w:pStyle w:val="Compact"/>
              <w:jc w:val="left"/>
            </w:pPr>
            <w:r>
              <w:t xml:space="preserve">OPEN — Requires attorney consultation. Key questions: WI vs. AZ vs. WY/DE for LLC formation, multi-state registration requirements, trademark search and filing, operating agreement (especially if daughter gets equity).</w:t>
            </w:r>
          </w:p>
        </w:tc>
      </w:tr>
    </w:tbl>
    <w:p>
      <w:pPr>
        <w:pStyle w:val="Heading1"/>
      </w:pPr>
      <w:bookmarkStart w:id="28" w:name="wisconsin-storage-facility"/>
      <w:r>
        <w:rPr>
          <w:b/>
        </w:rPr>
        <w:t xml:space="preserve">9. Wisconsin Storage Facility</w:t>
      </w:r>
      <w:bookmarkEnd w:id="28"/>
    </w:p>
    <w:p>
      <w:pPr>
        <w:pStyle w:val="FirstParagraph"/>
      </w:pPr>
      <w:r>
        <w:t xml:space="preserve">Handoff Reference: Section 13, Item 11</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Working Assumption</w:t>
            </w:r>
          </w:p>
        </w:tc>
        <w:tc>
          <w:tcPr>
            <w:tcBorders>
              <w:bottom w:val="single"/>
            </w:tcBorders>
            <w:vAlign w:val="bottom"/>
          </w:tcPr>
          <w:p>
            <w:pPr>
              <w:pStyle w:val="Compact"/>
              <w:jc w:val="left"/>
            </w:pPr>
            <w:r>
              <w:t xml:space="preserve">Initially, storage is handled by the garment care providers themselves (most premium cleaners offer storage). If provider storage is insufficient or too expensive, LLV leases a small climate-controlled storage unit in the Brookfield area ($150-$300/month) for overflow. Platform tracks item location regardless of physical storage arrangement.</w:t>
            </w:r>
          </w:p>
        </w:tc>
      </w:tr>
      <w:tr>
        <w:tc>
          <w:p>
            <w:pPr>
              <w:pStyle w:val="Compact"/>
              <w:jc w:val="left"/>
            </w:pPr>
            <w:r>
              <w:rPr>
                <w:b/>
              </w:rPr>
              <w:t xml:space="preserve">Platform Impact</w:t>
            </w:r>
          </w:p>
        </w:tc>
        <w:tc>
          <w:p>
            <w:pPr>
              <w:pStyle w:val="Compact"/>
              <w:jc w:val="left"/>
            </w:pPr>
            <w:r>
              <w:t xml:space="preserve">None. Location tracking is built and agnostic to physical storage location. Whether an item is at</w:t>
            </w:r>
            <w:r>
              <w:t xml:space="preserve"> </w:t>
            </w:r>
            <w:r>
              <w:t xml:space="preserve">‘</w:t>
            </w:r>
            <w:r>
              <w:t xml:space="preserve">Provider RAVE FabriCARE</w:t>
            </w:r>
            <w:r>
              <w:t xml:space="preserve">’</w:t>
            </w:r>
            <w:r>
              <w:t xml:space="preserve"> </w:t>
            </w:r>
            <w:r>
              <w:t xml:space="preserve">or</w:t>
            </w:r>
            <w:r>
              <w:t xml:space="preserve"> </w:t>
            </w:r>
            <w:r>
              <w:t xml:space="preserve">‘</w:t>
            </w:r>
            <w:r>
              <w:t xml:space="preserve">LLV Storage Unit B</w:t>
            </w:r>
            <w:r>
              <w:t xml:space="preserve">’</w:t>
            </w:r>
            <w:r>
              <w:t xml:space="preserve"> </w:t>
            </w:r>
            <w:r>
              <w:t xml:space="preserve">is the same data type.</w:t>
            </w:r>
          </w:p>
        </w:tc>
      </w:tr>
      <w:tr>
        <w:tc>
          <w:p>
            <w:pPr>
              <w:pStyle w:val="Compact"/>
              <w:jc w:val="left"/>
            </w:pPr>
            <w:r>
              <w:rPr>
                <w:b/>
              </w:rPr>
              <w:t xml:space="preserve">Actual Decision</w:t>
            </w:r>
          </w:p>
        </w:tc>
        <w:tc>
          <w:p>
            <w:pPr>
              <w:pStyle w:val="Compact"/>
              <w:jc w:val="left"/>
            </w:pPr>
            <w:r>
              <w:t xml:space="preserve">OPEN — Depends on WI provider capabilities. Research providers first, then determine storage gap. Climate-controlled storage in Brookfield/Milwaukee area is readily available if needed.</w:t>
            </w:r>
          </w:p>
        </w:tc>
      </w:tr>
    </w:tbl>
    <w:p>
      <w:pPr>
        <w:pStyle w:val="Heading1"/>
      </w:pPr>
      <w:bookmarkStart w:id="29" w:name="founding-member-recruitment-strategy"/>
      <w:r>
        <w:rPr>
          <w:b/>
        </w:rPr>
        <w:t xml:space="preserve">10. Founding Member Recruitment Strategy</w:t>
      </w:r>
      <w:bookmarkEnd w:id="29"/>
    </w:p>
    <w:p>
      <w:pPr>
        <w:pStyle w:val="FirstParagraph"/>
      </w:pPr>
      <w:r>
        <w:t xml:space="preserve">Handoff Reference: Section 13, Item 13</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Working Assumption</w:t>
            </w:r>
          </w:p>
        </w:tc>
        <w:tc>
          <w:tcPr>
            <w:tcBorders>
              <w:bottom w:val="single"/>
            </w:tcBorders>
            <w:vAlign w:val="bottom"/>
          </w:tcPr>
          <w:p>
            <w:pPr>
              <w:pStyle w:val="Compact"/>
              <w:jc w:val="left"/>
            </w:pPr>
            <w:r>
              <w:t xml:space="preserve">Target: 10-15 founding members for October 2026 launch. Recruitment channels: personal network (WI country clubs, professional contacts), daughter’s AZ network, wealth management referrals, estate attorney referrals, luxury real estate agent referrals. Founding member benefits: 20% discount for 12 months, priority service, input on feature development, locked-in pricing. No mass marketing — personal outreach only for pilot.</w:t>
            </w:r>
          </w:p>
        </w:tc>
      </w:tr>
      <w:tr>
        <w:tc>
          <w:p>
            <w:pPr>
              <w:pStyle w:val="Compact"/>
              <w:jc w:val="left"/>
            </w:pPr>
            <w:r>
              <w:rPr>
                <w:b/>
              </w:rPr>
              <w:t xml:space="preserve">Platform Impact</w:t>
            </w:r>
          </w:p>
        </w:tc>
        <w:tc>
          <w:p>
            <w:pPr>
              <w:pStyle w:val="Compact"/>
              <w:jc w:val="left"/>
            </w:pPr>
            <w:r>
              <w:t xml:space="preserve">Onboarding flow supports founding member flag and discount application. Admin can tag clients as founding members. Referral tracking is a Phase C nice-to-have.</w:t>
            </w:r>
          </w:p>
        </w:tc>
      </w:tr>
      <w:tr>
        <w:tc>
          <w:p>
            <w:pPr>
              <w:pStyle w:val="Compact"/>
              <w:jc w:val="left"/>
            </w:pPr>
            <w:r>
              <w:rPr>
                <w:b/>
              </w:rPr>
              <w:t xml:space="preserve">Actual Decision</w:t>
            </w:r>
          </w:p>
        </w:tc>
        <w:tc>
          <w:p>
            <w:pPr>
              <w:pStyle w:val="Compact"/>
              <w:jc w:val="left"/>
            </w:pPr>
            <w:r>
              <w:t xml:space="preserve">OPEN — Requires: outreach materials (Cowork drafts after pricing is finalized), personal network mapping, referral partner identification, and a launch timeline working backward from October 2026.</w:t>
            </w:r>
          </w:p>
        </w:tc>
      </w:tr>
    </w:tbl>
    <w:p>
      <w:pPr>
        <w:pStyle w:val="Heading1"/>
      </w:pPr>
      <w:bookmarkStart w:id="30" w:name="summary-assumptions-vs.-open-items"/>
      <w:r>
        <w:rPr>
          <w:b/>
        </w:rPr>
        <w:t xml:space="preserve">Summary: Assumptions vs. Open Items</w:t>
      </w:r>
      <w:bookmarkEnd w:id="30"/>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Platform Risk</w:t>
            </w:r>
          </w:p>
        </w:tc>
        <w:tc>
          <w:tcPr>
            <w:tcBorders>
              <w:bottom w:val="single"/>
            </w:tcBorders>
            <w:vAlign w:val="bottom"/>
          </w:tcPr>
          <w:p>
            <w:pPr>
              <w:pStyle w:val="Compact"/>
              <w:jc w:val="left"/>
            </w:pPr>
            <w:r>
              <w:t xml:space="preserve">Timeline</w:t>
            </w:r>
          </w:p>
        </w:tc>
      </w:tr>
      <w:tr>
        <w:tc>
          <w:p>
            <w:pPr>
              <w:pStyle w:val="Compact"/>
              <w:jc w:val="left"/>
            </w:pPr>
            <w:r>
              <w:t xml:space="preserve">1</w:t>
            </w:r>
          </w:p>
        </w:tc>
        <w:tc>
          <w:p>
            <w:pPr>
              <w:pStyle w:val="Compact"/>
              <w:jc w:val="left"/>
            </w:pPr>
            <w:r>
              <w:t xml:space="preserve">WI Providers</w:t>
            </w:r>
          </w:p>
        </w:tc>
        <w:tc>
          <w:p>
            <w:pPr>
              <w:pStyle w:val="Compact"/>
              <w:jc w:val="left"/>
            </w:pPr>
            <w:r>
              <w:rPr>
                <w:b/>
              </w:rPr>
              <w:t xml:space="preserve">OPEN</w:t>
            </w:r>
          </w:p>
        </w:tc>
        <w:tc>
          <w:p>
            <w:pPr>
              <w:pStyle w:val="Compact"/>
              <w:jc w:val="left"/>
            </w:pPr>
            <w:r>
              <w:t xml:space="preserve">None</w:t>
            </w:r>
          </w:p>
        </w:tc>
        <w:tc>
          <w:p>
            <w:pPr>
              <w:pStyle w:val="Compact"/>
              <w:jc w:val="left"/>
            </w:pPr>
            <w:r>
              <w:t xml:space="preserve">Jun-Jul 2026</w:t>
            </w:r>
          </w:p>
        </w:tc>
      </w:tr>
      <w:tr>
        <w:tc>
          <w:p>
            <w:pPr>
              <w:pStyle w:val="Compact"/>
              <w:jc w:val="left"/>
            </w:pPr>
            <w:r>
              <w:t xml:space="preserve">2</w:t>
            </w:r>
          </w:p>
        </w:tc>
        <w:tc>
          <w:p>
            <w:pPr>
              <w:pStyle w:val="Compact"/>
              <w:jc w:val="left"/>
            </w:pPr>
            <w:r>
              <w:t xml:space="preserve">Pricing &amp; Packaging</w:t>
            </w:r>
          </w:p>
        </w:tc>
        <w:tc>
          <w:p>
            <w:pPr>
              <w:pStyle w:val="Compact"/>
              <w:jc w:val="left"/>
            </w:pPr>
            <w:r>
              <w:rPr>
                <w:b/>
              </w:rPr>
              <w:t xml:space="preserve">OPEN (assumption built in)</w:t>
            </w:r>
          </w:p>
        </w:tc>
        <w:tc>
          <w:p>
            <w:pPr>
              <w:pStyle w:val="Compact"/>
              <w:jc w:val="left"/>
            </w:pPr>
            <w:r>
              <w:t xml:space="preserve">None (configurable)</w:t>
            </w:r>
          </w:p>
        </w:tc>
        <w:tc>
          <w:p>
            <w:pPr>
              <w:pStyle w:val="Compact"/>
              <w:jc w:val="left"/>
            </w:pPr>
            <w:r>
              <w:t xml:space="preserve">Jul 2026</w:t>
            </w:r>
          </w:p>
        </w:tc>
      </w:tr>
      <w:tr>
        <w:tc>
          <w:p>
            <w:pPr>
              <w:pStyle w:val="Compact"/>
              <w:jc w:val="left"/>
            </w:pPr>
            <w:r>
              <w:t xml:space="preserve">3</w:t>
            </w:r>
          </w:p>
        </w:tc>
        <w:tc>
          <w:p>
            <w:pPr>
              <w:pStyle w:val="Compact"/>
              <w:jc w:val="left"/>
            </w:pPr>
            <w:r>
              <w:t xml:space="preserve">Provider Terms</w:t>
            </w:r>
          </w:p>
        </w:tc>
        <w:tc>
          <w:p>
            <w:pPr>
              <w:pStyle w:val="Compact"/>
              <w:jc w:val="left"/>
            </w:pPr>
            <w:r>
              <w:rPr>
                <w:b/>
              </w:rPr>
              <w:t xml:space="preserve">OPEN</w:t>
            </w:r>
          </w:p>
        </w:tc>
        <w:tc>
          <w:p>
            <w:pPr>
              <w:pStyle w:val="Compact"/>
              <w:jc w:val="left"/>
            </w:pPr>
            <w:r>
              <w:t xml:space="preserve">None</w:t>
            </w:r>
          </w:p>
        </w:tc>
        <w:tc>
          <w:p>
            <w:pPr>
              <w:pStyle w:val="Compact"/>
              <w:jc w:val="left"/>
            </w:pPr>
            <w:r>
              <w:t xml:space="preserve">Jul-Aug 2026</w:t>
            </w:r>
          </w:p>
        </w:tc>
      </w:tr>
      <w:tr>
        <w:tc>
          <w:p>
            <w:pPr>
              <w:pStyle w:val="Compact"/>
              <w:jc w:val="left"/>
            </w:pPr>
            <w:r>
              <w:t xml:space="preserve">4</w:t>
            </w:r>
          </w:p>
        </w:tc>
        <w:tc>
          <w:p>
            <w:pPr>
              <w:pStyle w:val="Compact"/>
              <w:jc w:val="left"/>
            </w:pPr>
            <w:r>
              <w:t xml:space="preserve">Insurance &amp; Liability</w:t>
            </w:r>
          </w:p>
        </w:tc>
        <w:tc>
          <w:p>
            <w:pPr>
              <w:pStyle w:val="Compact"/>
              <w:jc w:val="left"/>
            </w:pPr>
            <w:r>
              <w:rPr>
                <w:b/>
              </w:rPr>
              <w:t xml:space="preserve">OPEN</w:t>
            </w:r>
          </w:p>
        </w:tc>
        <w:tc>
          <w:p>
            <w:pPr>
              <w:pStyle w:val="Compact"/>
              <w:jc w:val="left"/>
            </w:pPr>
            <w:r>
              <w:t xml:space="preserve">None (data captured)</w:t>
            </w:r>
          </w:p>
        </w:tc>
        <w:tc>
          <w:p>
            <w:pPr>
              <w:pStyle w:val="Compact"/>
              <w:jc w:val="left"/>
            </w:pPr>
            <w:r>
              <w:t xml:space="preserve">Jul-Aug 2026</w:t>
            </w:r>
          </w:p>
        </w:tc>
      </w:tr>
      <w:tr>
        <w:tc>
          <w:p>
            <w:pPr>
              <w:pStyle w:val="Compact"/>
              <w:jc w:val="left"/>
            </w:pPr>
            <w:r>
              <w:t xml:space="preserve">5</w:t>
            </w:r>
          </w:p>
        </w:tc>
        <w:tc>
          <w:p>
            <w:pPr>
              <w:pStyle w:val="Compact"/>
              <w:jc w:val="left"/>
            </w:pPr>
            <w:r>
              <w:t xml:space="preserve">Daughter’s Role</w:t>
            </w:r>
          </w:p>
        </w:tc>
        <w:tc>
          <w:p>
            <w:pPr>
              <w:pStyle w:val="Compact"/>
              <w:jc w:val="left"/>
            </w:pPr>
            <w:r>
              <w:rPr>
                <w:b/>
              </w:rPr>
              <w:t xml:space="preserve">OPEN</w:t>
            </w:r>
          </w:p>
        </w:tc>
        <w:tc>
          <w:p>
            <w:pPr>
              <w:pStyle w:val="Compact"/>
              <w:jc w:val="left"/>
            </w:pPr>
            <w:r>
              <w:t xml:space="preserve">None</w:t>
            </w:r>
          </w:p>
        </w:tc>
        <w:tc>
          <w:p>
            <w:pPr>
              <w:pStyle w:val="Compact"/>
              <w:jc w:val="left"/>
            </w:pPr>
            <w:r>
              <w:t xml:space="preserve">Jun 2026</w:t>
            </w:r>
          </w:p>
        </w:tc>
      </w:tr>
      <w:tr>
        <w:tc>
          <w:p>
            <w:pPr>
              <w:pStyle w:val="Compact"/>
              <w:jc w:val="left"/>
            </w:pPr>
            <w:r>
              <w:t xml:space="preserve">6</w:t>
            </w:r>
          </w:p>
        </w:tc>
        <w:tc>
          <w:p>
            <w:pPr>
              <w:pStyle w:val="Compact"/>
              <w:jc w:val="left"/>
            </w:pPr>
            <w:r>
              <w:t xml:space="preserve">Capital Strategy</w:t>
            </w:r>
          </w:p>
        </w:tc>
        <w:tc>
          <w:p>
            <w:pPr>
              <w:pStyle w:val="Compact"/>
              <w:jc w:val="left"/>
            </w:pPr>
            <w:r>
              <w:rPr>
                <w:b/>
              </w:rPr>
              <w:t xml:space="preserve">OPEN (self-fund assumed)</w:t>
            </w:r>
          </w:p>
        </w:tc>
        <w:tc>
          <w:p>
            <w:pPr>
              <w:pStyle w:val="Compact"/>
              <w:jc w:val="left"/>
            </w:pPr>
            <w:r>
              <w:t xml:space="preserve">None</w:t>
            </w:r>
          </w:p>
        </w:tc>
        <w:tc>
          <w:p>
            <w:pPr>
              <w:pStyle w:val="Compact"/>
              <w:jc w:val="left"/>
            </w:pPr>
            <w:r>
              <w:t xml:space="preserve">Post-launch</w:t>
            </w:r>
          </w:p>
        </w:tc>
      </w:tr>
      <w:tr>
        <w:tc>
          <w:p>
            <w:pPr>
              <w:pStyle w:val="Compact"/>
              <w:jc w:val="left"/>
            </w:pPr>
            <w:r>
              <w:t xml:space="preserve">7</w:t>
            </w:r>
          </w:p>
        </w:tc>
        <w:tc>
          <w:p>
            <w:pPr>
              <w:pStyle w:val="Compact"/>
              <w:jc w:val="left"/>
            </w:pPr>
            <w:r>
              <w:t xml:space="preserve">Choke Points 3 &amp; 4</w:t>
            </w:r>
          </w:p>
        </w:tc>
        <w:tc>
          <w:p>
            <w:pPr>
              <w:pStyle w:val="Compact"/>
              <w:jc w:val="left"/>
            </w:pPr>
            <w:r>
              <w:rPr>
                <w:b/>
              </w:rPr>
              <w:t xml:space="preserve">OPEN</w:t>
            </w:r>
          </w:p>
        </w:tc>
        <w:tc>
          <w:p>
            <w:pPr>
              <w:pStyle w:val="Compact"/>
              <w:jc w:val="left"/>
            </w:pPr>
            <w:r>
              <w:t xml:space="preserve">None</w:t>
            </w:r>
          </w:p>
        </w:tc>
        <w:tc>
          <w:p>
            <w:pPr>
              <w:pStyle w:val="Compact"/>
              <w:jc w:val="left"/>
            </w:pPr>
            <w:r>
              <w:t xml:space="preserve">Post-launch</w:t>
            </w:r>
          </w:p>
        </w:tc>
      </w:tr>
      <w:tr>
        <w:tc>
          <w:p>
            <w:pPr>
              <w:pStyle w:val="Compact"/>
              <w:jc w:val="left"/>
            </w:pPr>
            <w:r>
              <w:t xml:space="preserve">8</w:t>
            </w:r>
          </w:p>
        </w:tc>
        <w:tc>
          <w:p>
            <w:pPr>
              <w:pStyle w:val="Compact"/>
              <w:jc w:val="left"/>
            </w:pPr>
            <w:r>
              <w:t xml:space="preserve">Business Entity</w:t>
            </w:r>
          </w:p>
        </w:tc>
        <w:tc>
          <w:p>
            <w:pPr>
              <w:pStyle w:val="Compact"/>
              <w:jc w:val="left"/>
            </w:pPr>
            <w:r>
              <w:rPr>
                <w:b/>
              </w:rPr>
              <w:t xml:space="preserve">OPEN</w:t>
            </w:r>
          </w:p>
        </w:tc>
        <w:tc>
          <w:p>
            <w:pPr>
              <w:pStyle w:val="Compact"/>
              <w:jc w:val="left"/>
            </w:pPr>
            <w:r>
              <w:t xml:space="preserve">None (content only)</w:t>
            </w:r>
          </w:p>
        </w:tc>
        <w:tc>
          <w:p>
            <w:pPr>
              <w:pStyle w:val="Compact"/>
              <w:jc w:val="left"/>
            </w:pPr>
            <w:r>
              <w:t xml:space="preserve">Jun-Jul 2026</w:t>
            </w:r>
          </w:p>
        </w:tc>
      </w:tr>
      <w:tr>
        <w:tc>
          <w:p>
            <w:pPr>
              <w:pStyle w:val="Compact"/>
              <w:jc w:val="left"/>
            </w:pPr>
            <w:r>
              <w:t xml:space="preserve">9</w:t>
            </w:r>
          </w:p>
        </w:tc>
        <w:tc>
          <w:p>
            <w:pPr>
              <w:pStyle w:val="Compact"/>
              <w:jc w:val="left"/>
            </w:pPr>
            <w:r>
              <w:t xml:space="preserve">WI Storage</w:t>
            </w:r>
          </w:p>
        </w:tc>
        <w:tc>
          <w:p>
            <w:pPr>
              <w:pStyle w:val="Compact"/>
              <w:jc w:val="left"/>
            </w:pPr>
            <w:r>
              <w:rPr>
                <w:b/>
              </w:rPr>
              <w:t xml:space="preserve">OPEN</w:t>
            </w:r>
          </w:p>
        </w:tc>
        <w:tc>
          <w:p>
            <w:pPr>
              <w:pStyle w:val="Compact"/>
              <w:jc w:val="left"/>
            </w:pPr>
            <w:r>
              <w:t xml:space="preserve">None</w:t>
            </w:r>
          </w:p>
        </w:tc>
        <w:tc>
          <w:p>
            <w:pPr>
              <w:pStyle w:val="Compact"/>
              <w:jc w:val="left"/>
            </w:pPr>
            <w:r>
              <w:t xml:space="preserve">Jul-Aug 2026</w:t>
            </w:r>
          </w:p>
        </w:tc>
      </w:tr>
      <w:tr>
        <w:tc>
          <w:p>
            <w:pPr>
              <w:pStyle w:val="Compact"/>
              <w:jc w:val="left"/>
            </w:pPr>
            <w:r>
              <w:t xml:space="preserve">10</w:t>
            </w:r>
          </w:p>
        </w:tc>
        <w:tc>
          <w:p>
            <w:pPr>
              <w:pStyle w:val="Compact"/>
              <w:jc w:val="left"/>
            </w:pPr>
            <w:r>
              <w:t xml:space="preserve">Founding Member Recruitment</w:t>
            </w:r>
          </w:p>
        </w:tc>
        <w:tc>
          <w:p>
            <w:pPr>
              <w:pStyle w:val="Compact"/>
              <w:jc w:val="left"/>
            </w:pPr>
            <w:r>
              <w:rPr>
                <w:b/>
              </w:rPr>
              <w:t xml:space="preserve">OPEN</w:t>
            </w:r>
          </w:p>
        </w:tc>
        <w:tc>
          <w:p>
            <w:pPr>
              <w:pStyle w:val="Compact"/>
              <w:jc w:val="left"/>
            </w:pPr>
            <w:r>
              <w:t xml:space="preserve">None (onboarding built)</w:t>
            </w:r>
          </w:p>
        </w:tc>
        <w:tc>
          <w:p>
            <w:pPr>
              <w:pStyle w:val="Compact"/>
              <w:jc w:val="left"/>
            </w:pPr>
            <w:r>
              <w:t xml:space="preserve">Aug-Sep 2026</w:t>
            </w:r>
          </w:p>
        </w:tc>
      </w:tr>
    </w:tbl>
    <w:p>
      <w:pPr>
        <w:pStyle w:val="BodyText"/>
      </w:pPr>
      <w:r>
        <w:rPr>
          <w:b/>
        </w:rPr>
        <w:t xml:space="preserve">Key takeaway:</w:t>
      </w:r>
      <w:r>
        <w:t xml:space="preserve"> </w:t>
      </w:r>
      <w:r>
        <w:t xml:space="preserve">Every open item has zero platform risk. The technology is designed so that no business strategy decision requires code changes — only configuration updates through the admin panel or database. This means Code can keep building while business research happens in parallel.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2026-05-25T14:38:44Z</dcterms:created>
  <dcterms:modified xsi:type="dcterms:W3CDTF">2026-05-25T14:38:44Z</dcterms:modified>
</cp:coreProperties>
</file>

<file path=docProps/custom.xml><?xml version="1.0" encoding="utf-8"?>
<Properties xmlns="http://schemas.openxmlformats.org/officeDocument/2006/custom-properties" xmlns:vt="http://schemas.openxmlformats.org/officeDocument/2006/docPropsVTypes"/>
</file>